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2" w:lineRule="exact"/>
        <w:outlineLvl w:val="0"/>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附件</w:t>
      </w:r>
      <w:r>
        <w:rPr>
          <w:rFonts w:hint="default" w:ascii="Times New Roman" w:hAnsi="Times New Roman" w:eastAsia="黑体" w:cs="Times New Roman"/>
          <w:color w:val="auto"/>
          <w:sz w:val="32"/>
          <w:szCs w:val="32"/>
          <w:highlight w:val="none"/>
          <w:u w:val="none"/>
          <w:lang w:eastAsia="zh-CN"/>
        </w:rPr>
        <w:t>1</w:t>
      </w:r>
    </w:p>
    <w:p>
      <w:pPr>
        <w:spacing w:beforeLines="0" w:afterLines="0" w:line="572" w:lineRule="exact"/>
        <w:rPr>
          <w:rFonts w:hint="default" w:ascii="Times New Roman" w:hAnsi="Times New Roman" w:eastAsia="黑体" w:cs="Times New Roman"/>
          <w:color w:val="auto"/>
          <w:sz w:val="32"/>
          <w:szCs w:val="32"/>
          <w:highlight w:val="none"/>
          <w:u w:val="none"/>
          <w:lang w:val="en-US" w:eastAsia="zh-CN"/>
        </w:rPr>
      </w:pPr>
    </w:p>
    <w:p>
      <w:pPr>
        <w:spacing w:beforeLines="0" w:afterLines="0" w:line="572" w:lineRule="exact"/>
        <w:ind w:firstLine="0" w:firstLineChars="0"/>
        <w:jc w:val="center"/>
        <w:outlineLvl w:val="0"/>
        <w:rPr>
          <w:rFonts w:hint="default" w:ascii="Times New Roman" w:hAnsi="Times New Roman" w:eastAsia="方正小标宋简体" w:cs="Times New Roman"/>
          <w:color w:val="auto"/>
          <w:spacing w:val="0"/>
          <w:sz w:val="44"/>
          <w:szCs w:val="44"/>
          <w:highlight w:val="none"/>
          <w:u w:val="none"/>
          <w:lang w:eastAsia="zh-CN"/>
        </w:rPr>
      </w:pPr>
      <w:r>
        <w:rPr>
          <w:rFonts w:hint="default" w:ascii="Times New Roman" w:hAnsi="Times New Roman" w:eastAsia="方正小标宋简体" w:cs="Times New Roman"/>
          <w:color w:val="auto"/>
          <w:spacing w:val="0"/>
          <w:sz w:val="40"/>
          <w:szCs w:val="40"/>
          <w:highlight w:val="none"/>
          <w:u w:val="none"/>
          <w:lang w:eastAsia="zh-CN"/>
        </w:rPr>
        <w:t>实施江门220千伏水口站改接入500千伏五邑站线路工程水土保持方案</w:t>
      </w:r>
      <w:bookmarkStart w:id="0" w:name="_GoBack"/>
      <w:bookmarkEnd w:id="0"/>
      <w:r>
        <w:rPr>
          <w:rFonts w:hint="default" w:ascii="Times New Roman" w:hAnsi="Times New Roman" w:eastAsia="方正小标宋简体" w:cs="Times New Roman"/>
          <w:color w:val="auto"/>
          <w:spacing w:val="0"/>
          <w:sz w:val="40"/>
          <w:szCs w:val="40"/>
          <w:highlight w:val="none"/>
          <w:u w:val="none"/>
          <w:lang w:eastAsia="zh-CN"/>
        </w:rPr>
        <w:t>告知书</w:t>
      </w:r>
    </w:p>
    <w:p>
      <w:pPr>
        <w:spacing w:line="572" w:lineRule="exact"/>
        <w:ind w:firstLine="664" w:firstLineChars="200"/>
        <w:jc w:val="center"/>
        <w:rPr>
          <w:rFonts w:hint="default" w:ascii="Times New Roman" w:hAnsi="Times New Roman" w:eastAsia="黑体" w:cs="Times New Roman"/>
          <w:color w:val="auto"/>
          <w:spacing w:val="6"/>
          <w:sz w:val="32"/>
          <w:szCs w:val="32"/>
          <w:highlight w:val="none"/>
          <w:u w:val="none"/>
          <w:lang w:eastAsia="zh-CN"/>
        </w:rPr>
      </w:pPr>
    </w:p>
    <w:p>
      <w:pPr>
        <w:spacing w:line="572" w:lineRule="exact"/>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广东电网有限责任公司江门供电局：</w:t>
      </w:r>
    </w:p>
    <w:p>
      <w:pPr>
        <w:spacing w:line="572"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我局</w:t>
      </w:r>
      <w:r>
        <w:rPr>
          <w:rFonts w:ascii="Times New Roman" w:hAnsi="Times New Roman" w:eastAsia="仿宋_GB2312" w:cs="Times New Roman"/>
          <w:color w:val="auto"/>
          <w:sz w:val="32"/>
          <w:szCs w:val="32"/>
          <w:highlight w:val="none"/>
          <w:u w:val="none"/>
        </w:rPr>
        <w:t>对你公司提出的</w:t>
      </w:r>
      <w:r>
        <w:rPr>
          <w:rFonts w:hint="default" w:ascii="Times New Roman" w:hAnsi="Times New Roman" w:eastAsia="仿宋_GB2312" w:cs="Times New Roman"/>
          <w:color w:val="auto"/>
          <w:sz w:val="32"/>
          <w:szCs w:val="32"/>
          <w:highlight w:val="none"/>
          <w:u w:val="none"/>
        </w:rPr>
        <w:t>江门220千伏水口站改接入500千伏五邑站线路工程</w:t>
      </w:r>
      <w:r>
        <w:rPr>
          <w:rFonts w:ascii="Times New Roman" w:hAnsi="Times New Roman" w:eastAsia="仿宋_GB2312" w:cs="Times New Roman"/>
          <w:color w:val="auto"/>
          <w:sz w:val="32"/>
          <w:szCs w:val="32"/>
          <w:highlight w:val="none"/>
          <w:u w:val="none"/>
        </w:rPr>
        <w:t>水土保持方案报告审批申请作出准予行政许可决定。为依法实施该项目的水土保持方案，依据《中华人民共和国水土保持法》、《广东省水土保持条例》</w:t>
      </w:r>
      <w:r>
        <w:rPr>
          <w:rFonts w:hint="eastAsia" w:ascii="Times New Roman" w:hAnsi="Times New Roman" w:eastAsia="仿宋_GB2312" w:cs="Times New Roman"/>
          <w:color w:val="auto"/>
          <w:sz w:val="32"/>
          <w:szCs w:val="32"/>
          <w:highlight w:val="none"/>
          <w:u w:val="none"/>
          <w:lang w:eastAsia="zh-CN"/>
        </w:rPr>
        <w:t>等有</w:t>
      </w:r>
      <w:r>
        <w:rPr>
          <w:rFonts w:ascii="Times New Roman" w:hAnsi="Times New Roman" w:eastAsia="仿宋_GB2312" w:cs="Times New Roman"/>
          <w:color w:val="auto"/>
          <w:sz w:val="32"/>
          <w:szCs w:val="32"/>
          <w:highlight w:val="none"/>
          <w:u w:val="none"/>
        </w:rPr>
        <w:t>关规定，告知如下：</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一、你公司</w:t>
      </w:r>
      <w:r>
        <w:rPr>
          <w:rFonts w:hint="default" w:ascii="Times New Roman" w:hAnsi="Times New Roman" w:eastAsia="仿宋_GB2312" w:cs="Times New Roman"/>
          <w:color w:val="auto"/>
          <w:sz w:val="32"/>
          <w:szCs w:val="32"/>
          <w:highlight w:val="none"/>
          <w:u w:val="none"/>
          <w:lang w:eastAsia="zh-CN"/>
        </w:rPr>
        <w:t>要认真落实水土保持设计、施工、投产使用“三同时”制度。特别要按照批准的水土保持方案，做好项目水土保持初步设计和施工图设计，并与主体工程设计同步开展，报主体工程审查、审批部门办理水土保持工程的初步设计和施工图设计的审查、审批手续。</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三、你公司要严格按照水土保持方案要求落实各项水土保持措施。各类施工活动要严格限定在用地范围内，严禁随意占压、扰动和破坏地表植被。做好表土的剥离和弃渣综合利用，建设过程中产生的弃渣要及时运至方案确定的专门场地；合理安排施工时序和水土保持措施实施进度，施工建设期间应注重做好临时排水、拦挡、覆盖等措施，严格控制施工期间可能造成的水土流失。施工结束后，及时恢复迹地植被。</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四、你公司要落实水土保持监测工作制度，加强水土流失动态监控。</w:t>
      </w:r>
      <w:r>
        <w:rPr>
          <w:rFonts w:ascii="Times New Roman" w:hAnsi="Times New Roman" w:eastAsia="仿宋_GB2312" w:cs="Times New Roman"/>
          <w:color w:val="auto"/>
          <w:sz w:val="32"/>
          <w:szCs w:val="32"/>
          <w:highlight w:val="none"/>
          <w:u w:val="none"/>
        </w:rPr>
        <w:t>项目开工前开展水土保持监测工作，</w:t>
      </w:r>
      <w:r>
        <w:rPr>
          <w:rFonts w:hint="eastAsia" w:ascii="Times New Roman" w:hAnsi="Times New Roman" w:eastAsia="仿宋_GB2312" w:cs="Times New Roman"/>
          <w:color w:val="auto"/>
          <w:sz w:val="32"/>
          <w:szCs w:val="32"/>
          <w:highlight w:val="none"/>
          <w:u w:val="none"/>
          <w:lang w:val="en-US" w:eastAsia="zh-CN"/>
        </w:rPr>
        <w:t>向项目所涉及的县级水行政主管部门提交水土保持监测报告。</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五、你公司要落实水土保持监理工作制度，及时做好水土保持分部工程及单元工程的验收工作，确保水土保持工程建设质量和进度。</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lang w:eastAsia="zh-CN"/>
        </w:rPr>
        <w:t>项目水土保持方案经批准后，如工程扰动新涉及水土流失重点预防区或者重点治理区，水土流失防治责任范围或者开挖填筑土石方总量增加30%以上，表土剥离量或者植物措施总面积减少30%以上，或者水土保持重要单位工程措施发生变化， </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应当补充或者修改水土保持方案，报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w:t>
      </w:r>
      <w:r>
        <w:rPr>
          <w:rFonts w:hint="default" w:ascii="Times New Roman" w:hAnsi="Times New Roman" w:eastAsia="仿宋_GB2312" w:cs="Times New Roman"/>
          <w:color w:val="auto"/>
          <w:sz w:val="32"/>
          <w:szCs w:val="32"/>
          <w:highlight w:val="none"/>
          <w:u w:val="none"/>
          <w:lang w:eastAsia="zh-CN"/>
        </w:rPr>
        <w:t>在水土保持方案确定的弃渣场以外新设弃渣场的，或者因弃渣量增加导致弃渣场等级提高的，</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应当在弃渣前编制水土保持方案补充报告，报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八、如项目水土保持方案自批准之日起满3年方开工建设，你公司</w:t>
      </w:r>
      <w:r>
        <w:rPr>
          <w:rFonts w:hint="default" w:ascii="Times New Roman" w:hAnsi="Times New Roman" w:eastAsia="仿宋_GB2312" w:cs="Times New Roman"/>
          <w:color w:val="auto"/>
          <w:sz w:val="32"/>
          <w:szCs w:val="32"/>
          <w:highlight w:val="none"/>
          <w:u w:val="none"/>
          <w:lang w:eastAsia="zh-CN"/>
        </w:rPr>
        <w:t>应</w:t>
      </w:r>
      <w:r>
        <w:rPr>
          <w:rFonts w:hint="eastAsia" w:ascii="Times New Roman" w:hAnsi="Times New Roman" w:eastAsia="仿宋_GB2312" w:cs="Times New Roman"/>
          <w:color w:val="auto"/>
          <w:sz w:val="32"/>
          <w:szCs w:val="32"/>
          <w:highlight w:val="none"/>
          <w:u w:val="none"/>
          <w:lang w:eastAsia="zh-CN"/>
        </w:rPr>
        <w:t>在项目开工前将水土保持方案报我局重新审核。</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lang w:val="en-US" w:eastAsia="zh-CN"/>
        </w:rPr>
        <w:t>项目在竣工验收和投产使用前，</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应对该项目整体水土保持设施进行自主验收。在水土保持设施自主验收通过后三个月内，向</w:t>
      </w:r>
      <w:r>
        <w:rPr>
          <w:rFonts w:hint="eastAsia" w:ascii="Times New Roman" w:hAnsi="Times New Roman" w:eastAsia="仿宋_GB2312" w:cs="Times New Roman"/>
          <w:color w:val="auto"/>
          <w:sz w:val="32"/>
          <w:szCs w:val="32"/>
          <w:highlight w:val="none"/>
          <w:u w:val="none"/>
          <w:lang w:val="en-US" w:eastAsia="zh-CN"/>
        </w:rPr>
        <w:t>我局</w:t>
      </w:r>
      <w:r>
        <w:rPr>
          <w:rFonts w:hint="default" w:ascii="Times New Roman" w:hAnsi="Times New Roman" w:eastAsia="仿宋_GB2312" w:cs="Times New Roman"/>
          <w:color w:val="auto"/>
          <w:sz w:val="32"/>
          <w:szCs w:val="32"/>
          <w:highlight w:val="none"/>
          <w:u w:val="none"/>
          <w:lang w:val="en-US" w:eastAsia="zh-CN"/>
        </w:rPr>
        <w:t>报备水土保持设施验收材料。水土保持设施未经验收或者验收不合格的，生产建设项目不得投产使用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对于“未验先投”的，将按照《中华人民共和国水土保持法》第五十四条进行处理。</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十、请配合做好监督检查工作。我局以及项目所涉及的</w:t>
      </w:r>
      <w:r>
        <w:rPr>
          <w:rFonts w:hint="default" w:ascii="Times New Roman" w:hAnsi="Times New Roman" w:eastAsia="仿宋_GB2312" w:cs="Times New Roman"/>
          <w:color w:val="auto"/>
          <w:sz w:val="32"/>
          <w:szCs w:val="32"/>
          <w:highlight w:val="none"/>
          <w:u w:val="none"/>
          <w:lang w:eastAsia="zh-CN"/>
        </w:rPr>
        <w:t>县</w:t>
      </w:r>
      <w:r>
        <w:rPr>
          <w:rFonts w:hint="eastAsia" w:ascii="Times New Roman" w:hAnsi="Times New Roman" w:eastAsia="仿宋_GB2312" w:cs="Times New Roman"/>
          <w:color w:val="auto"/>
          <w:sz w:val="32"/>
          <w:szCs w:val="32"/>
          <w:highlight w:val="none"/>
          <w:u w:val="none"/>
          <w:lang w:eastAsia="zh-CN"/>
        </w:rPr>
        <w:t>级水行政主管部门将对水土保持方案的实施情况进行监督检查时，你公司应配合做好相关工作。</w:t>
      </w:r>
    </w:p>
    <w:p>
      <w:pPr>
        <w:spacing w:line="572" w:lineRule="exact"/>
        <w:ind w:firstLine="640" w:firstLineChars="200"/>
        <w:rPr>
          <w:rFonts w:ascii="Times New Roman" w:hAnsi="Times New Roman" w:eastAsia="仿宋_GB2312" w:cs="Times New Roman"/>
          <w:color w:val="auto"/>
          <w:sz w:val="32"/>
          <w:szCs w:val="32"/>
          <w:highlight w:val="none"/>
          <w:u w:val="none"/>
        </w:rPr>
      </w:pPr>
    </w:p>
    <w:p>
      <w:pPr>
        <w:spacing w:line="572" w:lineRule="exact"/>
        <w:ind w:firstLine="642" w:firstLineChars="200"/>
        <w:outlineLvl w:val="0"/>
        <w:rPr>
          <w:rFonts w:hint="default" w:ascii="Times New Roman" w:hAnsi="Times New Roman" w:eastAsia="仿宋_GB2312" w:cs="Times New Roman"/>
          <w:b/>
          <w:bCs/>
          <w:color w:val="auto"/>
          <w:sz w:val="32"/>
          <w:szCs w:val="32"/>
          <w:highlight w:val="none"/>
          <w:u w:val="none"/>
        </w:rPr>
      </w:pPr>
      <w:r>
        <w:rPr>
          <w:rFonts w:ascii="Times New Roman" w:hAnsi="Times New Roman" w:eastAsia="仿宋_GB2312" w:cs="Times New Roman"/>
          <w:b/>
          <w:bCs/>
          <w:color w:val="auto"/>
          <w:sz w:val="32"/>
          <w:szCs w:val="32"/>
          <w:highlight w:val="none"/>
          <w:u w:val="none"/>
        </w:rPr>
        <w:t>如违反上述告知事项，将承担相应的法律责</w:t>
      </w:r>
      <w:r>
        <w:rPr>
          <w:rFonts w:hint="default" w:ascii="Times New Roman" w:hAnsi="Times New Roman" w:eastAsia="仿宋_GB2312" w:cs="Times New Roman"/>
          <w:b/>
          <w:bCs/>
          <w:color w:val="auto"/>
          <w:sz w:val="32"/>
          <w:szCs w:val="32"/>
          <w:highlight w:val="none"/>
          <w:u w:val="none"/>
        </w:rPr>
        <w:t>任。</w:t>
      </w: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GE5MTM1MDlhMTRmOGViMDFiZGRlNjg5ODM5ZWEifQ=="/>
    <w:docVar w:name="KSO_WPS_MARK_KEY" w:val="4ac4cc9c-47e5-4fce-b7e6-e0590ac2f6a1"/>
  </w:docVars>
  <w:rsids>
    <w:rsidRoot w:val="0DB85E2E"/>
    <w:rsid w:val="019A54E2"/>
    <w:rsid w:val="02667901"/>
    <w:rsid w:val="026B1E67"/>
    <w:rsid w:val="058702B1"/>
    <w:rsid w:val="07067189"/>
    <w:rsid w:val="096B4B93"/>
    <w:rsid w:val="0DB85E2E"/>
    <w:rsid w:val="133D20FC"/>
    <w:rsid w:val="141E0E20"/>
    <w:rsid w:val="1FB78788"/>
    <w:rsid w:val="20893B24"/>
    <w:rsid w:val="222234DB"/>
    <w:rsid w:val="2961176F"/>
    <w:rsid w:val="2DB87D22"/>
    <w:rsid w:val="2E994333"/>
    <w:rsid w:val="364D7CCA"/>
    <w:rsid w:val="37E13C5C"/>
    <w:rsid w:val="395B620A"/>
    <w:rsid w:val="4741341E"/>
    <w:rsid w:val="49936579"/>
    <w:rsid w:val="4A970068"/>
    <w:rsid w:val="4B1957B9"/>
    <w:rsid w:val="4CA57427"/>
    <w:rsid w:val="4E40487D"/>
    <w:rsid w:val="52427562"/>
    <w:rsid w:val="53D34B40"/>
    <w:rsid w:val="545562D6"/>
    <w:rsid w:val="5862652E"/>
    <w:rsid w:val="59155CCC"/>
    <w:rsid w:val="5BB36EFD"/>
    <w:rsid w:val="624D2FA1"/>
    <w:rsid w:val="62B26B32"/>
    <w:rsid w:val="65E0260B"/>
    <w:rsid w:val="67EA5525"/>
    <w:rsid w:val="68832621"/>
    <w:rsid w:val="69B6091B"/>
    <w:rsid w:val="6B406A55"/>
    <w:rsid w:val="6CC92F21"/>
    <w:rsid w:val="761F0DB5"/>
    <w:rsid w:val="77FADBBA"/>
    <w:rsid w:val="781FDE72"/>
    <w:rsid w:val="78F93C3D"/>
    <w:rsid w:val="7CC658EE"/>
    <w:rsid w:val="7E4D3462"/>
    <w:rsid w:val="7F4F4E46"/>
    <w:rsid w:val="7FF7EED7"/>
    <w:rsid w:val="7FFFA125"/>
    <w:rsid w:val="AD3FF03A"/>
    <w:rsid w:val="B6FB680A"/>
    <w:rsid w:val="BFBFF6CB"/>
    <w:rsid w:val="BFDF814A"/>
    <w:rsid w:val="BFF5A933"/>
    <w:rsid w:val="CBF9FD48"/>
    <w:rsid w:val="CDBF51E6"/>
    <w:rsid w:val="DBBA98EF"/>
    <w:rsid w:val="EFFEF2FE"/>
    <w:rsid w:val="F7DB26B8"/>
    <w:rsid w:val="F7DF37F4"/>
    <w:rsid w:val="FF3E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3</Pages>
  <Words>1193</Words>
  <Characters>1201</Characters>
  <Lines>0</Lines>
  <Paragraphs>0</Paragraphs>
  <TotalTime>0</TotalTime>
  <ScaleCrop>false</ScaleCrop>
  <LinksUpToDate>false</LinksUpToDate>
  <CharactersWithSpaces>1202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2019-03-03T14:30:00Z</dcterms:created>
  <dc:creator>耿海波()</dc:creator>
  <cp:lastModifiedBy>李健礼</cp:lastModifiedBy>
  <cp:lastPrinted>2019-03-26T14:09:00Z</cp:lastPrinted>
  <dcterms:modified xsi:type="dcterms:W3CDTF">2024-08-09T16:37:23Z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833C3D873EC348FCB567A5BAEFD2F329_12</vt:lpwstr>
  </property>
</Properties>
</file>