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附件1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  <w:highlight w:val="none"/>
        </w:rPr>
        <w:t>报价单</w:t>
      </w:r>
      <w:bookmarkEnd w:id="0"/>
    </w:p>
    <w:p>
      <w:pPr>
        <w:spacing w:line="58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tbl>
      <w:tblPr>
        <w:tblStyle w:val="5"/>
        <w:tblW w:w="85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60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报价单位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（盖公章）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联系人及联系方式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  <w:t>项目名称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  <w:t>项目公告日期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  <w:t>计算项目总价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  <w:t>￥        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  <w:t>（大写：                        ）</w:t>
            </w:r>
          </w:p>
        </w:tc>
      </w:tr>
    </w:tbl>
    <w:p>
      <w:pPr>
        <w:spacing w:line="58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备注：计算项目总价不得高于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852CB"/>
    <w:rsid w:val="3F4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semiHidden/>
    <w:qFormat/>
    <w:uiPriority w:val="0"/>
    <w:pPr>
      <w:ind w:left="1680"/>
    </w:pPr>
    <w:rPr>
      <w:rFonts w:eastAsia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2024-09-05T08:11:00Z</dcterms:created>
  <dc:creator>李耀明</dc:creator>
  <cp:lastModifiedBy>李耀明</cp:lastModifiedBy>
  <dcterms:modified xsi:type="dcterms:W3CDTF">2024-09-05T08:12:06Z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