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FCE08">
      <w:pPr>
        <w:spacing w:line="500" w:lineRule="exac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附件3</w:t>
      </w:r>
    </w:p>
    <w:p w14:paraId="54AE4CBF">
      <w:pPr>
        <w:pStyle w:val="5"/>
        <w:ind w:firstLine="0" w:firstLineChars="0"/>
        <w:jc w:val="center"/>
        <w:rPr>
          <w:rFonts w:hint="default" w:ascii="Times New Roman" w:hAnsi="Times New Roman" w:eastAsia="方正大标宋_GBK" w:cs="Times New Roman"/>
          <w:bCs/>
          <w:kern w:val="2"/>
          <w:sz w:val="42"/>
          <w:szCs w:val="42"/>
          <w:lang w:val="en-US"/>
        </w:rPr>
      </w:pPr>
      <w:r>
        <w:rPr>
          <w:rFonts w:hint="default" w:ascii="Times New Roman" w:hAnsi="Times New Roman" w:eastAsia="方正大标宋_GBK" w:cs="Times New Roman"/>
          <w:sz w:val="42"/>
          <w:szCs w:val="42"/>
        </w:rPr>
        <w:t>2025-2026</w:t>
      </w:r>
      <w:r>
        <w:rPr>
          <w:rFonts w:hint="default" w:ascii="Times New Roman" w:hAnsi="Times New Roman" w:eastAsia="方正大标宋_GBK" w:cs="Times New Roman"/>
          <w:sz w:val="42"/>
          <w:szCs w:val="42"/>
          <w:lang w:eastAsia="zh-CN"/>
        </w:rPr>
        <w:t>年</w:t>
      </w:r>
      <w:r>
        <w:rPr>
          <w:rFonts w:hint="default" w:ascii="Times New Roman" w:hAnsi="Times New Roman" w:eastAsia="方正大标宋_GBK" w:cs="Times New Roman"/>
          <w:sz w:val="42"/>
          <w:szCs w:val="42"/>
        </w:rPr>
        <w:t>江门市环境质量市控自动监测站运行维护项目</w:t>
      </w:r>
      <w:bookmarkStart w:id="0" w:name="_GoBack"/>
      <w:r>
        <w:rPr>
          <w:rFonts w:hint="default" w:ascii="Times New Roman" w:hAnsi="Times New Roman" w:eastAsia="方正大标宋_GBK" w:cs="Times New Roman"/>
          <w:bCs/>
          <w:kern w:val="2"/>
          <w:sz w:val="42"/>
          <w:szCs w:val="42"/>
          <w:lang w:val="en-US"/>
        </w:rPr>
        <w:t>评分表</w:t>
      </w:r>
      <w:bookmarkEnd w:id="0"/>
    </w:p>
    <w:tbl>
      <w:tblPr>
        <w:tblStyle w:val="3"/>
        <w:tblpPr w:leftFromText="180" w:rightFromText="180" w:vertAnchor="text" w:horzAnchor="page" w:tblpX="1577" w:tblpY="603"/>
        <w:tblOverlap w:val="never"/>
        <w:tblW w:w="1385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3"/>
        <w:gridCol w:w="960"/>
        <w:gridCol w:w="7865"/>
        <w:gridCol w:w="706"/>
        <w:gridCol w:w="911"/>
        <w:gridCol w:w="912"/>
        <w:gridCol w:w="912"/>
        <w:gridCol w:w="912"/>
      </w:tblGrid>
      <w:tr w14:paraId="1422E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trPr>
        <w:tc>
          <w:tcPr>
            <w:tcW w:w="673" w:type="dxa"/>
            <w:tcBorders>
              <w:bottom w:val="single" w:color="auto" w:sz="6" w:space="0"/>
              <w:right w:val="single" w:color="auto" w:sz="6" w:space="0"/>
            </w:tcBorders>
            <w:noWrap w:val="0"/>
            <w:vAlign w:val="center"/>
          </w:tcPr>
          <w:p w14:paraId="1D3AC3D5">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序号</w:t>
            </w:r>
          </w:p>
        </w:tc>
        <w:tc>
          <w:tcPr>
            <w:tcW w:w="960" w:type="dxa"/>
            <w:tcBorders>
              <w:left w:val="single" w:color="auto" w:sz="6" w:space="0"/>
              <w:bottom w:val="single" w:color="auto" w:sz="6" w:space="0"/>
              <w:right w:val="single" w:color="auto" w:sz="6" w:space="0"/>
            </w:tcBorders>
            <w:noWrap w:val="0"/>
            <w:vAlign w:val="center"/>
          </w:tcPr>
          <w:p w14:paraId="19BBE7BD">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评审</w:t>
            </w:r>
          </w:p>
          <w:p w14:paraId="07D64174">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因素</w:t>
            </w:r>
          </w:p>
        </w:tc>
        <w:tc>
          <w:tcPr>
            <w:tcW w:w="7865" w:type="dxa"/>
            <w:tcBorders>
              <w:left w:val="single" w:color="auto" w:sz="6" w:space="0"/>
              <w:bottom w:val="single" w:color="auto" w:sz="6" w:space="0"/>
              <w:right w:val="single" w:color="auto" w:sz="6" w:space="0"/>
            </w:tcBorders>
            <w:noWrap w:val="0"/>
            <w:vAlign w:val="center"/>
          </w:tcPr>
          <w:p w14:paraId="624BF7CD">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评分细则</w:t>
            </w:r>
          </w:p>
        </w:tc>
        <w:tc>
          <w:tcPr>
            <w:tcW w:w="706" w:type="dxa"/>
            <w:tcBorders>
              <w:left w:val="single" w:color="auto" w:sz="6" w:space="0"/>
              <w:bottom w:val="single" w:color="auto" w:sz="6" w:space="0"/>
              <w:right w:val="single" w:color="auto" w:sz="6" w:space="0"/>
            </w:tcBorders>
            <w:noWrap w:val="0"/>
            <w:vAlign w:val="center"/>
          </w:tcPr>
          <w:p w14:paraId="2C1FD280">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分值（分）</w:t>
            </w:r>
          </w:p>
        </w:tc>
        <w:tc>
          <w:tcPr>
            <w:tcW w:w="911" w:type="dxa"/>
            <w:tcBorders>
              <w:left w:val="single" w:color="auto" w:sz="6" w:space="0"/>
              <w:bottom w:val="single" w:color="auto" w:sz="6" w:space="0"/>
              <w:right w:val="single" w:color="auto" w:sz="6" w:space="0"/>
            </w:tcBorders>
            <w:noWrap w:val="0"/>
            <w:vAlign w:val="center"/>
          </w:tcPr>
          <w:p w14:paraId="54BBADCC">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供应商1</w:t>
            </w:r>
          </w:p>
          <w:p w14:paraId="1ECD8915">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得分（分）</w:t>
            </w:r>
          </w:p>
        </w:tc>
        <w:tc>
          <w:tcPr>
            <w:tcW w:w="912" w:type="dxa"/>
            <w:tcBorders>
              <w:left w:val="single" w:color="auto" w:sz="6" w:space="0"/>
              <w:bottom w:val="single" w:color="auto" w:sz="6" w:space="0"/>
              <w:right w:val="single" w:color="auto" w:sz="6" w:space="0"/>
            </w:tcBorders>
            <w:noWrap w:val="0"/>
            <w:vAlign w:val="center"/>
          </w:tcPr>
          <w:p w14:paraId="18FFDAAD">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供应商2</w:t>
            </w:r>
          </w:p>
          <w:p w14:paraId="19488E28">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得分（分）</w:t>
            </w:r>
          </w:p>
        </w:tc>
        <w:tc>
          <w:tcPr>
            <w:tcW w:w="912" w:type="dxa"/>
            <w:tcBorders>
              <w:left w:val="single" w:color="auto" w:sz="6" w:space="0"/>
              <w:bottom w:val="single" w:color="auto" w:sz="6" w:space="0"/>
              <w:right w:val="single" w:color="auto" w:sz="6" w:space="0"/>
            </w:tcBorders>
            <w:noWrap w:val="0"/>
            <w:vAlign w:val="center"/>
          </w:tcPr>
          <w:p w14:paraId="32337847">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供应商3</w:t>
            </w:r>
          </w:p>
          <w:p w14:paraId="1FA6026B">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得分（分）</w:t>
            </w:r>
          </w:p>
        </w:tc>
        <w:tc>
          <w:tcPr>
            <w:tcW w:w="912" w:type="dxa"/>
            <w:tcBorders>
              <w:left w:val="single" w:color="auto" w:sz="6" w:space="0"/>
              <w:bottom w:val="single" w:color="auto" w:sz="6" w:space="0"/>
            </w:tcBorders>
            <w:noWrap w:val="0"/>
            <w:vAlign w:val="center"/>
          </w:tcPr>
          <w:p w14:paraId="3532DDEB">
            <w:pPr>
              <w:autoSpaceDE w:val="0"/>
              <w:autoSpaceDN w:val="0"/>
              <w:adjustRightInd w:val="0"/>
              <w:snapToGrid w:val="0"/>
              <w:spacing w:line="264" w:lineRule="auto"/>
              <w:ind w:left="-78" w:leftChars="-37" w:right="-73" w:rightChars="-35"/>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w:t>
            </w:r>
          </w:p>
        </w:tc>
      </w:tr>
      <w:tr w14:paraId="486CF1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851" w:type="dxa"/>
            <w:gridSpan w:val="8"/>
            <w:tcBorders>
              <w:bottom w:val="single" w:color="auto" w:sz="6" w:space="0"/>
            </w:tcBorders>
            <w:noWrap w:val="0"/>
            <w:vAlign w:val="center"/>
          </w:tcPr>
          <w:p w14:paraId="1941ED81">
            <w:pPr>
              <w:autoSpaceDE w:val="0"/>
              <w:autoSpaceDN w:val="0"/>
              <w:adjustRightInd w:val="0"/>
              <w:snapToGrid w:val="0"/>
              <w:spacing w:line="264" w:lineRule="auto"/>
              <w:ind w:left="-78" w:leftChars="-37" w:right="-73" w:rightChars="-35"/>
              <w:jc w:val="left"/>
              <w:rPr>
                <w:rFonts w:hint="default" w:ascii="Times New Roman" w:hAnsi="Times New Roman" w:eastAsia="仿宋_GB2312" w:cs="Times New Roman"/>
                <w:kern w:val="0"/>
                <w:szCs w:val="21"/>
              </w:rPr>
            </w:pPr>
            <w:r>
              <w:rPr>
                <w:rFonts w:hint="default" w:ascii="Times New Roman" w:hAnsi="Times New Roman" w:eastAsia="仿宋_GB2312" w:cs="Times New Roman"/>
                <w:b/>
                <w:kern w:val="0"/>
                <w:szCs w:val="21"/>
              </w:rPr>
              <w:t>一、技术部分 （30分）</w:t>
            </w:r>
          </w:p>
        </w:tc>
      </w:tr>
      <w:tr w14:paraId="5A926A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73" w:type="dxa"/>
            <w:tcBorders>
              <w:top w:val="single" w:color="auto" w:sz="6" w:space="0"/>
              <w:bottom w:val="single" w:color="auto" w:sz="6" w:space="0"/>
              <w:right w:val="single" w:color="auto" w:sz="6" w:space="0"/>
            </w:tcBorders>
            <w:noWrap w:val="0"/>
            <w:vAlign w:val="center"/>
          </w:tcPr>
          <w:p w14:paraId="618488F7">
            <w:pPr>
              <w:numPr>
                <w:ilvl w:val="0"/>
                <w:numId w:val="1"/>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6B3D948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实施</w:t>
            </w:r>
          </w:p>
          <w:p w14:paraId="1EC9CD24">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方案</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479C8B30">
            <w:pPr>
              <w:rPr>
                <w:rFonts w:hint="default" w:ascii="Times New Roman" w:hAnsi="Times New Roman" w:eastAsia="仿宋_GB2312" w:cs="Times New Roman"/>
                <w:szCs w:val="21"/>
              </w:rPr>
            </w:pPr>
            <w:r>
              <w:rPr>
                <w:rFonts w:hint="default" w:ascii="Times New Roman" w:hAnsi="Times New Roman" w:eastAsia="仿宋_GB2312" w:cs="Times New Roman"/>
                <w:szCs w:val="21"/>
              </w:rPr>
              <w:t>根据供应商针对本项目的实施方案（包括但不限于运维服务方案、质控方案、应急预案、项目重难点分析等）进行评审：</w:t>
            </w:r>
          </w:p>
          <w:p w14:paraId="52D014D8">
            <w:pPr>
              <w:rPr>
                <w:rFonts w:hint="default" w:ascii="Times New Roman" w:hAnsi="Times New Roman" w:eastAsia="仿宋_GB2312" w:cs="Times New Roman"/>
                <w:szCs w:val="21"/>
              </w:rPr>
            </w:pPr>
            <w:r>
              <w:rPr>
                <w:rFonts w:hint="default" w:ascii="Times New Roman" w:hAnsi="Times New Roman" w:eastAsia="仿宋_GB2312" w:cs="Times New Roman"/>
                <w:szCs w:val="21"/>
              </w:rPr>
              <w:t>（1）项目实施方案完整详细、科学合理、可行性强，有针对性，人员安排、工作部署符合采购人工作要求，响应情况满足或优于采购文件要求的，得20分；</w:t>
            </w:r>
          </w:p>
          <w:p w14:paraId="34E77C68">
            <w:pPr>
              <w:rPr>
                <w:rFonts w:hint="default" w:ascii="Times New Roman" w:hAnsi="Times New Roman" w:eastAsia="仿宋_GB2312" w:cs="Times New Roman"/>
                <w:szCs w:val="21"/>
              </w:rPr>
            </w:pPr>
            <w:r>
              <w:rPr>
                <w:rFonts w:hint="default" w:ascii="Times New Roman" w:hAnsi="Times New Roman" w:eastAsia="仿宋_GB2312" w:cs="Times New Roman"/>
                <w:szCs w:val="21"/>
              </w:rPr>
              <w:t>（2）项目实施方案详细、合理、具有一定的可行性，人员安排、工作部署大部分符合采购人工作要求，响应情况大部分能满足采购文件要求的，得15分；</w:t>
            </w:r>
          </w:p>
          <w:p w14:paraId="42AE5C7D">
            <w:pPr>
              <w:rPr>
                <w:rFonts w:hint="default" w:ascii="Times New Roman" w:hAnsi="Times New Roman" w:eastAsia="仿宋_GB2312" w:cs="Times New Roman"/>
                <w:szCs w:val="21"/>
              </w:rPr>
            </w:pPr>
            <w:r>
              <w:rPr>
                <w:rFonts w:hint="default" w:ascii="Times New Roman" w:hAnsi="Times New Roman" w:eastAsia="仿宋_GB2312" w:cs="Times New Roman"/>
                <w:szCs w:val="21"/>
              </w:rPr>
              <w:t>（3）项目实施方案完整、但可行性不足，人员安排、工作部署不足，响应情况部分能满足采购文件要求，得10分；</w:t>
            </w:r>
          </w:p>
          <w:p w14:paraId="7D2787B6">
            <w:pPr>
              <w:rPr>
                <w:rFonts w:hint="default" w:ascii="Times New Roman" w:hAnsi="Times New Roman" w:eastAsia="仿宋_GB2312" w:cs="Times New Roman"/>
                <w:szCs w:val="21"/>
              </w:rPr>
            </w:pPr>
            <w:r>
              <w:rPr>
                <w:rFonts w:hint="default" w:ascii="Times New Roman" w:hAnsi="Times New Roman" w:eastAsia="仿宋_GB2312" w:cs="Times New Roman"/>
                <w:szCs w:val="21"/>
              </w:rPr>
              <w:t>（4）项目实施方案不详细，人员安排、工作部署不合理，不符合采购人工作要求，响应情况不能满足采购文件要求，得5分；</w:t>
            </w:r>
          </w:p>
          <w:p w14:paraId="05B3E633">
            <w:pPr>
              <w:rPr>
                <w:rFonts w:hint="default" w:ascii="Times New Roman" w:hAnsi="Times New Roman" w:eastAsia="仿宋_GB2312" w:cs="Times New Roman"/>
                <w:szCs w:val="21"/>
              </w:rPr>
            </w:pPr>
            <w:r>
              <w:rPr>
                <w:rFonts w:hint="default" w:ascii="Times New Roman" w:hAnsi="Times New Roman" w:eastAsia="仿宋_GB2312" w:cs="Times New Roman"/>
                <w:szCs w:val="21"/>
              </w:rPr>
              <w:t>（5）未提交响应内容或其他情况，不得分。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1EB0F4BA">
            <w:pPr>
              <w:autoSpaceDE w:val="0"/>
              <w:autoSpaceDN w:val="0"/>
              <w:adjustRightInd w:val="0"/>
              <w:snapToGrid w:val="0"/>
              <w:spacing w:line="200" w:lineRule="exact"/>
              <w:jc w:val="center"/>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t>20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4073B28F">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66C3026">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88EF2E6">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32D4EE7D">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r>
      <w:tr w14:paraId="29792A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73" w:type="dxa"/>
            <w:tcBorders>
              <w:top w:val="single" w:color="auto" w:sz="6" w:space="0"/>
              <w:bottom w:val="single" w:color="auto" w:sz="6" w:space="0"/>
              <w:right w:val="single" w:color="auto" w:sz="6" w:space="0"/>
            </w:tcBorders>
            <w:noWrap w:val="0"/>
            <w:vAlign w:val="center"/>
          </w:tcPr>
          <w:p w14:paraId="2C107CD8">
            <w:pPr>
              <w:numPr>
                <w:ilvl w:val="0"/>
                <w:numId w:val="1"/>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2DD71CD6">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仪器设备维修及维护保养方案</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0561F486">
            <w:pPr>
              <w:pStyle w:val="2"/>
              <w:ind w:firstLine="0" w:firstLineChars="0"/>
              <w:rPr>
                <w:rFonts w:hint="default" w:ascii="Times New Roman" w:hAnsi="Times New Roman" w:eastAsia="仿宋_GB2312" w:cs="Times New Roman"/>
              </w:rPr>
            </w:pPr>
            <w:r>
              <w:rPr>
                <w:rFonts w:hint="default" w:ascii="Times New Roman" w:hAnsi="Times New Roman" w:eastAsia="仿宋_GB2312" w:cs="Times New Roman"/>
              </w:rPr>
              <w:t>根据供应商对所有仪器设备维修及维护保养的方案和质量保证、数据安全保密措施进行评审：</w:t>
            </w:r>
          </w:p>
          <w:p w14:paraId="68FE9D2A">
            <w:pPr>
              <w:pStyle w:val="2"/>
              <w:ind w:firstLine="0" w:firstLineChars="0"/>
              <w:rPr>
                <w:rFonts w:hint="default" w:ascii="Times New Roman" w:hAnsi="Times New Roman" w:eastAsia="仿宋_GB2312" w:cs="Times New Roman"/>
              </w:rPr>
            </w:pPr>
            <w:r>
              <w:rPr>
                <w:rFonts w:hint="default" w:ascii="Times New Roman" w:hAnsi="Times New Roman" w:eastAsia="仿宋_GB2312" w:cs="Times New Roman"/>
              </w:rPr>
              <w:t>（1）具有完善的对营运的环境质量数据管理和数据安全保证能力，对所有仪器设备维修及维护保养的方案非常详细、清晰，质量保证和数据安全保密措施完整、高效，得10分；</w:t>
            </w:r>
          </w:p>
          <w:p w14:paraId="704CFDDE">
            <w:pPr>
              <w:pStyle w:val="2"/>
              <w:ind w:firstLine="0" w:firstLineChars="0"/>
              <w:rPr>
                <w:rFonts w:hint="default" w:ascii="Times New Roman" w:hAnsi="Times New Roman" w:eastAsia="仿宋_GB2312" w:cs="Times New Roman"/>
              </w:rPr>
            </w:pPr>
            <w:r>
              <w:rPr>
                <w:rFonts w:hint="default" w:ascii="Times New Roman" w:hAnsi="Times New Roman" w:eastAsia="仿宋_GB2312" w:cs="Times New Roman"/>
              </w:rPr>
              <w:t>（2）具有对营运的环境质量数据管理和数据安全保证能力，对所有仪器设备维修及维护保养的方案较为详细、清晰，质量保证和数据安全保密措施基本完整，得6分；</w:t>
            </w:r>
          </w:p>
          <w:p w14:paraId="3C9B4B38">
            <w:pPr>
              <w:pStyle w:val="2"/>
              <w:ind w:firstLine="0" w:firstLineChars="0"/>
              <w:rPr>
                <w:rFonts w:ascii="Times New Roman" w:hAnsi="Times New Roman"/>
              </w:rPr>
            </w:pPr>
            <w:r>
              <w:rPr>
                <w:rFonts w:hint="default" w:ascii="Times New Roman" w:hAnsi="Times New Roman" w:eastAsia="仿宋_GB2312" w:cs="Times New Roman"/>
              </w:rPr>
              <w:t>（3）不具备对营运的环境质量数据管理和数据安全保证能力，对所有仪器设备维修及维护保养的方案不详细、不清晰，质量保证和数据安全保密措施不完整，得3分；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299A4722">
            <w:pPr>
              <w:autoSpaceDE w:val="0"/>
              <w:autoSpaceDN w:val="0"/>
              <w:adjustRightInd w:val="0"/>
              <w:snapToGrid w:val="0"/>
              <w:spacing w:line="200" w:lineRule="exact"/>
              <w:jc w:val="center"/>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t>10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51F190DB">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4C67FBD">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4BDAA88">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79A243E2">
            <w:p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r>
      <w:tr w14:paraId="645B0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trPr>
        <w:tc>
          <w:tcPr>
            <w:tcW w:w="13851" w:type="dxa"/>
            <w:gridSpan w:val="8"/>
            <w:tcBorders>
              <w:top w:val="single" w:color="auto" w:sz="6" w:space="0"/>
              <w:bottom w:val="single" w:color="auto" w:sz="6" w:space="0"/>
            </w:tcBorders>
            <w:noWrap w:val="0"/>
            <w:vAlign w:val="center"/>
          </w:tcPr>
          <w:p w14:paraId="6A123D41">
            <w:pPr>
              <w:autoSpaceDE w:val="0"/>
              <w:autoSpaceDN w:val="0"/>
              <w:adjustRightInd w:val="0"/>
              <w:snapToGrid w:val="0"/>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b/>
                <w:kern w:val="0"/>
                <w:szCs w:val="21"/>
              </w:rPr>
              <w:t>二、商务部分 （</w:t>
            </w:r>
            <w:r>
              <w:rPr>
                <w:rFonts w:ascii="Times New Roman" w:hAnsi="Times New Roman" w:eastAsia="仿宋_GB2312" w:cs="Times New Roman"/>
                <w:b/>
                <w:kern w:val="0"/>
                <w:szCs w:val="21"/>
              </w:rPr>
              <w:t>5</w:t>
            </w:r>
            <w:r>
              <w:rPr>
                <w:rFonts w:hint="default" w:ascii="Times New Roman" w:hAnsi="Times New Roman" w:eastAsia="仿宋_GB2312" w:cs="Times New Roman"/>
                <w:b/>
                <w:kern w:val="0"/>
                <w:szCs w:val="21"/>
              </w:rPr>
              <w:t>0分）</w:t>
            </w:r>
          </w:p>
        </w:tc>
      </w:tr>
      <w:tr w14:paraId="06304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673" w:type="dxa"/>
            <w:tcBorders>
              <w:top w:val="single" w:color="auto" w:sz="6" w:space="0"/>
              <w:bottom w:val="single" w:color="auto" w:sz="6" w:space="0"/>
              <w:right w:val="single" w:color="auto" w:sz="6" w:space="0"/>
            </w:tcBorders>
            <w:noWrap w:val="0"/>
            <w:vAlign w:val="center"/>
          </w:tcPr>
          <w:p w14:paraId="03C0C78E">
            <w:pPr>
              <w:numPr>
                <w:ilvl w:val="0"/>
                <w:numId w:val="2"/>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4D8F71B1">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业绩情况</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64D88E65">
            <w:pPr>
              <w:rPr>
                <w:rFonts w:hint="default" w:ascii="Times New Roman" w:hAnsi="Times New Roman" w:eastAsia="仿宋_GB2312" w:cs="Times New Roman"/>
                <w:szCs w:val="21"/>
              </w:rPr>
            </w:pPr>
            <w:r>
              <w:rPr>
                <w:rFonts w:hint="default" w:ascii="Times New Roman" w:hAnsi="Times New Roman" w:eastAsia="仿宋_GB2312" w:cs="Times New Roman"/>
                <w:szCs w:val="21"/>
              </w:rPr>
              <w:t>投标人提供自202</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年至今的类似项目业绩，每提供1个得5分，本项满分15分。</w:t>
            </w:r>
          </w:p>
          <w:p w14:paraId="08ED3810">
            <w:pPr>
              <w:rPr>
                <w:rFonts w:hint="default" w:ascii="Times New Roman" w:hAnsi="Times New Roman" w:eastAsia="仿宋_GB2312" w:cs="Times New Roman"/>
                <w:szCs w:val="21"/>
                <w:lang w:bidi="ar"/>
              </w:rPr>
            </w:pPr>
            <w:r>
              <w:rPr>
                <w:rFonts w:hint="default" w:ascii="Times New Roman" w:hAnsi="Times New Roman" w:eastAsia="仿宋_GB2312" w:cs="Times New Roman"/>
                <w:szCs w:val="21"/>
              </w:rPr>
              <w:t>（需提供合同的复印件或扫描件，并加盖公章）</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149544B3">
            <w:pPr>
              <w:autoSpaceDE w:val="0"/>
              <w:autoSpaceDN w:val="0"/>
              <w:adjustRightInd w:val="0"/>
              <w:snapToGrid w:val="0"/>
              <w:spacing w:line="200" w:lineRule="exact"/>
              <w:ind w:left="-63" w:leftChars="-30" w:right="-88" w:rightChars="-42"/>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w:t>
            </w:r>
          </w:p>
        </w:tc>
        <w:tc>
          <w:tcPr>
            <w:tcW w:w="911" w:type="dxa"/>
            <w:tcBorders>
              <w:top w:val="single" w:color="auto" w:sz="6" w:space="0"/>
              <w:left w:val="single" w:color="auto" w:sz="6" w:space="0"/>
              <w:bottom w:val="single" w:color="auto" w:sz="6" w:space="0"/>
              <w:right w:val="single" w:color="auto" w:sz="6" w:space="0"/>
            </w:tcBorders>
            <w:noWrap w:val="0"/>
            <w:vAlign w:val="top"/>
          </w:tcPr>
          <w:p w14:paraId="483886AB">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07F5C841">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799AC2E">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101F33B6">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7706F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3" w:type="dxa"/>
            <w:tcBorders>
              <w:top w:val="single" w:color="auto" w:sz="6" w:space="0"/>
              <w:bottom w:val="single" w:color="auto" w:sz="6" w:space="0"/>
              <w:right w:val="single" w:color="auto" w:sz="6" w:space="0"/>
            </w:tcBorders>
            <w:noWrap w:val="0"/>
            <w:vAlign w:val="center"/>
          </w:tcPr>
          <w:p w14:paraId="5AB55012">
            <w:pPr>
              <w:numPr>
                <w:ilvl w:val="0"/>
                <w:numId w:val="2"/>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54CDB2F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投入本项目设备情况 </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40BB14B8">
            <w:pPr>
              <w:rPr>
                <w:rFonts w:hint="default" w:ascii="Times New Roman" w:hAnsi="Times New Roman" w:eastAsia="仿宋_GB2312" w:cs="Times New Roman"/>
                <w:szCs w:val="21"/>
              </w:rPr>
            </w:pPr>
            <w:r>
              <w:rPr>
                <w:rFonts w:hint="default" w:ascii="Times New Roman" w:hAnsi="Times New Roman" w:eastAsia="仿宋_GB2312" w:cs="Times New Roman"/>
                <w:szCs w:val="21"/>
              </w:rPr>
              <w:t>投标人为本项目配备的SO2、NO2、CO、PM10、PM2.5、O3等监测项目和校准设备的备用机各至少3台，在仪表发生故障不能在短期内维修完毕时可直接使用备用机替代工作。每项监测项提供1台备机，得1分，最多得3分；6项监测项目总共最多得18分。</w:t>
            </w:r>
          </w:p>
          <w:p w14:paraId="0EE4DB7F">
            <w:pPr>
              <w:rPr>
                <w:rFonts w:hint="default" w:ascii="Times New Roman" w:hAnsi="Times New Roman" w:eastAsia="仿宋_GB2312" w:cs="Times New Roman"/>
                <w:szCs w:val="21"/>
              </w:rPr>
            </w:pPr>
            <w:r>
              <w:rPr>
                <w:rFonts w:hint="default" w:ascii="Times New Roman" w:hAnsi="Times New Roman" w:eastAsia="仿宋_GB2312" w:cs="Times New Roman"/>
                <w:szCs w:val="21"/>
              </w:rPr>
              <w:t>注：须提供备用分析仪表的清单（包括但不限于设备名称、型号、品牌）、仪器照片及购买或租赁合同（复印件加盖供应商公章，如为租赁，则租赁时间段要覆盖项目周期）、国家环境监测总站颁发的有效期内的适应性检测报告（复印件加盖公章）。</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24BA8663">
            <w:pPr>
              <w:autoSpaceDE w:val="0"/>
              <w:autoSpaceDN w:val="0"/>
              <w:adjustRightInd w:val="0"/>
              <w:snapToGrid w:val="0"/>
              <w:spacing w:line="20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18</w:t>
            </w:r>
          </w:p>
        </w:tc>
        <w:tc>
          <w:tcPr>
            <w:tcW w:w="911" w:type="dxa"/>
            <w:tcBorders>
              <w:top w:val="single" w:color="auto" w:sz="6" w:space="0"/>
              <w:left w:val="single" w:color="auto" w:sz="6" w:space="0"/>
              <w:bottom w:val="single" w:color="auto" w:sz="6" w:space="0"/>
              <w:right w:val="single" w:color="auto" w:sz="6" w:space="0"/>
            </w:tcBorders>
            <w:noWrap w:val="0"/>
            <w:vAlign w:val="top"/>
          </w:tcPr>
          <w:p w14:paraId="0AA6D112">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E3B2171">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C545CC9">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6712E99B">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7BAE5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3" w:type="dxa"/>
            <w:tcBorders>
              <w:top w:val="single" w:color="auto" w:sz="6" w:space="0"/>
              <w:bottom w:val="single" w:color="auto" w:sz="6" w:space="0"/>
              <w:right w:val="single" w:color="auto" w:sz="6" w:space="0"/>
            </w:tcBorders>
            <w:noWrap w:val="0"/>
            <w:vAlign w:val="center"/>
          </w:tcPr>
          <w:p w14:paraId="18C4127A">
            <w:pPr>
              <w:numPr>
                <w:ilvl w:val="0"/>
                <w:numId w:val="2"/>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6810923F">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能力认证</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43699D69">
            <w:pPr>
              <w:rPr>
                <w:rFonts w:hint="default" w:ascii="Times New Roman" w:hAnsi="Times New Roman" w:eastAsia="仿宋_GB2312" w:cs="Times New Roman"/>
                <w:szCs w:val="21"/>
              </w:rPr>
            </w:pPr>
            <w:r>
              <w:rPr>
                <w:rFonts w:hint="default" w:ascii="Times New Roman" w:hAnsi="Times New Roman" w:eastAsia="仿宋_GB2312" w:cs="Times New Roman"/>
                <w:szCs w:val="21"/>
              </w:rPr>
              <w:t>投标人具有环境管理体系认证证书、质量管理体系认证证书的</w:t>
            </w:r>
            <w:r>
              <w:rPr>
                <w:rFonts w:hint="default" w:ascii="Times New Roman" w:hAnsi="Times New Roman" w:eastAsia="仿宋_GB2312" w:cs="Times New Roman"/>
                <w:szCs w:val="21"/>
                <w:lang w:eastAsia="zh-CN"/>
              </w:rPr>
              <w:t>每提供</w:t>
            </w: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lang w:eastAsia="zh-CN"/>
              </w:rPr>
              <w:t>项得</w:t>
            </w:r>
            <w:r>
              <w:rPr>
                <w:rFonts w:hint="default" w:ascii="Times New Roman" w:hAnsi="Times New Roman" w:eastAsia="仿宋_GB2312" w:cs="Times New Roman"/>
                <w:szCs w:val="21"/>
                <w:lang w:val="en-US" w:eastAsia="zh-CN"/>
              </w:rPr>
              <w:t>1.5分，最高得3分</w:t>
            </w:r>
            <w:r>
              <w:rPr>
                <w:rFonts w:hint="default" w:ascii="Times New Roman" w:hAnsi="Times New Roman" w:eastAsia="仿宋_GB2312" w:cs="Times New Roman"/>
                <w:szCs w:val="21"/>
              </w:rPr>
              <w:t>。</w:t>
            </w:r>
          </w:p>
          <w:p w14:paraId="76E7343C">
            <w:pPr>
              <w:rPr>
                <w:rFonts w:hint="default" w:ascii="Times New Roman" w:hAnsi="Times New Roman" w:eastAsia="仿宋_GB2312" w:cs="Times New Roman"/>
                <w:szCs w:val="21"/>
              </w:rPr>
            </w:pPr>
            <w:r>
              <w:rPr>
                <w:rFonts w:hint="default" w:ascii="Times New Roman" w:hAnsi="Times New Roman" w:eastAsia="仿宋_GB2312" w:cs="Times New Roman"/>
                <w:szCs w:val="21"/>
              </w:rPr>
              <w:t>注：提供证书影印件或扫描件，不提供或不在有效期内的不得分。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78E4CCEB">
            <w:pPr>
              <w:autoSpaceDE w:val="0"/>
              <w:autoSpaceDN w:val="0"/>
              <w:adjustRightInd w:val="0"/>
              <w:snapToGrid w:val="0"/>
              <w:spacing w:line="200" w:lineRule="exact"/>
              <w:ind w:left="-63" w:leftChars="-30" w:right="-88" w:rightChars="-42"/>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911" w:type="dxa"/>
            <w:tcBorders>
              <w:top w:val="single" w:color="auto" w:sz="6" w:space="0"/>
              <w:left w:val="single" w:color="auto" w:sz="6" w:space="0"/>
              <w:bottom w:val="single" w:color="auto" w:sz="6" w:space="0"/>
              <w:right w:val="single" w:color="auto" w:sz="6" w:space="0"/>
            </w:tcBorders>
            <w:noWrap w:val="0"/>
            <w:vAlign w:val="top"/>
          </w:tcPr>
          <w:p w14:paraId="6DBCFA4F">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96C7028">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3EEEEB70">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11726D6E">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710A2A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73" w:type="dxa"/>
            <w:tcBorders>
              <w:top w:val="single" w:color="auto" w:sz="6" w:space="0"/>
              <w:bottom w:val="single" w:color="auto" w:sz="6" w:space="0"/>
              <w:right w:val="single" w:color="auto" w:sz="6" w:space="0"/>
            </w:tcBorders>
            <w:noWrap w:val="0"/>
            <w:vAlign w:val="center"/>
          </w:tcPr>
          <w:p w14:paraId="315C1466">
            <w:pPr>
              <w:numPr>
                <w:ilvl w:val="0"/>
                <w:numId w:val="2"/>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6FCDFB7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项目负责人实力</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12318F97">
            <w:pPr>
              <w:rPr>
                <w:rFonts w:hint="default" w:ascii="Times New Roman" w:hAnsi="Times New Roman" w:eastAsia="仿宋_GB2312" w:cs="Times New Roman"/>
                <w:szCs w:val="21"/>
              </w:rPr>
            </w:pPr>
            <w:r>
              <w:rPr>
                <w:rFonts w:hint="default" w:ascii="Times New Roman" w:hAnsi="Times New Roman" w:eastAsia="仿宋_GB2312" w:cs="Times New Roman"/>
                <w:szCs w:val="21"/>
              </w:rPr>
              <w:t>项目负责人具有环保或相关专业高级或以上职称的得5分，具有环保或相关专业中级职称的得3分，其余不得分。</w:t>
            </w:r>
          </w:p>
          <w:p w14:paraId="788BCC3E">
            <w:pPr>
              <w:widowControl/>
              <w:wordWrap w:val="0"/>
              <w:spacing w:line="300" w:lineRule="auto"/>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注：须提供上述人员相关职称证书复印件、以及上述人员与供应商签订的劳务合同复印件或由社保机构或税务部门出具的在本项目投标截止日前</w:t>
            </w: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个月内任意1个月的由供应商为其购买的社保证明加盖供应商公章，无或缺项或未按要求递交证明材料的不得分。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5EFFA140">
            <w:pPr>
              <w:autoSpaceDE w:val="0"/>
              <w:autoSpaceDN w:val="0"/>
              <w:adjustRightInd w:val="0"/>
              <w:snapToGrid w:val="0"/>
              <w:spacing w:line="200" w:lineRule="exact"/>
              <w:ind w:left="-63" w:leftChars="-30" w:right="-88" w:rightChars="-42"/>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Cs/>
                <w:kern w:val="0"/>
                <w:szCs w:val="21"/>
              </w:rPr>
              <w:t>5</w:t>
            </w:r>
          </w:p>
        </w:tc>
        <w:tc>
          <w:tcPr>
            <w:tcW w:w="911" w:type="dxa"/>
            <w:tcBorders>
              <w:top w:val="single" w:color="auto" w:sz="6" w:space="0"/>
              <w:left w:val="single" w:color="auto" w:sz="6" w:space="0"/>
              <w:bottom w:val="single" w:color="auto" w:sz="6" w:space="0"/>
              <w:right w:val="single" w:color="auto" w:sz="6" w:space="0"/>
            </w:tcBorders>
            <w:noWrap w:val="0"/>
            <w:vAlign w:val="top"/>
          </w:tcPr>
          <w:p w14:paraId="5BDDD96A">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7D54ACF">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D685BC8">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7F0C3E2D">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5BC4A8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8" w:hRule="atLeast"/>
        </w:trPr>
        <w:tc>
          <w:tcPr>
            <w:tcW w:w="673" w:type="dxa"/>
            <w:tcBorders>
              <w:top w:val="single" w:color="auto" w:sz="6" w:space="0"/>
              <w:bottom w:val="single" w:color="auto" w:sz="6" w:space="0"/>
              <w:right w:val="single" w:color="auto" w:sz="6" w:space="0"/>
            </w:tcBorders>
            <w:noWrap w:val="0"/>
            <w:vAlign w:val="center"/>
          </w:tcPr>
          <w:p w14:paraId="6551DAC1">
            <w:pPr>
              <w:numPr>
                <w:ilvl w:val="0"/>
                <w:numId w:val="2"/>
              </w:numPr>
              <w:autoSpaceDE w:val="0"/>
              <w:autoSpaceDN w:val="0"/>
              <w:adjustRightInd w:val="0"/>
              <w:snapToGrid w:val="0"/>
              <w:spacing w:line="200" w:lineRule="exact"/>
              <w:jc w:val="center"/>
              <w:rPr>
                <w:rFonts w:hint="default" w:ascii="Times New Roman" w:hAnsi="Times New Roman" w:eastAsia="仿宋_GB2312" w:cs="Times New Roman"/>
                <w:bCs/>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74239065">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技术人员能力</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447EC456">
            <w:pPr>
              <w:rPr>
                <w:rFonts w:hint="default" w:ascii="Times New Roman" w:hAnsi="Times New Roman" w:eastAsia="仿宋_GB2312" w:cs="Times New Roman"/>
                <w:szCs w:val="21"/>
              </w:rPr>
            </w:pPr>
            <w:r>
              <w:rPr>
                <w:rFonts w:hint="default" w:ascii="Times New Roman" w:hAnsi="Times New Roman" w:eastAsia="仿宋_GB2312" w:cs="Times New Roman"/>
                <w:szCs w:val="21"/>
              </w:rPr>
              <w:t>项目服务人员具有中国环境监测总站颁发的环境空气自动监测运维与质控培训班培训合格证书的，每提供1人得3分，满分9分；</w:t>
            </w:r>
          </w:p>
          <w:p w14:paraId="44EC1038">
            <w:pPr>
              <w:rPr>
                <w:rFonts w:hint="default" w:ascii="Times New Roman" w:hAnsi="Times New Roman" w:eastAsia="仿宋_GB2312" w:cs="Times New Roman"/>
                <w:szCs w:val="21"/>
              </w:rPr>
            </w:pPr>
            <w:r>
              <w:rPr>
                <w:rFonts w:hint="default" w:ascii="Times New Roman" w:hAnsi="Times New Roman" w:eastAsia="仿宋_GB2312" w:cs="Times New Roman"/>
                <w:szCs w:val="21"/>
              </w:rPr>
              <w:t>注：须提供上述人员相关证书复印件、以及上述人员与供应商签订的劳务合同复印件或由社保机构或税务部门出具的在本项目投标截止日前</w:t>
            </w: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个月内任意1个月的由供应商为其购买的社保证明加盖供应商公章，无或缺项或未按要求递交证明材料的不得分。</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6032B8AD">
            <w:pPr>
              <w:autoSpaceDE w:val="0"/>
              <w:autoSpaceDN w:val="0"/>
              <w:adjustRightInd w:val="0"/>
              <w:snapToGrid w:val="0"/>
              <w:spacing w:line="200" w:lineRule="exact"/>
              <w:ind w:left="-63" w:leftChars="-30" w:right="-88" w:rightChars="-42"/>
              <w:jc w:val="center"/>
              <w:rPr>
                <w:rFonts w:hint="default" w:ascii="Times New Roman" w:hAnsi="Times New Roman" w:eastAsia="仿宋_GB2312" w:cs="Times New Roman"/>
                <w:bCs/>
                <w:kern w:val="0"/>
                <w:szCs w:val="21"/>
              </w:rPr>
            </w:pPr>
            <w:r>
              <w:rPr>
                <w:rFonts w:hint="default" w:ascii="Times New Roman" w:hAnsi="Times New Roman" w:eastAsia="仿宋_GB2312" w:cs="Times New Roman"/>
                <w:bCs/>
                <w:kern w:val="0"/>
                <w:szCs w:val="21"/>
              </w:rPr>
              <w:t>9</w:t>
            </w:r>
          </w:p>
        </w:tc>
        <w:tc>
          <w:tcPr>
            <w:tcW w:w="911" w:type="dxa"/>
            <w:tcBorders>
              <w:top w:val="single" w:color="auto" w:sz="6" w:space="0"/>
              <w:left w:val="single" w:color="auto" w:sz="6" w:space="0"/>
              <w:bottom w:val="single" w:color="auto" w:sz="6" w:space="0"/>
              <w:right w:val="single" w:color="auto" w:sz="6" w:space="0"/>
            </w:tcBorders>
            <w:noWrap w:val="0"/>
            <w:vAlign w:val="top"/>
          </w:tcPr>
          <w:p w14:paraId="01F87ADD">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6C99716">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277E8703">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0B689580">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2066F1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851" w:type="dxa"/>
            <w:gridSpan w:val="8"/>
            <w:tcBorders>
              <w:top w:val="single" w:color="auto" w:sz="6" w:space="0"/>
              <w:bottom w:val="single" w:color="auto" w:sz="6" w:space="0"/>
            </w:tcBorders>
            <w:noWrap w:val="0"/>
            <w:vAlign w:val="center"/>
          </w:tcPr>
          <w:p w14:paraId="33A07120">
            <w:pPr>
              <w:autoSpaceDE w:val="0"/>
              <w:autoSpaceDN w:val="0"/>
              <w:adjustRightInd w:val="0"/>
              <w:snapToGrid w:val="0"/>
              <w:spacing w:line="200" w:lineRule="exact"/>
              <w:ind w:left="-78" w:leftChars="-37" w:right="-73" w:rightChars="-35"/>
              <w:jc w:val="left"/>
              <w:rPr>
                <w:rFonts w:hint="default" w:ascii="Times New Roman" w:hAnsi="Times New Roman" w:eastAsia="仿宋_GB2312" w:cs="Times New Roman"/>
                <w:kern w:val="0"/>
                <w:szCs w:val="21"/>
              </w:rPr>
            </w:pPr>
            <w:r>
              <w:rPr>
                <w:rFonts w:hint="default" w:ascii="Times New Roman" w:hAnsi="Times New Roman" w:eastAsia="仿宋_GB2312" w:cs="Times New Roman"/>
                <w:b/>
                <w:kern w:val="0"/>
                <w:szCs w:val="21"/>
              </w:rPr>
              <w:t>三、价格部分（20分）</w:t>
            </w:r>
          </w:p>
        </w:tc>
      </w:tr>
      <w:tr w14:paraId="137688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73" w:type="dxa"/>
            <w:tcBorders>
              <w:top w:val="single" w:color="auto" w:sz="6" w:space="0"/>
              <w:bottom w:val="single" w:color="auto" w:sz="6" w:space="0"/>
              <w:right w:val="single" w:color="auto" w:sz="6" w:space="0"/>
            </w:tcBorders>
            <w:noWrap w:val="0"/>
            <w:vAlign w:val="center"/>
          </w:tcPr>
          <w:p w14:paraId="4CD20C48">
            <w:pPr>
              <w:numPr>
                <w:ilvl w:val="0"/>
                <w:numId w:val="3"/>
              </w:numPr>
              <w:autoSpaceDE w:val="0"/>
              <w:autoSpaceDN w:val="0"/>
              <w:adjustRightInd w:val="0"/>
              <w:snapToGrid w:val="0"/>
              <w:spacing w:line="200" w:lineRule="exact"/>
              <w:jc w:val="center"/>
              <w:rPr>
                <w:rFonts w:hint="default" w:ascii="Times New Roman" w:hAnsi="Times New Roman" w:eastAsia="仿宋_GB2312" w:cs="Times New Roman"/>
                <w:kern w:val="0"/>
                <w:szCs w:val="21"/>
              </w:rPr>
            </w:pPr>
          </w:p>
        </w:tc>
        <w:tc>
          <w:tcPr>
            <w:tcW w:w="960" w:type="dxa"/>
            <w:tcBorders>
              <w:top w:val="single" w:color="auto" w:sz="6" w:space="0"/>
              <w:left w:val="single" w:color="auto" w:sz="6" w:space="0"/>
              <w:bottom w:val="single" w:color="auto" w:sz="6" w:space="0"/>
              <w:right w:val="single" w:color="auto" w:sz="6" w:space="0"/>
            </w:tcBorders>
            <w:noWrap w:val="0"/>
            <w:vAlign w:val="center"/>
          </w:tcPr>
          <w:p w14:paraId="66EA2610">
            <w:pPr>
              <w:autoSpaceDE w:val="0"/>
              <w:autoSpaceDN w:val="0"/>
              <w:adjustRightInd w:val="0"/>
              <w:snapToGrid w:val="0"/>
              <w:spacing w:line="2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价格得分</w:t>
            </w:r>
          </w:p>
        </w:tc>
        <w:tc>
          <w:tcPr>
            <w:tcW w:w="7865" w:type="dxa"/>
            <w:tcBorders>
              <w:top w:val="single" w:color="auto" w:sz="6" w:space="0"/>
              <w:left w:val="single" w:color="auto" w:sz="6" w:space="0"/>
              <w:bottom w:val="single" w:color="auto" w:sz="6" w:space="0"/>
              <w:right w:val="single" w:color="auto" w:sz="6" w:space="0"/>
            </w:tcBorders>
            <w:noWrap w:val="0"/>
            <w:vAlign w:val="center"/>
          </w:tcPr>
          <w:p w14:paraId="4FA3405C">
            <w:pPr>
              <w:autoSpaceDE w:val="0"/>
              <w:autoSpaceDN w:val="0"/>
              <w:adjustRightInd w:val="0"/>
              <w:snapToGrid w:val="0"/>
              <w:spacing w:line="3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价格分应当采用低价优先法计算，即满足采购需求且报价最低的为基准价，该项价格得分为满分。其他供应商的价格得分统一按照下列公式计算： 供应商价格得分=(基准价／报价)×15，价格得分四舍五入后保留小数点后两位有效数。</w:t>
            </w:r>
            <w:r>
              <w:rPr>
                <w:rFonts w:hint="default" w:ascii="Times New Roman" w:hAnsi="Times New Roman" w:eastAsia="仿宋_GB2312" w:cs="Times New Roman"/>
                <w:b/>
                <w:szCs w:val="21"/>
              </w:rPr>
              <w:t>（对符合规定的小型和微型企业（监狱企业、残疾人福利单位视同小型、微型企业）报价给予10%的价格扣除。）</w:t>
            </w:r>
          </w:p>
        </w:tc>
        <w:tc>
          <w:tcPr>
            <w:tcW w:w="706" w:type="dxa"/>
            <w:tcBorders>
              <w:top w:val="single" w:color="auto" w:sz="6" w:space="0"/>
              <w:left w:val="single" w:color="auto" w:sz="6" w:space="0"/>
              <w:bottom w:val="single" w:color="auto" w:sz="6" w:space="0"/>
              <w:right w:val="single" w:color="auto" w:sz="6" w:space="0"/>
            </w:tcBorders>
            <w:noWrap w:val="0"/>
            <w:vAlign w:val="center"/>
          </w:tcPr>
          <w:p w14:paraId="335288CC">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911" w:type="dxa"/>
            <w:tcBorders>
              <w:top w:val="single" w:color="auto" w:sz="6" w:space="0"/>
              <w:left w:val="single" w:color="auto" w:sz="6" w:space="0"/>
              <w:bottom w:val="single" w:color="auto" w:sz="6" w:space="0"/>
              <w:right w:val="single" w:color="auto" w:sz="6" w:space="0"/>
            </w:tcBorders>
            <w:noWrap w:val="0"/>
            <w:vAlign w:val="top"/>
          </w:tcPr>
          <w:p w14:paraId="57D794A9">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44FA05C7">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1917BB32">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c>
          <w:tcPr>
            <w:tcW w:w="912" w:type="dxa"/>
            <w:tcBorders>
              <w:top w:val="single" w:color="auto" w:sz="6" w:space="0"/>
              <w:left w:val="single" w:color="auto" w:sz="6" w:space="0"/>
              <w:bottom w:val="single" w:color="auto" w:sz="6" w:space="0"/>
            </w:tcBorders>
            <w:noWrap w:val="0"/>
            <w:vAlign w:val="top"/>
          </w:tcPr>
          <w:p w14:paraId="0F98582D">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kern w:val="0"/>
                <w:szCs w:val="21"/>
              </w:rPr>
            </w:pPr>
          </w:p>
        </w:tc>
      </w:tr>
      <w:tr w14:paraId="78B48D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498" w:type="dxa"/>
            <w:gridSpan w:val="3"/>
            <w:tcBorders>
              <w:top w:val="single" w:color="auto" w:sz="6" w:space="0"/>
              <w:right w:val="single" w:color="auto" w:sz="6" w:space="0"/>
            </w:tcBorders>
            <w:noWrap w:val="0"/>
            <w:vAlign w:val="center"/>
          </w:tcPr>
          <w:p w14:paraId="06DB074E">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合计</w:t>
            </w:r>
          </w:p>
        </w:tc>
        <w:tc>
          <w:tcPr>
            <w:tcW w:w="706" w:type="dxa"/>
            <w:tcBorders>
              <w:top w:val="single" w:color="auto" w:sz="6" w:space="0"/>
              <w:left w:val="single" w:color="auto" w:sz="6" w:space="0"/>
              <w:right w:val="single" w:color="auto" w:sz="6" w:space="0"/>
            </w:tcBorders>
            <w:noWrap w:val="0"/>
            <w:vAlign w:val="center"/>
          </w:tcPr>
          <w:p w14:paraId="65353DE2">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r>
              <w:rPr>
                <w:rFonts w:hint="default" w:ascii="Times New Roman" w:hAnsi="Times New Roman" w:eastAsia="仿宋_GB2312" w:cs="Times New Roman"/>
                <w:b/>
                <w:kern w:val="0"/>
                <w:szCs w:val="21"/>
              </w:rPr>
              <w:t xml:space="preserve">100 </w:t>
            </w:r>
          </w:p>
        </w:tc>
        <w:tc>
          <w:tcPr>
            <w:tcW w:w="911" w:type="dxa"/>
            <w:tcBorders>
              <w:top w:val="single" w:color="auto" w:sz="6" w:space="0"/>
              <w:left w:val="single" w:color="auto" w:sz="6" w:space="0"/>
              <w:right w:val="single" w:color="auto" w:sz="6" w:space="0"/>
            </w:tcBorders>
            <w:noWrap w:val="0"/>
            <w:vAlign w:val="top"/>
          </w:tcPr>
          <w:p w14:paraId="05180134">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p>
        </w:tc>
        <w:tc>
          <w:tcPr>
            <w:tcW w:w="912" w:type="dxa"/>
            <w:tcBorders>
              <w:top w:val="single" w:color="auto" w:sz="6" w:space="0"/>
              <w:left w:val="single" w:color="auto" w:sz="6" w:space="0"/>
              <w:right w:val="single" w:color="auto" w:sz="6" w:space="0"/>
            </w:tcBorders>
            <w:noWrap w:val="0"/>
            <w:vAlign w:val="top"/>
          </w:tcPr>
          <w:p w14:paraId="52742C4F">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p>
        </w:tc>
        <w:tc>
          <w:tcPr>
            <w:tcW w:w="912" w:type="dxa"/>
            <w:tcBorders>
              <w:top w:val="single" w:color="auto" w:sz="6" w:space="0"/>
              <w:left w:val="single" w:color="auto" w:sz="6" w:space="0"/>
              <w:right w:val="single" w:color="auto" w:sz="6" w:space="0"/>
            </w:tcBorders>
            <w:noWrap w:val="0"/>
            <w:vAlign w:val="top"/>
          </w:tcPr>
          <w:p w14:paraId="53D208AF">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p>
        </w:tc>
        <w:tc>
          <w:tcPr>
            <w:tcW w:w="912" w:type="dxa"/>
            <w:tcBorders>
              <w:top w:val="single" w:color="auto" w:sz="6" w:space="0"/>
              <w:left w:val="single" w:color="auto" w:sz="6" w:space="0"/>
            </w:tcBorders>
            <w:noWrap w:val="0"/>
            <w:vAlign w:val="top"/>
          </w:tcPr>
          <w:p w14:paraId="24410D0C">
            <w:pPr>
              <w:autoSpaceDE w:val="0"/>
              <w:autoSpaceDN w:val="0"/>
              <w:adjustRightInd w:val="0"/>
              <w:snapToGrid w:val="0"/>
              <w:spacing w:line="200" w:lineRule="exact"/>
              <w:ind w:left="-78" w:leftChars="-37" w:right="-73" w:rightChars="-35"/>
              <w:jc w:val="center"/>
              <w:rPr>
                <w:rFonts w:hint="default" w:ascii="Times New Roman" w:hAnsi="Times New Roman" w:eastAsia="仿宋_GB2312" w:cs="Times New Roman"/>
                <w:b/>
                <w:kern w:val="0"/>
                <w:szCs w:val="21"/>
              </w:rPr>
            </w:pPr>
          </w:p>
        </w:tc>
      </w:tr>
    </w:tbl>
    <w:p w14:paraId="5F5D6B1B">
      <w:pPr>
        <w:pStyle w:val="5"/>
        <w:ind w:firstLine="0" w:firstLineChars="0"/>
        <w:jc w:val="center"/>
        <w:rPr>
          <w:rFonts w:hint="eastAsia" w:ascii="Times New Roman" w:hAnsi="Times New Roman" w:eastAsia="方正小标宋_GBK"/>
          <w:bCs/>
          <w:kern w:val="2"/>
          <w:sz w:val="36"/>
          <w:szCs w:val="36"/>
          <w:lang w:val="en-US"/>
        </w:rPr>
      </w:pPr>
    </w:p>
    <w:p w14:paraId="1EC56A42">
      <w:pPr>
        <w:pStyle w:val="5"/>
        <w:ind w:firstLine="0" w:firstLineChars="0"/>
        <w:jc w:val="center"/>
        <w:rPr>
          <w:rFonts w:hint="eastAsia" w:ascii="Times New Roman" w:hAnsi="Times New Roman" w:eastAsia="方正小标宋_GBK"/>
          <w:bCs/>
          <w:kern w:val="2"/>
          <w:sz w:val="36"/>
          <w:szCs w:val="36"/>
          <w:lang w:val="en-US"/>
        </w:rPr>
      </w:pPr>
    </w:p>
    <w:p w14:paraId="28CCE5F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729FA"/>
    <w:multiLevelType w:val="multilevel"/>
    <w:tmpl w:val="166729FA"/>
    <w:lvl w:ilvl="0" w:tentative="0">
      <w:start w:val="1"/>
      <w:numFmt w:val="chineseCountingThousand"/>
      <w:lvlText w:val="(%1)"/>
      <w:lvlJc w:val="left"/>
      <w:pPr>
        <w:ind w:left="420" w:hanging="420"/>
      </w:pPr>
      <w:rPr>
        <w:rFonts w:hint="default"/>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751BED"/>
    <w:multiLevelType w:val="multilevel"/>
    <w:tmpl w:val="43751BED"/>
    <w:lvl w:ilvl="0" w:tentative="0">
      <w:start w:val="1"/>
      <w:numFmt w:val="chineseCountingThousand"/>
      <w:lvlText w:val="(%1)"/>
      <w:lvlJc w:val="left"/>
      <w:pPr>
        <w:ind w:left="420" w:hanging="420"/>
      </w:pPr>
      <w:rPr>
        <w:rFonts w:hint="default"/>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C86346"/>
    <w:multiLevelType w:val="multilevel"/>
    <w:tmpl w:val="71C86346"/>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66596"/>
    <w:rsid w:val="32166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customStyle="1" w:styleId="5">
    <w:name w:val="正文格式"/>
    <w:basedOn w:val="1"/>
    <w:qFormat/>
    <w:uiPriority w:val="0"/>
    <w:pPr>
      <w:spacing w:line="360" w:lineRule="auto"/>
      <w:ind w:firstLine="200" w:firstLineChars="200"/>
    </w:pPr>
    <w:rPr>
      <w:rFonts w:ascii="宋体" w:hAnsi="宋体"/>
      <w:kern w:val="0"/>
      <w:sz w:val="24"/>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2025-05-21T09:17:00Z</dcterms:created>
  <dc:creator>李耀明</dc:creator>
  <cp:lastModifiedBy>李耀明</cp:lastModifiedBy>
  <dcterms:modified xsi:type="dcterms:W3CDTF">2025-05-21T09:17:44Z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838CF9735C6F4FB1B70A4CBE7CC8DE2A_11</vt:lpwstr>
  </property>
  <property fmtid="{D5CDD505-2E9C-101B-9397-08002B2CF9AE}" pid="4" name="KSOTemplateDocerSaveRecord">
    <vt:lpwstr>eyJoZGlkIjoiMDM3NGU3YmU1ODYyYjdmN2E3ZWRhMmM0MjY3M2IwZTIifQ==</vt:lpwstr>
  </property>
</Properties>
</file>