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80" w:lineRule="exact"/>
        <w:jc w:val="center"/>
        <w:rPr>
          <w:rFonts w:hint="default" w:ascii="Times New Roman" w:hAnsi="Times New Roman" w:eastAsia="方正大标宋_GBK" w:cs="Times New Roman"/>
          <w:b w:val="0"/>
          <w:bCs/>
          <w:sz w:val="42"/>
          <w:szCs w:val="42"/>
          <w:highlight w:val="none"/>
        </w:rPr>
      </w:pPr>
      <w:r>
        <w:rPr>
          <w:rFonts w:hint="default" w:ascii="Times New Roman" w:hAnsi="Times New Roman" w:eastAsia="方正大标宋_GBK" w:cs="Times New Roman"/>
          <w:b w:val="0"/>
          <w:bCs/>
          <w:sz w:val="42"/>
          <w:szCs w:val="42"/>
          <w:highlight w:val="none"/>
        </w:rPr>
        <w:t>202</w:t>
      </w:r>
      <w:r>
        <w:rPr>
          <w:rFonts w:hint="default" w:ascii="Times New Roman" w:hAnsi="Times New Roman" w:eastAsia="方正大标宋_GBK" w:cs="Times New Roman"/>
          <w:b w:val="0"/>
          <w:bCs/>
          <w:sz w:val="42"/>
          <w:szCs w:val="42"/>
          <w:highlight w:val="none"/>
          <w:lang w:val="en-US" w:eastAsia="zh-CN"/>
        </w:rPr>
        <w:t>5</w:t>
      </w:r>
      <w:r>
        <w:rPr>
          <w:rFonts w:hint="default" w:ascii="Times New Roman" w:hAnsi="Times New Roman" w:eastAsia="方正大标宋_GBK" w:cs="Times New Roman"/>
          <w:b w:val="0"/>
          <w:bCs/>
          <w:sz w:val="42"/>
          <w:szCs w:val="42"/>
          <w:highlight w:val="none"/>
        </w:rPr>
        <w:t>年江门市住房公积金管理中心</w:t>
      </w:r>
    </w:p>
    <w:p>
      <w:pPr>
        <w:pStyle w:val="2"/>
        <w:spacing w:before="0" w:after="0" w:line="480" w:lineRule="exact"/>
        <w:jc w:val="center"/>
        <w:rPr>
          <w:rFonts w:hint="default" w:ascii="Times New Roman" w:hAnsi="Times New Roman" w:eastAsia="方正大标宋_GBK" w:cs="Times New Roman"/>
          <w:b w:val="0"/>
          <w:bCs/>
          <w:sz w:val="42"/>
          <w:szCs w:val="42"/>
          <w:highlight w:val="none"/>
        </w:rPr>
      </w:pPr>
      <w:r>
        <w:rPr>
          <w:rFonts w:hint="default" w:ascii="Times New Roman" w:hAnsi="Times New Roman" w:eastAsia="方正大标宋_GBK" w:cs="Times New Roman"/>
          <w:b w:val="0"/>
          <w:bCs/>
          <w:sz w:val="42"/>
          <w:szCs w:val="42"/>
          <w:highlight w:val="none"/>
        </w:rPr>
        <w:t>信息系统运维服务项目采购方案</w:t>
      </w:r>
    </w:p>
    <w:p>
      <w:pPr>
        <w:rPr>
          <w:rFonts w:hint="default" w:ascii="Times New Roman" w:hAnsi="Times New Roman" w:cs="Times New Roman"/>
          <w:highlight w:val="none"/>
          <w:lang w:val="zh-CN"/>
        </w:rPr>
      </w:pP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lang w:val="en-US"/>
        </w:rPr>
        <w:t>为</w:t>
      </w:r>
      <w:r>
        <w:rPr>
          <w:rFonts w:hint="default" w:ascii="Times New Roman" w:hAnsi="Times New Roman" w:eastAsia="方正仿宋_GBK" w:cs="Times New Roman"/>
          <w:sz w:val="30"/>
          <w:szCs w:val="30"/>
          <w:highlight w:val="none"/>
        </w:rPr>
        <w:t>保障住房公积金信息管理系统的稳定运行，保障住房公积金业务的顺利开展，拟进行本年度“江门市住房公积金管理中心202</w:t>
      </w:r>
      <w:r>
        <w:rPr>
          <w:rFonts w:hint="default" w:ascii="Times New Roman" w:hAnsi="Times New Roman" w:eastAsia="方正仿宋_GBK" w:cs="Times New Roman"/>
          <w:sz w:val="30"/>
          <w:szCs w:val="30"/>
          <w:highlight w:val="none"/>
          <w:lang w:val="en-US" w:eastAsia="zh-CN"/>
        </w:rPr>
        <w:t>5</w:t>
      </w:r>
      <w:r>
        <w:rPr>
          <w:rFonts w:hint="default" w:ascii="Times New Roman" w:hAnsi="Times New Roman" w:eastAsia="方正仿宋_GBK" w:cs="Times New Roman"/>
          <w:sz w:val="30"/>
          <w:szCs w:val="30"/>
          <w:highlight w:val="none"/>
        </w:rPr>
        <w:t>年信息系统运维服务项目”采购工作。</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outlineLvl w:val="1"/>
        <w:rPr>
          <w:rFonts w:hint="default" w:ascii="Times New Roman" w:hAnsi="Times New Roman" w:eastAsia="方正黑体_GBK" w:cs="Times New Roman"/>
          <w:sz w:val="30"/>
          <w:szCs w:val="30"/>
          <w:highlight w:val="none"/>
        </w:rPr>
      </w:pPr>
      <w:r>
        <w:rPr>
          <w:rFonts w:hint="default" w:ascii="Times New Roman" w:hAnsi="Times New Roman" w:eastAsia="方正黑体_GBK" w:cs="Times New Roman"/>
          <w:sz w:val="30"/>
          <w:szCs w:val="30"/>
          <w:highlight w:val="none"/>
          <w:lang w:val="en-US"/>
        </w:rPr>
        <w:t>一、</w:t>
      </w:r>
      <w:r>
        <w:rPr>
          <w:rFonts w:hint="default" w:ascii="Times New Roman" w:hAnsi="Times New Roman" w:eastAsia="方正黑体_GBK" w:cs="Times New Roman"/>
          <w:sz w:val="30"/>
          <w:szCs w:val="30"/>
          <w:highlight w:val="none"/>
        </w:rPr>
        <w:t>项目服务内容及要求</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outlineLvl w:val="2"/>
        <w:rPr>
          <w:rFonts w:hint="default" w:ascii="Times New Roman" w:hAnsi="Times New Roman" w:eastAsia="方正楷体_GBK" w:cs="Times New Roman"/>
          <w:sz w:val="30"/>
          <w:szCs w:val="30"/>
          <w:highlight w:val="none"/>
        </w:rPr>
      </w:pPr>
      <w:r>
        <w:rPr>
          <w:rFonts w:hint="default" w:ascii="Times New Roman" w:hAnsi="Times New Roman" w:eastAsia="方正楷体_GBK" w:cs="Times New Roman"/>
          <w:sz w:val="30"/>
          <w:szCs w:val="30"/>
          <w:highlight w:val="none"/>
        </w:rPr>
        <w:t>（一）日常运维工作内容</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供应商负责江门市住房公积金管理中心双贯标系统（包括</w:t>
      </w:r>
      <w:r>
        <w:rPr>
          <w:rFonts w:hint="default" w:ascii="Times New Roman" w:hAnsi="Times New Roman" w:eastAsia="方正仿宋_GBK" w:cs="Times New Roman"/>
          <w:sz w:val="30"/>
          <w:szCs w:val="30"/>
          <w:highlight w:val="none"/>
          <w:lang w:val="en-US"/>
        </w:rPr>
        <w:t>财务系统、</w:t>
      </w:r>
      <w:r>
        <w:rPr>
          <w:rFonts w:hint="default" w:ascii="Times New Roman" w:hAnsi="Times New Roman" w:eastAsia="方正仿宋_GBK" w:cs="Times New Roman"/>
          <w:sz w:val="30"/>
          <w:szCs w:val="30"/>
          <w:highlight w:val="none"/>
        </w:rPr>
        <w:t>归集提取系统、贷款系统、公共系统等4个子系统）、智慧公积金服务接口（含单位业务和个人业务）、数据上报接口的日常运维工作。具体内容详见附件</w:t>
      </w:r>
      <w:r>
        <w:rPr>
          <w:rFonts w:hint="default" w:ascii="Times New Roman" w:hAnsi="Times New Roman" w:eastAsia="方正仿宋_GBK" w:cs="Times New Roman"/>
          <w:sz w:val="30"/>
          <w:szCs w:val="30"/>
          <w:highlight w:val="none"/>
          <w:lang w:val="en-US"/>
        </w:rPr>
        <w:t>二</w:t>
      </w:r>
      <w:r>
        <w:rPr>
          <w:rFonts w:hint="default" w:ascii="Times New Roman" w:hAnsi="Times New Roman" w:eastAsia="方正仿宋_GBK" w:cs="Times New Roman"/>
          <w:sz w:val="30"/>
          <w:szCs w:val="30"/>
          <w:highlight w:val="none"/>
        </w:rPr>
        <w:t>。</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eastAsia="方正仿宋_GBK" w:cs="Times New Roman"/>
          <w:sz w:val="30"/>
          <w:szCs w:val="30"/>
          <w:highlight w:val="none"/>
        </w:rPr>
        <w:t>.业务系统软件维护</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供应商应密切跟踪系统的运行情况，对于因软件设计缺陷导致的各种数据错误、滞后、缺漏，以及业务模块功能繁琐等，供应商应通过派工程师到现场或其他方式配合采购人检查并解决，供应商维护时须按照本合同要求进行。</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lang w:val="en-US" w:eastAsia="zh-CN"/>
        </w:rPr>
        <w:t>2</w:t>
      </w:r>
      <w:r>
        <w:rPr>
          <w:rFonts w:hint="default" w:ascii="Times New Roman" w:hAnsi="Times New Roman" w:eastAsia="方正仿宋_GBK" w:cs="Times New Roman"/>
          <w:sz w:val="30"/>
          <w:szCs w:val="30"/>
          <w:highlight w:val="none"/>
        </w:rPr>
        <w:t>.系统突发事件及其排除</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业务软件出现突发事件时，接到采购人通知后，供应商应在第一时间协助采购人进行处理，若二小时内无法排除故障且确有必要的，供应商须派熟悉该系统的工程师赶赴现场协助解决。供应商工程师赶赴现场解决问题后，采购人有权对处理结果进行验收，验收合格的采购人应确认处理结果；验收不合格的，供应商应一直处理直至故障完全排除为止。</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lang w:val="en-US" w:eastAsia="zh-CN"/>
        </w:rPr>
        <w:t>3</w:t>
      </w:r>
      <w:r>
        <w:rPr>
          <w:rFonts w:hint="default" w:ascii="Times New Roman" w:hAnsi="Times New Roman" w:eastAsia="方正仿宋_GBK" w:cs="Times New Roman"/>
          <w:sz w:val="30"/>
          <w:szCs w:val="30"/>
          <w:highlight w:val="none"/>
        </w:rPr>
        <w:t>.业务系统软件维护报告</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供应商根据本合同要求，提供每月巡检服务，并提供季度服务报告，包括业务软件维护情况统计报告（报告内容要至少包含但不限于维护提交数量、修改数量、新增功能数量），并根据运行情况，对系统运行性能和容量变化等进行针对性的分析，当预计到系统需要升级版本或扩容时，应在该报告中提醒采购人并制定出可行的应对方案。</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outlineLvl w:val="2"/>
        <w:rPr>
          <w:rFonts w:hint="default" w:ascii="Times New Roman" w:hAnsi="Times New Roman" w:eastAsia="方正楷体_GBK" w:cs="Times New Roman"/>
          <w:sz w:val="30"/>
          <w:szCs w:val="30"/>
          <w:highlight w:val="none"/>
        </w:rPr>
      </w:pPr>
      <w:r>
        <w:rPr>
          <w:rFonts w:hint="default" w:ascii="Times New Roman" w:hAnsi="Times New Roman" w:eastAsia="方正楷体_GBK" w:cs="Times New Roman"/>
          <w:sz w:val="30"/>
          <w:szCs w:val="30"/>
          <w:highlight w:val="none"/>
        </w:rPr>
        <w:t>（二）运维工作要求和服务方式</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供应商应配备熟悉住房公积金业务及系统软件方面的人员以保障运维工作的质量，供应商应成立项目组并提供相关人员名单，服务人员应相对固定。</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1.电话支持</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供应商为采购人提供7天×24小时电话技术支持服务，协助解答采购人提出的各种技术问题，包括技术咨询、指导和信息提供等。</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2.远程支持</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经采购人同意且条件允许情况下，供应商可通过远程专线网络连接的方式进行远程维护和指导解决问题。</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3.现场服务</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eastAsia" w:ascii="Times New Roman" w:hAnsi="Times New Roman" w:eastAsia="方正仿宋_GBK" w:cs="Times New Roman"/>
          <w:color w:val="auto"/>
          <w:sz w:val="30"/>
          <w:szCs w:val="30"/>
          <w:highlight w:val="none"/>
          <w:lang w:val="en-US" w:eastAsia="zh-CN"/>
        </w:rPr>
      </w:pPr>
      <w:r>
        <w:rPr>
          <w:rFonts w:hint="default" w:ascii="Times New Roman" w:hAnsi="Times New Roman" w:eastAsia="方正仿宋_GBK" w:cs="Times New Roman"/>
          <w:sz w:val="30"/>
          <w:szCs w:val="30"/>
          <w:highlight w:val="none"/>
        </w:rPr>
        <w:t>供应商安排</w:t>
      </w:r>
      <w:r>
        <w:rPr>
          <w:rFonts w:hint="eastAsia" w:ascii="Times New Roman" w:hAnsi="Times New Roman" w:eastAsia="方正仿宋_GBK" w:cs="Times New Roman"/>
          <w:strike w:val="0"/>
          <w:color w:val="auto"/>
          <w:sz w:val="30"/>
          <w:szCs w:val="30"/>
          <w:highlight w:val="none"/>
          <w:lang w:val="en-US" w:eastAsia="zh-CN"/>
        </w:rPr>
        <w:t>1-2</w:t>
      </w:r>
      <w:r>
        <w:rPr>
          <w:rFonts w:hint="default" w:ascii="Times New Roman" w:hAnsi="Times New Roman" w:eastAsia="方正仿宋_GBK" w:cs="Times New Roman"/>
          <w:color w:val="auto"/>
          <w:sz w:val="30"/>
          <w:szCs w:val="30"/>
          <w:highlight w:val="none"/>
        </w:rPr>
        <w:t>名人员，向采购人提供驻场维护技术支持工作，作息时间与采购人保持一致。</w:t>
      </w:r>
      <w:r>
        <w:rPr>
          <w:rFonts w:hint="eastAsia" w:ascii="Times New Roman" w:hAnsi="Times New Roman" w:eastAsia="方正仿宋_GBK" w:cs="Times New Roman"/>
          <w:color w:val="auto"/>
          <w:sz w:val="30"/>
          <w:szCs w:val="30"/>
          <w:highlight w:val="none"/>
          <w:lang w:eastAsia="zh-CN"/>
        </w:rPr>
        <w:t>遇有特殊情况（例信息化攻防演习、临时任务等），按采购方人员和时间要求落实。</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4.系统软件安装和系统变更的技术支持</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供应商提供系统软件的安装指导，包括：提供电话支持、远程或现场检查、咨询等。</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5.工作确认</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采购人在</w:t>
      </w:r>
      <w:r>
        <w:rPr>
          <w:rFonts w:hint="default" w:ascii="Times New Roman" w:hAnsi="Times New Roman" w:eastAsia="方正仿宋_GBK" w:cs="Times New Roman"/>
          <w:sz w:val="30"/>
          <w:szCs w:val="30"/>
          <w:highlight w:val="none"/>
          <w:lang w:val="en-US"/>
        </w:rPr>
        <w:t>提供</w:t>
      </w:r>
      <w:r>
        <w:rPr>
          <w:rFonts w:hint="default" w:ascii="Times New Roman" w:hAnsi="Times New Roman" w:eastAsia="方正仿宋_GBK" w:cs="Times New Roman"/>
          <w:sz w:val="30"/>
          <w:szCs w:val="30"/>
          <w:highlight w:val="none"/>
        </w:rPr>
        <w:t>服务需求时，应通过工单系统提交，工单系统的记录作为服务确认的依据。</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outlineLvl w:val="1"/>
        <w:rPr>
          <w:rFonts w:hint="default" w:ascii="Times New Roman" w:hAnsi="Times New Roman" w:eastAsia="方正黑体_GBK" w:cs="Times New Roman"/>
          <w:sz w:val="30"/>
          <w:szCs w:val="30"/>
          <w:highlight w:val="none"/>
        </w:rPr>
      </w:pPr>
      <w:r>
        <w:rPr>
          <w:rFonts w:hint="default" w:ascii="Times New Roman" w:hAnsi="Times New Roman" w:eastAsia="方正黑体_GBK" w:cs="Times New Roman"/>
          <w:sz w:val="30"/>
          <w:szCs w:val="30"/>
          <w:highlight w:val="none"/>
        </w:rPr>
        <w:t>二、项目期限</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本次采购的服务期限为一年，即从202</w:t>
      </w:r>
      <w:r>
        <w:rPr>
          <w:rFonts w:hint="default" w:ascii="Times New Roman" w:hAnsi="Times New Roman" w:eastAsia="方正仿宋_GBK" w:cs="Times New Roman"/>
          <w:sz w:val="30"/>
          <w:szCs w:val="30"/>
          <w:highlight w:val="none"/>
          <w:lang w:val="en-US" w:eastAsia="zh-CN"/>
        </w:rPr>
        <w:t>5</w:t>
      </w:r>
      <w:r>
        <w:rPr>
          <w:rFonts w:hint="default" w:ascii="Times New Roman" w:hAnsi="Times New Roman" w:eastAsia="方正仿宋_GBK" w:cs="Times New Roman"/>
          <w:sz w:val="30"/>
          <w:szCs w:val="30"/>
          <w:highlight w:val="none"/>
        </w:rPr>
        <w:t>年</w:t>
      </w:r>
      <w:r>
        <w:rPr>
          <w:rFonts w:hint="default" w:ascii="Times New Roman" w:hAnsi="Times New Roman" w:eastAsia="方正仿宋_GBK" w:cs="Times New Roman"/>
          <w:sz w:val="30"/>
          <w:szCs w:val="30"/>
          <w:highlight w:val="none"/>
          <w:lang w:val="en-US"/>
        </w:rPr>
        <w:t>7</w:t>
      </w:r>
      <w:r>
        <w:rPr>
          <w:rFonts w:hint="default" w:ascii="Times New Roman" w:hAnsi="Times New Roman" w:eastAsia="方正仿宋_GBK" w:cs="Times New Roman"/>
          <w:sz w:val="30"/>
          <w:szCs w:val="30"/>
          <w:highlight w:val="none"/>
        </w:rPr>
        <w:t>月1日起至202</w:t>
      </w:r>
      <w:r>
        <w:rPr>
          <w:rFonts w:hint="default" w:ascii="Times New Roman" w:hAnsi="Times New Roman" w:eastAsia="方正仿宋_GBK" w:cs="Times New Roman"/>
          <w:sz w:val="30"/>
          <w:szCs w:val="30"/>
          <w:highlight w:val="none"/>
          <w:lang w:val="en-US" w:eastAsia="zh-CN"/>
        </w:rPr>
        <w:t>6</w:t>
      </w:r>
      <w:r>
        <w:rPr>
          <w:rFonts w:hint="default" w:ascii="Times New Roman" w:hAnsi="Times New Roman" w:eastAsia="方正仿宋_GBK" w:cs="Times New Roman"/>
          <w:sz w:val="30"/>
          <w:szCs w:val="30"/>
          <w:highlight w:val="none"/>
        </w:rPr>
        <w:t>年</w:t>
      </w:r>
      <w:r>
        <w:rPr>
          <w:rFonts w:hint="default" w:ascii="Times New Roman" w:hAnsi="Times New Roman" w:eastAsia="方正仿宋_GBK" w:cs="Times New Roman"/>
          <w:sz w:val="30"/>
          <w:szCs w:val="30"/>
          <w:highlight w:val="none"/>
          <w:lang w:val="en-US"/>
        </w:rPr>
        <w:t>6</w:t>
      </w:r>
      <w:r>
        <w:rPr>
          <w:rFonts w:hint="default" w:ascii="Times New Roman" w:hAnsi="Times New Roman" w:eastAsia="方正仿宋_GBK" w:cs="Times New Roman"/>
          <w:sz w:val="30"/>
          <w:szCs w:val="30"/>
          <w:highlight w:val="none"/>
        </w:rPr>
        <w:t>月3</w:t>
      </w:r>
      <w:r>
        <w:rPr>
          <w:rFonts w:hint="default" w:ascii="Times New Roman" w:hAnsi="Times New Roman" w:eastAsia="方正仿宋_GBK" w:cs="Times New Roman"/>
          <w:sz w:val="30"/>
          <w:szCs w:val="30"/>
          <w:highlight w:val="none"/>
          <w:lang w:val="en-US"/>
        </w:rPr>
        <w:t>0</w:t>
      </w:r>
      <w:r>
        <w:rPr>
          <w:rFonts w:hint="default" w:ascii="Times New Roman" w:hAnsi="Times New Roman" w:eastAsia="方正仿宋_GBK" w:cs="Times New Roman"/>
          <w:sz w:val="30"/>
          <w:szCs w:val="30"/>
          <w:highlight w:val="none"/>
        </w:rPr>
        <w:t>日止。</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outlineLvl w:val="1"/>
        <w:rPr>
          <w:rFonts w:hint="default" w:ascii="Times New Roman" w:hAnsi="Times New Roman" w:eastAsia="方正黑体_GBK" w:cs="Times New Roman"/>
          <w:sz w:val="30"/>
          <w:szCs w:val="30"/>
          <w:highlight w:val="none"/>
        </w:rPr>
      </w:pPr>
      <w:r>
        <w:rPr>
          <w:rFonts w:hint="default" w:ascii="Times New Roman" w:hAnsi="Times New Roman" w:eastAsia="方正黑体_GBK" w:cs="Times New Roman"/>
          <w:sz w:val="30"/>
          <w:szCs w:val="30"/>
          <w:highlight w:val="none"/>
        </w:rPr>
        <w:t>三、采购方式及程序</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本项目不属于《广东省政府集中采购目录及标准（2020年版）》的范畴，需自行采购。项目拟在“江门市住房和城乡建设局”网站公告并以公开招标的方式开展自行采购。供应商按本采购项目要求提供相关材料，我中心将按</w:t>
      </w:r>
      <w:r>
        <w:rPr>
          <w:rFonts w:hint="default" w:ascii="Times New Roman" w:hAnsi="Times New Roman" w:eastAsia="方正仿宋_GBK" w:cs="Times New Roman"/>
          <w:sz w:val="30"/>
          <w:szCs w:val="30"/>
          <w:highlight w:val="none"/>
          <w:lang w:val="en-US"/>
        </w:rPr>
        <w:t>附件一</w:t>
      </w:r>
      <w:r>
        <w:rPr>
          <w:rFonts w:hint="default" w:ascii="Times New Roman" w:hAnsi="Times New Roman" w:eastAsia="方正仿宋_GBK" w:cs="Times New Roman"/>
          <w:sz w:val="30"/>
          <w:szCs w:val="30"/>
          <w:highlight w:val="none"/>
        </w:rPr>
        <w:t>中的评审内容对不少于三家供应商进行评审，最后综合得分最高者即为中选供应商。公告期内少于3家单位报名或评审时通过资格性审查的单位少于3家则停止采购，重新拟定采购方案后再次开展采购工作。</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outlineLvl w:val="1"/>
        <w:rPr>
          <w:rFonts w:hint="default" w:ascii="Times New Roman" w:hAnsi="Times New Roman" w:eastAsia="方正黑体_GBK" w:cs="Times New Roman"/>
          <w:sz w:val="30"/>
          <w:szCs w:val="30"/>
          <w:highlight w:val="none"/>
        </w:rPr>
      </w:pPr>
      <w:r>
        <w:rPr>
          <w:rFonts w:hint="default" w:ascii="Times New Roman" w:hAnsi="Times New Roman" w:eastAsia="方正黑体_GBK" w:cs="Times New Roman"/>
          <w:sz w:val="30"/>
          <w:szCs w:val="30"/>
          <w:highlight w:val="none"/>
        </w:rPr>
        <w:t>四、供应商资格要求</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（一）在中华人民共和国境内注册或登记的具有独立承担民事责任能力的企业法人或其他组织。</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（二）符合《中华人民共和国政府采购法》第二十二条的规定，并应提交有效的企业法人营业执照副本复印件或法人资格凭证。</w:t>
      </w:r>
    </w:p>
    <w:p>
      <w:pPr>
        <w:pStyle w:val="5"/>
        <w:keepNext w:val="0"/>
        <w:keepLines w:val="0"/>
        <w:pageBreakBefore w:val="0"/>
        <w:widowControl w:val="0"/>
        <w:kinsoku/>
        <w:wordWrap/>
        <w:overflowPunct/>
        <w:topLinePunct w:val="0"/>
        <w:autoSpaceDE/>
        <w:autoSpaceDN/>
        <w:bidi w:val="0"/>
        <w:adjustRightInd/>
        <w:snapToGrid w:val="0"/>
        <w:spacing w:line="580" w:lineRule="exact"/>
        <w:ind w:firstLine="600" w:firstLineChars="200"/>
        <w:contextualSpacing/>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（三）供应商</w:t>
      </w:r>
      <w:r>
        <w:rPr>
          <w:rFonts w:hint="eastAsia" w:ascii="Times New Roman" w:hAnsi="Times New Roman" w:eastAsia="方正仿宋_GBK" w:cs="Times New Roman"/>
          <w:sz w:val="30"/>
          <w:szCs w:val="30"/>
          <w:highlight w:val="none"/>
          <w:lang w:val="en-US" w:eastAsia="zh-CN"/>
        </w:rPr>
        <w:t>应</w:t>
      </w:r>
      <w:r>
        <w:rPr>
          <w:rFonts w:hint="default" w:ascii="Times New Roman" w:hAnsi="Times New Roman" w:eastAsia="方正仿宋_GBK" w:cs="Times New Roman"/>
          <w:sz w:val="30"/>
          <w:szCs w:val="30"/>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w:t>
      </w:r>
      <w:r>
        <w:rPr>
          <w:rFonts w:hint="default" w:ascii="Times New Roman" w:hAnsi="Times New Roman" w:eastAsia="方正仿宋_GBK" w:cs="Times New Roman"/>
          <w:sz w:val="30"/>
          <w:szCs w:val="30"/>
          <w:highlight w:val="none"/>
          <w:lang w:val="en-US"/>
        </w:rPr>
        <w:t>四</w:t>
      </w:r>
      <w:r>
        <w:rPr>
          <w:rFonts w:hint="default" w:ascii="Times New Roman" w:hAnsi="Times New Roman" w:eastAsia="方正仿宋_GBK" w:cs="Times New Roman"/>
          <w:sz w:val="30"/>
          <w:szCs w:val="30"/>
          <w:highlight w:val="none"/>
        </w:rPr>
        <w:t>）本项目不接受联合体投标。</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outlineLvl w:val="1"/>
        <w:rPr>
          <w:rFonts w:hint="default" w:ascii="Times New Roman" w:hAnsi="Times New Roman" w:eastAsia="方正黑体_GBK" w:cs="Times New Roman"/>
          <w:sz w:val="30"/>
          <w:szCs w:val="30"/>
          <w:highlight w:val="none"/>
        </w:rPr>
      </w:pPr>
      <w:r>
        <w:rPr>
          <w:rFonts w:hint="default" w:ascii="Times New Roman" w:hAnsi="Times New Roman" w:eastAsia="方正黑体_GBK" w:cs="Times New Roman"/>
          <w:sz w:val="30"/>
          <w:szCs w:val="30"/>
          <w:highlight w:val="none"/>
        </w:rPr>
        <w:t>五、项目费用和支付方式</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（一）本项目总价为人民币</w:t>
      </w:r>
      <w:r>
        <w:rPr>
          <w:rFonts w:hint="default" w:ascii="Times New Roman" w:hAnsi="Times New Roman" w:eastAsia="方正仿宋_GBK" w:cs="Times New Roman"/>
          <w:sz w:val="30"/>
          <w:szCs w:val="30"/>
          <w:highlight w:val="none"/>
          <w:lang w:val="en-US"/>
        </w:rPr>
        <w:t>70</w:t>
      </w:r>
      <w:r>
        <w:rPr>
          <w:rFonts w:hint="default" w:ascii="Times New Roman" w:hAnsi="Times New Roman" w:eastAsia="方正仿宋_GBK" w:cs="Times New Roman"/>
          <w:sz w:val="30"/>
          <w:szCs w:val="30"/>
          <w:highlight w:val="none"/>
        </w:rPr>
        <w:t>万元（含税价），最高限价为人民币</w:t>
      </w:r>
      <w:r>
        <w:rPr>
          <w:rFonts w:hint="default" w:ascii="Times New Roman" w:hAnsi="Times New Roman" w:eastAsia="方正仿宋_GBK" w:cs="Times New Roman"/>
          <w:sz w:val="30"/>
          <w:szCs w:val="30"/>
          <w:highlight w:val="none"/>
          <w:lang w:val="en-US"/>
        </w:rPr>
        <w:t>70</w:t>
      </w:r>
      <w:r>
        <w:rPr>
          <w:rFonts w:hint="default" w:ascii="Times New Roman" w:hAnsi="Times New Roman" w:eastAsia="方正仿宋_GBK" w:cs="Times New Roman"/>
          <w:sz w:val="30"/>
          <w:szCs w:val="30"/>
          <w:highlight w:val="none"/>
        </w:rPr>
        <w:t>万元（含税价），响应报价不得超过最高限价，否则作无效响应处理。</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（二）服务费用分二期支付，合同生效且收到</w:t>
      </w:r>
      <w:r>
        <w:rPr>
          <w:rFonts w:hint="default" w:ascii="Times New Roman" w:hAnsi="Times New Roman" w:eastAsia="方正仿宋_GBK" w:cs="Times New Roman"/>
          <w:sz w:val="30"/>
          <w:szCs w:val="30"/>
          <w:highlight w:val="none"/>
          <w:lang w:val="en-US"/>
        </w:rPr>
        <w:t>供应商</w:t>
      </w:r>
      <w:r>
        <w:rPr>
          <w:rFonts w:hint="default" w:ascii="Times New Roman" w:hAnsi="Times New Roman" w:eastAsia="方正仿宋_GBK" w:cs="Times New Roman"/>
          <w:sz w:val="30"/>
          <w:szCs w:val="30"/>
          <w:highlight w:val="none"/>
        </w:rPr>
        <w:t>提供的发票后二十个工作日内，</w:t>
      </w:r>
      <w:r>
        <w:rPr>
          <w:rFonts w:hint="default" w:ascii="Times New Roman" w:hAnsi="Times New Roman" w:eastAsia="方正仿宋_GBK" w:cs="Times New Roman"/>
          <w:sz w:val="30"/>
          <w:szCs w:val="30"/>
          <w:highlight w:val="none"/>
          <w:lang w:val="en-US"/>
        </w:rPr>
        <w:t>采购人</w:t>
      </w:r>
      <w:r>
        <w:rPr>
          <w:rFonts w:hint="default" w:ascii="Times New Roman" w:hAnsi="Times New Roman" w:eastAsia="方正仿宋_GBK" w:cs="Times New Roman"/>
          <w:sz w:val="30"/>
          <w:szCs w:val="30"/>
          <w:highlight w:val="none"/>
        </w:rPr>
        <w:t>向</w:t>
      </w:r>
      <w:r>
        <w:rPr>
          <w:rFonts w:hint="default" w:ascii="Times New Roman" w:hAnsi="Times New Roman" w:eastAsia="方正仿宋_GBK" w:cs="Times New Roman"/>
          <w:sz w:val="30"/>
          <w:szCs w:val="30"/>
          <w:highlight w:val="none"/>
          <w:lang w:val="en-US"/>
        </w:rPr>
        <w:t>供应商</w:t>
      </w:r>
      <w:r>
        <w:rPr>
          <w:rFonts w:hint="default" w:ascii="Times New Roman" w:hAnsi="Times New Roman" w:eastAsia="方正仿宋_GBK" w:cs="Times New Roman"/>
          <w:sz w:val="30"/>
          <w:szCs w:val="30"/>
          <w:highlight w:val="none"/>
        </w:rPr>
        <w:t>支付人民币贰拾伍万伍仟元整（￥255,000.00），服务期届满且验收通过，</w:t>
      </w:r>
      <w:r>
        <w:rPr>
          <w:rFonts w:hint="default" w:ascii="Times New Roman" w:hAnsi="Times New Roman" w:eastAsia="方正仿宋_GBK" w:cs="Times New Roman"/>
          <w:sz w:val="30"/>
          <w:szCs w:val="30"/>
          <w:highlight w:val="none"/>
          <w:lang w:val="en-US"/>
        </w:rPr>
        <w:t>采购人</w:t>
      </w:r>
      <w:r>
        <w:rPr>
          <w:rFonts w:hint="default" w:ascii="Times New Roman" w:hAnsi="Times New Roman" w:eastAsia="方正仿宋_GBK" w:cs="Times New Roman"/>
          <w:sz w:val="30"/>
          <w:szCs w:val="30"/>
          <w:highlight w:val="none"/>
        </w:rPr>
        <w:t>收到</w:t>
      </w:r>
      <w:r>
        <w:rPr>
          <w:rFonts w:hint="default" w:ascii="Times New Roman" w:hAnsi="Times New Roman" w:eastAsia="方正仿宋_GBK" w:cs="Times New Roman"/>
          <w:sz w:val="30"/>
          <w:szCs w:val="30"/>
          <w:highlight w:val="none"/>
          <w:lang w:val="en-US"/>
        </w:rPr>
        <w:t>供应商</w:t>
      </w:r>
      <w:r>
        <w:rPr>
          <w:rFonts w:hint="default" w:ascii="Times New Roman" w:hAnsi="Times New Roman" w:eastAsia="方正仿宋_GBK" w:cs="Times New Roman"/>
          <w:sz w:val="30"/>
          <w:szCs w:val="30"/>
          <w:highlight w:val="none"/>
        </w:rPr>
        <w:t>提供的发票后二十个工作日内，</w:t>
      </w:r>
      <w:r>
        <w:rPr>
          <w:rFonts w:hint="default" w:ascii="Times New Roman" w:hAnsi="Times New Roman" w:eastAsia="方正仿宋_GBK" w:cs="Times New Roman"/>
          <w:sz w:val="30"/>
          <w:szCs w:val="30"/>
          <w:highlight w:val="none"/>
          <w:lang w:val="en-US"/>
        </w:rPr>
        <w:t>采购人</w:t>
      </w:r>
      <w:r>
        <w:rPr>
          <w:rFonts w:hint="default" w:ascii="Times New Roman" w:hAnsi="Times New Roman" w:eastAsia="方正仿宋_GBK" w:cs="Times New Roman"/>
          <w:sz w:val="30"/>
          <w:szCs w:val="30"/>
          <w:highlight w:val="none"/>
        </w:rPr>
        <w:t>向</w:t>
      </w:r>
      <w:r>
        <w:rPr>
          <w:rFonts w:hint="default" w:ascii="Times New Roman" w:hAnsi="Times New Roman" w:eastAsia="方正仿宋_GBK" w:cs="Times New Roman"/>
          <w:sz w:val="30"/>
          <w:szCs w:val="30"/>
          <w:highlight w:val="none"/>
          <w:lang w:val="en-US"/>
        </w:rPr>
        <w:t>供应商</w:t>
      </w:r>
      <w:r>
        <w:rPr>
          <w:rFonts w:hint="default" w:ascii="Times New Roman" w:hAnsi="Times New Roman" w:eastAsia="方正仿宋_GBK" w:cs="Times New Roman"/>
          <w:sz w:val="30"/>
          <w:szCs w:val="30"/>
          <w:highlight w:val="none"/>
        </w:rPr>
        <w:t>支付人民币肆拾肆万伍仟元整（￥445,000.00）。供应商向采购方申请付款时，需先向采购方提供相当于采购方付款金额的发票。</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三）因采购方使用的是财政资金，上述条款规定的付款时间为采购方向政府采购支付部门提出办理财政支付申请手续的时间（不含政府财政支付部门审核的时间），在规定时间内提出支付申请手续后即视为采购方已经按期支付。</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w:t>
      </w:r>
      <w:r>
        <w:rPr>
          <w:rFonts w:hint="default" w:ascii="Times New Roman" w:hAnsi="Times New Roman" w:eastAsia="方正仿宋_GBK" w:cs="Times New Roman"/>
          <w:sz w:val="30"/>
          <w:szCs w:val="30"/>
          <w:highlight w:val="none"/>
          <w:lang w:val="en-US" w:eastAsia="zh-CN"/>
        </w:rPr>
        <w:t>四</w:t>
      </w:r>
      <w:r>
        <w:rPr>
          <w:rFonts w:hint="default" w:ascii="Times New Roman" w:hAnsi="Times New Roman" w:eastAsia="方正仿宋_GBK" w:cs="Times New Roman"/>
          <w:sz w:val="30"/>
          <w:szCs w:val="30"/>
          <w:highlight w:val="none"/>
        </w:rPr>
        <w:t>）每次付款前,</w:t>
      </w:r>
      <w:r>
        <w:rPr>
          <w:rFonts w:hint="default" w:ascii="Times New Roman" w:hAnsi="Times New Roman" w:eastAsia="方正仿宋_GBK" w:cs="Times New Roman"/>
          <w:sz w:val="30"/>
          <w:szCs w:val="30"/>
          <w:highlight w:val="none"/>
          <w:lang w:val="en-US"/>
        </w:rPr>
        <w:t>供应商</w:t>
      </w:r>
      <w:r>
        <w:rPr>
          <w:rFonts w:hint="default" w:ascii="Times New Roman" w:hAnsi="Times New Roman" w:eastAsia="方正仿宋_GBK" w:cs="Times New Roman"/>
          <w:sz w:val="30"/>
          <w:szCs w:val="30"/>
          <w:highlight w:val="none"/>
        </w:rPr>
        <w:t>负责向</w:t>
      </w:r>
      <w:r>
        <w:rPr>
          <w:rFonts w:hint="default" w:ascii="Times New Roman" w:hAnsi="Times New Roman" w:eastAsia="方正仿宋_GBK" w:cs="Times New Roman"/>
          <w:sz w:val="30"/>
          <w:szCs w:val="30"/>
          <w:highlight w:val="none"/>
          <w:lang w:val="en-US"/>
        </w:rPr>
        <w:t>采购人</w:t>
      </w:r>
      <w:r>
        <w:rPr>
          <w:rFonts w:hint="default" w:ascii="Times New Roman" w:hAnsi="Times New Roman" w:eastAsia="方正仿宋_GBK" w:cs="Times New Roman"/>
          <w:sz w:val="30"/>
          <w:szCs w:val="30"/>
          <w:highlight w:val="none"/>
        </w:rPr>
        <w:t>开具符合国家规定的相应数额的增值税普通发票</w:t>
      </w:r>
      <w:r>
        <w:rPr>
          <w:rFonts w:hint="eastAsia" w:ascii="Times New Roman" w:hAnsi="Times New Roman" w:eastAsia="方正仿宋_GBK" w:cs="Times New Roman"/>
          <w:sz w:val="30"/>
          <w:szCs w:val="30"/>
          <w:highlight w:val="none"/>
          <w:lang w:eastAsia="zh-CN"/>
        </w:rPr>
        <w:t>，</w:t>
      </w:r>
      <w:bookmarkStart w:id="0" w:name="_GoBack"/>
      <w:bookmarkEnd w:id="0"/>
      <w:r>
        <w:rPr>
          <w:rFonts w:hint="default" w:ascii="Times New Roman" w:hAnsi="Times New Roman" w:eastAsia="方正仿宋_GBK" w:cs="Times New Roman"/>
          <w:sz w:val="30"/>
          <w:szCs w:val="30"/>
          <w:highlight w:val="none"/>
        </w:rPr>
        <w:t>发票内容为运维服务费</w:t>
      </w:r>
      <w:r>
        <w:rPr>
          <w:rFonts w:hint="eastAsia" w:ascii="Times New Roman" w:hAnsi="Times New Roman" w:eastAsia="方正仿宋_GBK" w:cs="Times New Roman"/>
          <w:sz w:val="30"/>
          <w:szCs w:val="30"/>
          <w:highlight w:val="none"/>
          <w:lang w:eastAsia="zh-CN"/>
        </w:rPr>
        <w:t>，</w:t>
      </w:r>
      <w:r>
        <w:rPr>
          <w:rFonts w:hint="default" w:ascii="Times New Roman" w:hAnsi="Times New Roman" w:eastAsia="方正仿宋_GBK" w:cs="Times New Roman"/>
          <w:sz w:val="30"/>
          <w:szCs w:val="30"/>
          <w:highlight w:val="none"/>
          <w:lang w:val="en-US"/>
        </w:rPr>
        <w:t>采购人</w:t>
      </w:r>
      <w:r>
        <w:rPr>
          <w:rFonts w:hint="default" w:ascii="Times New Roman" w:hAnsi="Times New Roman" w:eastAsia="方正仿宋_GBK" w:cs="Times New Roman"/>
          <w:sz w:val="30"/>
          <w:szCs w:val="30"/>
          <w:highlight w:val="none"/>
        </w:rPr>
        <w:t>审核无误后,以转账方式将费用汇至</w:t>
      </w:r>
      <w:r>
        <w:rPr>
          <w:rFonts w:hint="default" w:ascii="Times New Roman" w:hAnsi="Times New Roman" w:eastAsia="方正仿宋_GBK" w:cs="Times New Roman"/>
          <w:sz w:val="30"/>
          <w:szCs w:val="30"/>
          <w:highlight w:val="none"/>
          <w:lang w:val="en-US"/>
        </w:rPr>
        <w:t>供应商</w:t>
      </w:r>
      <w:r>
        <w:rPr>
          <w:rFonts w:hint="default" w:ascii="Times New Roman" w:hAnsi="Times New Roman" w:eastAsia="方正仿宋_GBK" w:cs="Times New Roman"/>
          <w:sz w:val="30"/>
          <w:szCs w:val="30"/>
          <w:highlight w:val="none"/>
        </w:rPr>
        <w:t>指定的收款账户。</w:t>
      </w:r>
      <w:r>
        <w:rPr>
          <w:rFonts w:hint="default" w:ascii="Times New Roman" w:hAnsi="Times New Roman" w:eastAsia="方正仿宋_GBK" w:cs="Times New Roman"/>
          <w:sz w:val="30"/>
          <w:szCs w:val="30"/>
          <w:highlight w:val="none"/>
          <w:lang w:val="en-US"/>
        </w:rPr>
        <w:t>供应商</w:t>
      </w:r>
      <w:r>
        <w:rPr>
          <w:rFonts w:hint="default" w:ascii="Times New Roman" w:hAnsi="Times New Roman" w:eastAsia="方正仿宋_GBK" w:cs="Times New Roman"/>
          <w:sz w:val="30"/>
          <w:szCs w:val="30"/>
          <w:highlight w:val="none"/>
        </w:rPr>
        <w:t>账户如有变动,须提前向</w:t>
      </w:r>
      <w:r>
        <w:rPr>
          <w:rFonts w:hint="default" w:ascii="Times New Roman" w:hAnsi="Times New Roman" w:eastAsia="方正仿宋_GBK" w:cs="Times New Roman"/>
          <w:sz w:val="30"/>
          <w:szCs w:val="30"/>
          <w:highlight w:val="none"/>
          <w:lang w:val="en-US"/>
        </w:rPr>
        <w:t>采购人</w:t>
      </w:r>
      <w:r>
        <w:rPr>
          <w:rFonts w:hint="default" w:ascii="Times New Roman" w:hAnsi="Times New Roman" w:eastAsia="方正仿宋_GBK" w:cs="Times New Roman"/>
          <w:sz w:val="30"/>
          <w:szCs w:val="30"/>
          <w:highlight w:val="none"/>
        </w:rPr>
        <w:t>提交书面证明,否则</w:t>
      </w:r>
      <w:r>
        <w:rPr>
          <w:rFonts w:hint="default" w:ascii="Times New Roman" w:hAnsi="Times New Roman" w:eastAsia="方正仿宋_GBK" w:cs="Times New Roman"/>
          <w:sz w:val="30"/>
          <w:szCs w:val="30"/>
          <w:highlight w:val="none"/>
          <w:lang w:val="en-US"/>
        </w:rPr>
        <w:t>采购人</w:t>
      </w:r>
      <w:r>
        <w:rPr>
          <w:rFonts w:hint="default" w:ascii="Times New Roman" w:hAnsi="Times New Roman" w:eastAsia="方正仿宋_GBK" w:cs="Times New Roman"/>
          <w:sz w:val="30"/>
          <w:szCs w:val="30"/>
          <w:highlight w:val="none"/>
        </w:rPr>
        <w:t>不承担由</w:t>
      </w:r>
      <w:r>
        <w:rPr>
          <w:rFonts w:hint="default" w:ascii="Times New Roman" w:hAnsi="Times New Roman" w:eastAsia="方正仿宋_GBK" w:cs="Times New Roman"/>
          <w:sz w:val="30"/>
          <w:szCs w:val="30"/>
          <w:highlight w:val="none"/>
          <w:lang w:val="en-US"/>
        </w:rPr>
        <w:t>供应商</w:t>
      </w:r>
      <w:r>
        <w:rPr>
          <w:rFonts w:hint="default" w:ascii="Times New Roman" w:hAnsi="Times New Roman" w:eastAsia="方正仿宋_GBK" w:cs="Times New Roman"/>
          <w:sz w:val="30"/>
          <w:szCs w:val="30"/>
          <w:highlight w:val="none"/>
        </w:rPr>
        <w:t>账户变动造成的一切损失和责任。</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outlineLvl w:val="1"/>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六、项目验收</w:t>
      </w:r>
    </w:p>
    <w:p>
      <w:pPr>
        <w:pStyle w:val="5"/>
        <w:keepNext w:val="0"/>
        <w:keepLines w:val="0"/>
        <w:pageBreakBefore w:val="0"/>
        <w:widowControl w:val="0"/>
        <w:kinsoku/>
        <w:wordWrap/>
        <w:overflowPunct/>
        <w:topLinePunct w:val="0"/>
        <w:autoSpaceDE/>
        <w:autoSpaceDN/>
        <w:bidi w:val="0"/>
        <w:adjustRightInd/>
        <w:spacing w:line="580" w:lineRule="exact"/>
        <w:ind w:firstLine="600" w:firstLineChars="200"/>
        <w:textAlignment w:val="auto"/>
        <w:rPr>
          <w:rFonts w:hint="default" w:ascii="Times New Roman" w:hAnsi="Times New Roman" w:eastAsia="方正仿宋_GBK" w:cs="Times New Roman"/>
          <w:sz w:val="30"/>
          <w:szCs w:val="30"/>
          <w:highlight w:val="none"/>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K" w:cs="Times New Roman"/>
          <w:sz w:val="30"/>
          <w:szCs w:val="30"/>
          <w:highlight w:val="none"/>
        </w:rPr>
        <w:t>供应商合同服务期内完成合同全部服务内容后，供应商向采购人报送服务事项工作总结以及相关文件，并由采购人按照程序对合同规定的具体服务内容事项组织验收。</w:t>
      </w:r>
    </w:p>
    <w:p>
      <w:pPr>
        <w:spacing w:line="560" w:lineRule="exact"/>
        <w:outlineLvl w:val="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附件一</w:t>
      </w:r>
    </w:p>
    <w:p>
      <w:pPr>
        <w:spacing w:line="560" w:lineRule="exact"/>
        <w:jc w:val="center"/>
        <w:rPr>
          <w:rFonts w:hint="default" w:ascii="Times New Roman" w:hAnsi="Times New Roman" w:eastAsia="方正大标宋_GBK" w:cs="Times New Roman"/>
          <w:bCs/>
          <w:sz w:val="42"/>
          <w:szCs w:val="42"/>
          <w:highlight w:val="none"/>
        </w:rPr>
      </w:pPr>
      <w:r>
        <w:rPr>
          <w:rFonts w:hint="default" w:ascii="Times New Roman" w:hAnsi="Times New Roman" w:eastAsia="方正大标宋_GBK" w:cs="Times New Roman"/>
          <w:bCs/>
          <w:sz w:val="42"/>
          <w:szCs w:val="42"/>
          <w:highlight w:val="none"/>
        </w:rPr>
        <w:t>202</w:t>
      </w:r>
      <w:r>
        <w:rPr>
          <w:rFonts w:hint="default" w:ascii="Times New Roman" w:hAnsi="Times New Roman" w:eastAsia="方正大标宋_GBK" w:cs="Times New Roman"/>
          <w:bCs/>
          <w:sz w:val="42"/>
          <w:szCs w:val="42"/>
          <w:highlight w:val="none"/>
          <w:lang w:val="en-US" w:eastAsia="zh-CN"/>
        </w:rPr>
        <w:t>5</w:t>
      </w:r>
      <w:r>
        <w:rPr>
          <w:rFonts w:hint="eastAsia" w:ascii="Times New Roman" w:hAnsi="Times New Roman" w:eastAsia="方正大标宋_GBK" w:cs="Times New Roman"/>
          <w:bCs/>
          <w:sz w:val="42"/>
          <w:szCs w:val="42"/>
          <w:highlight w:val="none"/>
          <w:lang w:val="en-US" w:eastAsia="zh-CN"/>
        </w:rPr>
        <w:t>年</w:t>
      </w:r>
      <w:r>
        <w:rPr>
          <w:rFonts w:hint="default" w:ascii="Times New Roman" w:hAnsi="Times New Roman" w:eastAsia="方正大标宋_GBK" w:cs="Times New Roman"/>
          <w:bCs/>
          <w:sz w:val="42"/>
          <w:szCs w:val="42"/>
          <w:highlight w:val="none"/>
        </w:rPr>
        <w:t>江门市住房公积金管理中心</w:t>
      </w:r>
    </w:p>
    <w:p>
      <w:pPr>
        <w:spacing w:line="560" w:lineRule="exact"/>
        <w:jc w:val="center"/>
        <w:rPr>
          <w:rFonts w:hint="default" w:ascii="Times New Roman" w:hAnsi="Times New Roman" w:eastAsia="方正大标宋_GBK" w:cs="Times New Roman"/>
          <w:bCs/>
          <w:sz w:val="42"/>
          <w:szCs w:val="42"/>
          <w:highlight w:val="none"/>
        </w:rPr>
      </w:pPr>
      <w:r>
        <w:rPr>
          <w:rFonts w:hint="default" w:ascii="Times New Roman" w:hAnsi="Times New Roman" w:eastAsia="方正大标宋_GBK" w:cs="Times New Roman"/>
          <w:bCs/>
          <w:sz w:val="42"/>
          <w:szCs w:val="42"/>
          <w:highlight w:val="none"/>
        </w:rPr>
        <w:t>信息化系统运维服务项目综合评审表</w:t>
      </w:r>
    </w:p>
    <w:p>
      <w:pPr>
        <w:pStyle w:val="3"/>
        <w:rPr>
          <w:rFonts w:hint="default" w:ascii="Times New Roman" w:hAnsi="Times New Roman" w:cs="Times New Roman"/>
          <w:highlight w:val="none"/>
        </w:rPr>
      </w:pPr>
    </w:p>
    <w:tbl>
      <w:tblPr>
        <w:tblStyle w:val="11"/>
        <w:tblW w:w="961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84"/>
        <w:gridCol w:w="1491"/>
        <w:gridCol w:w="3947"/>
        <w:gridCol w:w="10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2" w:hRule="atLeast"/>
          <w:tblHeader/>
          <w:jc w:val="center"/>
        </w:trPr>
        <w:tc>
          <w:tcPr>
            <w:tcW w:w="3084" w:type="dxa"/>
            <w:vAlign w:val="center"/>
          </w:tcPr>
          <w:p>
            <w:pPr>
              <w:widowControl/>
              <w:jc w:val="center"/>
              <w:rPr>
                <w:rFonts w:hint="default" w:ascii="Times New Roman" w:hAnsi="Times New Roman" w:eastAsia="方正黑体_GBK" w:cs="Times New Roman"/>
                <w:b/>
                <w:bCs/>
                <w:kern w:val="0"/>
                <w:sz w:val="30"/>
                <w:szCs w:val="30"/>
                <w:highlight w:val="none"/>
              </w:rPr>
            </w:pPr>
            <w:r>
              <w:rPr>
                <w:rFonts w:hint="default" w:ascii="Times New Roman" w:hAnsi="Times New Roman" w:eastAsia="方正黑体_GBK" w:cs="Times New Roman"/>
                <w:b/>
                <w:bCs/>
                <w:kern w:val="0"/>
                <w:sz w:val="30"/>
                <w:szCs w:val="30"/>
                <w:highlight w:val="none"/>
              </w:rPr>
              <w:t>评审项目分值</w:t>
            </w:r>
          </w:p>
        </w:tc>
        <w:tc>
          <w:tcPr>
            <w:tcW w:w="1491" w:type="dxa"/>
            <w:vAlign w:val="center"/>
          </w:tcPr>
          <w:p>
            <w:pPr>
              <w:widowControl/>
              <w:jc w:val="center"/>
              <w:rPr>
                <w:rFonts w:hint="default" w:ascii="Times New Roman" w:hAnsi="Times New Roman" w:eastAsia="方正黑体_GBK" w:cs="Times New Roman"/>
                <w:b/>
                <w:bCs/>
                <w:kern w:val="0"/>
                <w:sz w:val="30"/>
                <w:szCs w:val="30"/>
                <w:highlight w:val="none"/>
              </w:rPr>
            </w:pPr>
            <w:r>
              <w:rPr>
                <w:rFonts w:hint="default" w:ascii="Times New Roman" w:hAnsi="Times New Roman" w:eastAsia="方正黑体_GBK" w:cs="Times New Roman"/>
                <w:b/>
                <w:bCs/>
                <w:kern w:val="0"/>
                <w:sz w:val="30"/>
                <w:szCs w:val="30"/>
                <w:highlight w:val="none"/>
              </w:rPr>
              <w:t>分值</w:t>
            </w:r>
          </w:p>
        </w:tc>
        <w:tc>
          <w:tcPr>
            <w:tcW w:w="3947" w:type="dxa"/>
            <w:vAlign w:val="center"/>
          </w:tcPr>
          <w:p>
            <w:pPr>
              <w:widowControl/>
              <w:jc w:val="center"/>
              <w:rPr>
                <w:rFonts w:hint="default" w:ascii="Times New Roman" w:hAnsi="Times New Roman" w:eastAsia="方正黑体_GBK" w:cs="Times New Roman"/>
                <w:b/>
                <w:bCs/>
                <w:kern w:val="0"/>
                <w:sz w:val="30"/>
                <w:szCs w:val="30"/>
                <w:highlight w:val="none"/>
              </w:rPr>
            </w:pPr>
            <w:r>
              <w:rPr>
                <w:rFonts w:hint="default" w:ascii="Times New Roman" w:hAnsi="Times New Roman" w:eastAsia="方正黑体_GBK" w:cs="Times New Roman"/>
                <w:b/>
                <w:bCs/>
                <w:kern w:val="0"/>
                <w:sz w:val="30"/>
                <w:szCs w:val="30"/>
                <w:highlight w:val="none"/>
              </w:rPr>
              <w:t>评审标准分值</w:t>
            </w:r>
          </w:p>
        </w:tc>
        <w:tc>
          <w:tcPr>
            <w:tcW w:w="1091" w:type="dxa"/>
            <w:vAlign w:val="center"/>
          </w:tcPr>
          <w:p>
            <w:pPr>
              <w:widowControl/>
              <w:jc w:val="center"/>
              <w:rPr>
                <w:rFonts w:hint="default" w:ascii="Times New Roman" w:hAnsi="Times New Roman" w:eastAsia="方正黑体_GBK" w:cs="Times New Roman"/>
                <w:b/>
                <w:bCs/>
                <w:kern w:val="0"/>
                <w:sz w:val="30"/>
                <w:szCs w:val="30"/>
                <w:highlight w:val="none"/>
              </w:rPr>
            </w:pPr>
            <w:r>
              <w:rPr>
                <w:rFonts w:hint="default" w:ascii="Times New Roman" w:hAnsi="Times New Roman" w:eastAsia="方正黑体_GBK" w:cs="Times New Roman"/>
                <w:b/>
                <w:bCs/>
                <w:kern w:val="0"/>
                <w:sz w:val="30"/>
                <w:szCs w:val="30"/>
                <w:highlight w:val="none"/>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1" w:hRule="atLeast"/>
          <w:jc w:val="center"/>
        </w:trPr>
        <w:tc>
          <w:tcPr>
            <w:tcW w:w="3084" w:type="dxa"/>
            <w:vAlign w:val="center"/>
          </w:tcPr>
          <w:p>
            <w:pPr>
              <w:widowControl/>
              <w:jc w:val="center"/>
              <w:rPr>
                <w:rFonts w:hint="default" w:ascii="Times New Roman" w:hAnsi="Times New Roman" w:eastAsia="方正仿宋_GBK" w:cs="Times New Roman"/>
                <w:kern w:val="0"/>
                <w:sz w:val="30"/>
                <w:szCs w:val="30"/>
                <w:highlight w:val="none"/>
              </w:rPr>
            </w:pPr>
          </w:p>
          <w:p>
            <w:pPr>
              <w:widowControl/>
              <w:jc w:val="center"/>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报价</w:t>
            </w:r>
          </w:p>
          <w:p>
            <w:pPr>
              <w:widowControl/>
              <w:jc w:val="center"/>
              <w:rPr>
                <w:rFonts w:hint="default" w:ascii="Times New Roman" w:hAnsi="Times New Roman" w:eastAsia="方正仿宋_GBK" w:cs="Times New Roman"/>
                <w:kern w:val="0"/>
                <w:sz w:val="30"/>
                <w:szCs w:val="30"/>
                <w:highlight w:val="none"/>
              </w:rPr>
            </w:pPr>
          </w:p>
        </w:tc>
        <w:tc>
          <w:tcPr>
            <w:tcW w:w="1491" w:type="dxa"/>
            <w:vAlign w:val="center"/>
          </w:tcPr>
          <w:p>
            <w:pPr>
              <w:widowControl/>
              <w:jc w:val="center"/>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10</w:t>
            </w:r>
          </w:p>
        </w:tc>
        <w:tc>
          <w:tcPr>
            <w:tcW w:w="3947" w:type="dxa"/>
            <w:vAlign w:val="center"/>
          </w:tcPr>
          <w:p>
            <w:pPr>
              <w:widowControl/>
              <w:jc w:val="left"/>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以所有合格供应商评标价的最低价作为评分基准价。供应商的价格分按下式计算：价格分=（评分基准价/评标价）×10</w:t>
            </w:r>
          </w:p>
        </w:tc>
        <w:tc>
          <w:tcPr>
            <w:tcW w:w="1091" w:type="dxa"/>
            <w:vAlign w:val="center"/>
          </w:tcPr>
          <w:p>
            <w:pPr>
              <w:widowControl/>
              <w:jc w:val="center"/>
              <w:rPr>
                <w:rFonts w:hint="default" w:ascii="Times New Roman" w:hAnsi="Times New Roman" w:eastAsia="方正仿宋_GBK" w:cs="Times New Roman"/>
                <w:kern w:val="0"/>
                <w:sz w:val="24"/>
                <w:szCs w:val="24"/>
                <w:highlight w:val="none"/>
              </w:rPr>
            </w:pPr>
          </w:p>
          <w:p>
            <w:pPr>
              <w:widowControl/>
              <w:jc w:val="center"/>
              <w:rPr>
                <w:rFonts w:hint="default" w:ascii="Times New Roman" w:hAnsi="Times New Roman" w:eastAsia="方正仿宋_GBK" w:cs="Times New Roman"/>
                <w:kern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4" w:hRule="atLeast"/>
          <w:jc w:val="center"/>
        </w:trPr>
        <w:tc>
          <w:tcPr>
            <w:tcW w:w="3084" w:type="dxa"/>
            <w:vAlign w:val="center"/>
          </w:tcPr>
          <w:p>
            <w:pPr>
              <w:jc w:val="center"/>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对本项目总体理解</w:t>
            </w:r>
          </w:p>
        </w:tc>
        <w:tc>
          <w:tcPr>
            <w:tcW w:w="1491" w:type="dxa"/>
            <w:vAlign w:val="center"/>
          </w:tcPr>
          <w:p>
            <w:pPr>
              <w:widowControl/>
              <w:jc w:val="center"/>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15</w:t>
            </w:r>
          </w:p>
        </w:tc>
        <w:tc>
          <w:tcPr>
            <w:tcW w:w="3947" w:type="dxa"/>
            <w:vAlign w:val="center"/>
          </w:tcPr>
          <w:p>
            <w:pPr>
              <w:widowControl/>
              <w:jc w:val="left"/>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对本项目的总体理解方案进行评分，包括：项目背景、政策背景和运维目标的了解和熟悉程度，内容完整、详细、表述清晰、科学合理、符合实际情况、切实可行，得15分；内容比较完整、详细、表述比较清晰、合理、可行，得10分；内容基本完整、表述基本清晰、基本合理可行，得5分；其他或无响应，得0分。</w:t>
            </w:r>
          </w:p>
        </w:tc>
        <w:tc>
          <w:tcPr>
            <w:tcW w:w="1091" w:type="dxa"/>
            <w:vAlign w:val="center"/>
          </w:tcPr>
          <w:p>
            <w:pPr>
              <w:jc w:val="center"/>
              <w:rPr>
                <w:rFonts w:hint="default" w:ascii="Times New Roman" w:hAnsi="Times New Roman" w:eastAsia="方正仿宋_GBK" w:cs="Times New Roman"/>
                <w:kern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68" w:hRule="atLeast"/>
          <w:jc w:val="center"/>
        </w:trPr>
        <w:tc>
          <w:tcPr>
            <w:tcW w:w="3084" w:type="dxa"/>
            <w:vAlign w:val="center"/>
          </w:tcPr>
          <w:p>
            <w:pPr>
              <w:jc w:val="center"/>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服务方案</w:t>
            </w:r>
          </w:p>
        </w:tc>
        <w:tc>
          <w:tcPr>
            <w:tcW w:w="1491" w:type="dxa"/>
            <w:vAlign w:val="center"/>
          </w:tcPr>
          <w:p>
            <w:pPr>
              <w:widowControl/>
              <w:jc w:val="center"/>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25</w:t>
            </w:r>
          </w:p>
        </w:tc>
        <w:tc>
          <w:tcPr>
            <w:tcW w:w="3947" w:type="dxa"/>
            <w:vAlign w:val="center"/>
          </w:tcPr>
          <w:p>
            <w:pPr>
              <w:widowControl/>
              <w:jc w:val="left"/>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方案内容完整、详细、表述清晰、科学合理、符合实际情况、切实可行，得25分；方案内容比较完整、详细、表述比较清晰、合理、可行，得15分；方案内容基本完整、表述基本清晰、基本合理可行，得10分；其他或无响应，得0分。</w:t>
            </w:r>
          </w:p>
        </w:tc>
        <w:tc>
          <w:tcPr>
            <w:tcW w:w="1091" w:type="dxa"/>
            <w:vAlign w:val="center"/>
          </w:tcPr>
          <w:p>
            <w:pPr>
              <w:jc w:val="center"/>
              <w:rPr>
                <w:rFonts w:hint="default" w:ascii="Times New Roman" w:hAnsi="Times New Roman" w:eastAsia="方正仿宋_GBK" w:cs="Times New Roman"/>
                <w:kern w:val="0"/>
                <w:sz w:val="30"/>
                <w:szCs w:val="3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68" w:hRule="atLeast"/>
          <w:jc w:val="center"/>
        </w:trPr>
        <w:tc>
          <w:tcPr>
            <w:tcW w:w="3084" w:type="dxa"/>
            <w:vAlign w:val="center"/>
          </w:tcPr>
          <w:p>
            <w:pPr>
              <w:jc w:val="center"/>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本项目组技术实力</w:t>
            </w:r>
          </w:p>
        </w:tc>
        <w:tc>
          <w:tcPr>
            <w:tcW w:w="1491" w:type="dxa"/>
            <w:vAlign w:val="center"/>
          </w:tcPr>
          <w:p>
            <w:pPr>
              <w:widowControl/>
              <w:jc w:val="center"/>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20</w:t>
            </w:r>
          </w:p>
        </w:tc>
        <w:tc>
          <w:tcPr>
            <w:tcW w:w="3947" w:type="dxa"/>
            <w:vAlign w:val="center"/>
          </w:tcPr>
          <w:p>
            <w:pPr>
              <w:widowControl/>
              <w:jc w:val="left"/>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具有ITIL、系统集成项目管理工程师、网络工程师、软件设计师，每个得5分（同一人员的多个证书不重复计分），最高20分。（提供资质证明材料及以上人员在本项目投标截止日之前在本单位任职至少三个月的《投保单》或《社会保险参保人员证明》，或单位代缴个人所得税税单等的扫描件）。</w:t>
            </w:r>
          </w:p>
        </w:tc>
        <w:tc>
          <w:tcPr>
            <w:tcW w:w="1091" w:type="dxa"/>
            <w:vAlign w:val="center"/>
          </w:tcPr>
          <w:p>
            <w:pPr>
              <w:jc w:val="center"/>
              <w:rPr>
                <w:rFonts w:hint="default" w:ascii="Times New Roman" w:hAnsi="Times New Roman" w:eastAsia="方正仿宋_GBK" w:cs="Times New Roman"/>
                <w:kern w:val="0"/>
                <w:sz w:val="30"/>
                <w:szCs w:val="3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3084" w:type="dxa"/>
            <w:vAlign w:val="center"/>
          </w:tcPr>
          <w:p>
            <w:pPr>
              <w:jc w:val="center"/>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供应商综合实力</w:t>
            </w:r>
          </w:p>
        </w:tc>
        <w:tc>
          <w:tcPr>
            <w:tcW w:w="1491" w:type="dxa"/>
            <w:vAlign w:val="center"/>
          </w:tcPr>
          <w:p>
            <w:pPr>
              <w:widowControl/>
              <w:jc w:val="center"/>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15</w:t>
            </w:r>
          </w:p>
        </w:tc>
        <w:tc>
          <w:tcPr>
            <w:tcW w:w="3947" w:type="dxa"/>
            <w:vAlign w:val="center"/>
          </w:tcPr>
          <w:p>
            <w:pPr>
              <w:widowControl/>
              <w:jc w:val="left"/>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具有有效的环境管理体系认证证书、职业健康安全管理体系认证证书、质量管理体系认证证书，提供证书扫描件及在全国认证认可信息公共服务平台上对证书的查询结果截图为证明材料，每个证书5分，最高15分。</w:t>
            </w:r>
          </w:p>
        </w:tc>
        <w:tc>
          <w:tcPr>
            <w:tcW w:w="1091" w:type="dxa"/>
            <w:vAlign w:val="center"/>
          </w:tcPr>
          <w:p>
            <w:pPr>
              <w:jc w:val="center"/>
              <w:rPr>
                <w:rFonts w:hint="default" w:ascii="Times New Roman" w:hAnsi="Times New Roman" w:eastAsia="方正仿宋_GBK" w:cs="Times New Roman"/>
                <w:kern w:val="0"/>
                <w:sz w:val="30"/>
                <w:szCs w:val="3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59" w:hRule="atLeast"/>
          <w:jc w:val="center"/>
        </w:trPr>
        <w:tc>
          <w:tcPr>
            <w:tcW w:w="3084" w:type="dxa"/>
            <w:vAlign w:val="center"/>
          </w:tcPr>
          <w:p>
            <w:pPr>
              <w:jc w:val="center"/>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同类业绩</w:t>
            </w:r>
          </w:p>
        </w:tc>
        <w:tc>
          <w:tcPr>
            <w:tcW w:w="1491" w:type="dxa"/>
            <w:vAlign w:val="center"/>
          </w:tcPr>
          <w:p>
            <w:pPr>
              <w:widowControl/>
              <w:jc w:val="center"/>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15</w:t>
            </w:r>
          </w:p>
        </w:tc>
        <w:tc>
          <w:tcPr>
            <w:tcW w:w="3947" w:type="dxa"/>
            <w:vAlign w:val="center"/>
          </w:tcPr>
          <w:p>
            <w:pPr>
              <w:widowControl/>
              <w:jc w:val="left"/>
              <w:rPr>
                <w:rFonts w:hint="default" w:ascii="Times New Roman" w:hAnsi="Times New Roman" w:eastAsia="方正仿宋_GBK" w:cs="Times New Roman"/>
                <w:kern w:val="0"/>
                <w:sz w:val="30"/>
                <w:szCs w:val="30"/>
                <w:highlight w:val="none"/>
              </w:rPr>
            </w:pPr>
            <w:r>
              <w:rPr>
                <w:rFonts w:hint="default" w:ascii="Times New Roman" w:hAnsi="Times New Roman" w:eastAsia="方正仿宋_GBK" w:cs="Times New Roman"/>
                <w:kern w:val="0"/>
                <w:sz w:val="30"/>
                <w:szCs w:val="30"/>
                <w:highlight w:val="none"/>
              </w:rPr>
              <w:t>依据2020年以来完成的项目合同进行评审（分公司投标的，总公司业绩可纳入评审）：每提供一个同类维护项目经验得5分，本项最高15分；请投标人严格按照要求提交合同复印件的关键页（首页、金额页、盖章页），否则有可能影响评审结果。</w:t>
            </w:r>
          </w:p>
        </w:tc>
        <w:tc>
          <w:tcPr>
            <w:tcW w:w="1091" w:type="dxa"/>
            <w:vAlign w:val="center"/>
          </w:tcPr>
          <w:p>
            <w:pPr>
              <w:jc w:val="center"/>
              <w:rPr>
                <w:rFonts w:hint="default" w:ascii="Times New Roman" w:hAnsi="Times New Roman" w:eastAsia="方正仿宋_GBK" w:cs="Times New Roman"/>
                <w:kern w:val="0"/>
                <w:sz w:val="30"/>
                <w:szCs w:val="3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7" w:hRule="atLeast"/>
          <w:jc w:val="center"/>
        </w:trPr>
        <w:tc>
          <w:tcPr>
            <w:tcW w:w="8522" w:type="dxa"/>
            <w:gridSpan w:val="3"/>
            <w:vAlign w:val="center"/>
          </w:tcPr>
          <w:p>
            <w:pPr>
              <w:widowControl/>
              <w:jc w:val="center"/>
              <w:rPr>
                <w:rFonts w:hint="default" w:ascii="Times New Roman" w:hAnsi="Times New Roman" w:cs="Times New Roman"/>
                <w:color w:val="000000"/>
                <w:kern w:val="0"/>
                <w:sz w:val="24"/>
                <w:szCs w:val="24"/>
                <w:highlight w:val="none"/>
              </w:rPr>
            </w:pPr>
            <w:r>
              <w:rPr>
                <w:rFonts w:hint="default" w:ascii="Times New Roman" w:hAnsi="Times New Roman" w:eastAsia="方正黑体_GBK" w:cs="Times New Roman"/>
                <w:b w:val="0"/>
                <w:bCs w:val="0"/>
                <w:color w:val="000000"/>
                <w:kern w:val="0"/>
                <w:sz w:val="30"/>
                <w:szCs w:val="30"/>
                <w:highlight w:val="none"/>
              </w:rPr>
              <w:t>合  计</w:t>
            </w:r>
          </w:p>
        </w:tc>
        <w:tc>
          <w:tcPr>
            <w:tcW w:w="1091" w:type="dxa"/>
            <w:vAlign w:val="center"/>
          </w:tcPr>
          <w:p>
            <w:pPr>
              <w:jc w:val="center"/>
              <w:rPr>
                <w:rFonts w:hint="default" w:ascii="Times New Roman" w:hAnsi="Times New Roman" w:cs="Times New Roman"/>
                <w:kern w:val="0"/>
                <w:sz w:val="24"/>
                <w:szCs w:val="24"/>
                <w:highlight w:val="none"/>
              </w:rPr>
            </w:pPr>
          </w:p>
          <w:p>
            <w:pPr>
              <w:rPr>
                <w:rFonts w:hint="default" w:ascii="Times New Roman" w:hAnsi="Times New Roman" w:cs="Times New Roman"/>
                <w:kern w:val="0"/>
                <w:sz w:val="24"/>
                <w:szCs w:val="24"/>
                <w:highlight w:val="none"/>
              </w:rPr>
            </w:pPr>
          </w:p>
        </w:tc>
      </w:tr>
    </w:tbl>
    <w:p>
      <w:pPr>
        <w:pStyle w:val="5"/>
        <w:spacing w:line="480" w:lineRule="exact"/>
        <w:ind w:firstLine="480" w:firstLineChars="200"/>
        <w:rPr>
          <w:rFonts w:hint="default" w:ascii="Times New Roman" w:hAnsi="Times New Roman" w:cs="Times New Roman"/>
          <w:sz w:val="24"/>
          <w:szCs w:val="24"/>
          <w:highlight w:val="none"/>
        </w:rPr>
        <w:sectPr>
          <w:pgSz w:w="11906" w:h="16838"/>
          <w:pgMar w:top="1440" w:right="1800" w:bottom="1440" w:left="1800" w:header="851" w:footer="992" w:gutter="0"/>
          <w:cols w:space="425" w:num="1"/>
          <w:docGrid w:type="lines" w:linePitch="312" w:charSpace="0"/>
        </w:sectPr>
      </w:pPr>
    </w:p>
    <w:p>
      <w:pPr>
        <w:pStyle w:val="2"/>
        <w:tabs>
          <w:tab w:val="left" w:pos="454"/>
        </w:tabs>
        <w:spacing w:before="312" w:beforeLines="100" w:after="312" w:afterLines="100"/>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附件</w:t>
      </w:r>
      <w:r>
        <w:rPr>
          <w:rFonts w:hint="default" w:ascii="Times New Roman" w:hAnsi="Times New Roman" w:eastAsia="方正仿宋_GBK" w:cs="Times New Roman"/>
          <w:b w:val="0"/>
          <w:bCs/>
          <w:sz w:val="32"/>
          <w:szCs w:val="32"/>
          <w:highlight w:val="none"/>
          <w:lang w:val="en-US"/>
        </w:rPr>
        <w:t>二</w:t>
      </w:r>
      <w:r>
        <w:rPr>
          <w:rFonts w:hint="default" w:ascii="Times New Roman" w:hAnsi="Times New Roman" w:eastAsia="方正仿宋_GBK" w:cs="Times New Roman"/>
          <w:b w:val="0"/>
          <w:bCs/>
          <w:sz w:val="32"/>
          <w:szCs w:val="32"/>
          <w:highlight w:val="none"/>
        </w:rPr>
        <w:t>：</w:t>
      </w:r>
    </w:p>
    <w:p>
      <w:pPr>
        <w:pStyle w:val="2"/>
        <w:tabs>
          <w:tab w:val="left" w:pos="454"/>
        </w:tabs>
        <w:spacing w:before="312" w:beforeLines="100" w:after="312" w:afterLines="100"/>
        <w:ind w:left="425"/>
        <w:jc w:val="center"/>
        <w:rPr>
          <w:rFonts w:hint="default" w:ascii="Times New Roman" w:hAnsi="Times New Roman" w:eastAsia="方正大标宋_GBK" w:cs="Times New Roman"/>
          <w:sz w:val="42"/>
          <w:szCs w:val="42"/>
          <w:highlight w:val="none"/>
        </w:rPr>
      </w:pPr>
      <w:r>
        <w:rPr>
          <w:rFonts w:hint="default" w:ascii="Times New Roman" w:hAnsi="Times New Roman" w:eastAsia="方正大标宋_GBK" w:cs="Times New Roman"/>
          <w:b w:val="0"/>
          <w:bCs/>
          <w:sz w:val="42"/>
          <w:szCs w:val="42"/>
          <w:highlight w:val="none"/>
        </w:rPr>
        <w:t>具体维护内容</w:t>
      </w:r>
    </w:p>
    <w:tbl>
      <w:tblPr>
        <w:tblStyle w:val="11"/>
        <w:tblW w:w="8723" w:type="dxa"/>
        <w:tblInd w:w="96" w:type="dxa"/>
        <w:tblLayout w:type="fixed"/>
        <w:tblCellMar>
          <w:top w:w="0" w:type="dxa"/>
          <w:left w:w="108" w:type="dxa"/>
          <w:bottom w:w="0" w:type="dxa"/>
          <w:right w:w="108" w:type="dxa"/>
        </w:tblCellMar>
      </w:tblPr>
      <w:tblGrid>
        <w:gridCol w:w="2340"/>
        <w:gridCol w:w="2150"/>
        <w:gridCol w:w="4233"/>
      </w:tblGrid>
      <w:tr>
        <w:tblPrEx>
          <w:tblCellMar>
            <w:top w:w="0" w:type="dxa"/>
            <w:left w:w="108" w:type="dxa"/>
            <w:bottom w:w="0" w:type="dxa"/>
            <w:right w:w="108" w:type="dxa"/>
          </w:tblCellMar>
        </w:tblPrEx>
        <w:trPr>
          <w:trHeight w:val="264"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黑体_GBK" w:cs="Times New Roman"/>
                <w:b/>
                <w:bCs/>
                <w:color w:val="000000"/>
                <w:sz w:val="30"/>
                <w:szCs w:val="30"/>
                <w:highlight w:val="none"/>
              </w:rPr>
            </w:pPr>
            <w:r>
              <w:rPr>
                <w:rFonts w:hint="default" w:ascii="Times New Roman" w:hAnsi="Times New Roman" w:eastAsia="方正黑体_GBK" w:cs="Times New Roman"/>
                <w:b/>
                <w:bCs/>
                <w:color w:val="000000"/>
                <w:kern w:val="0"/>
                <w:sz w:val="30"/>
                <w:szCs w:val="30"/>
                <w:highlight w:val="none"/>
                <w:lang w:bidi="ar"/>
              </w:rPr>
              <w:t>系统名称</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Times New Roman" w:hAnsi="Times New Roman" w:eastAsia="方正黑体_GBK" w:cs="Times New Roman"/>
                <w:b/>
                <w:bCs/>
                <w:color w:val="000000"/>
                <w:sz w:val="30"/>
                <w:szCs w:val="30"/>
                <w:highlight w:val="none"/>
              </w:rPr>
            </w:pPr>
            <w:r>
              <w:rPr>
                <w:rFonts w:hint="default" w:ascii="Times New Roman" w:hAnsi="Times New Roman" w:eastAsia="方正黑体_GBK" w:cs="Times New Roman"/>
                <w:b/>
                <w:bCs/>
                <w:color w:val="000000"/>
                <w:kern w:val="0"/>
                <w:sz w:val="30"/>
                <w:szCs w:val="30"/>
                <w:highlight w:val="none"/>
                <w:lang w:bidi="ar"/>
              </w:rPr>
              <w:t>模块</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Times New Roman" w:hAnsi="Times New Roman" w:eastAsia="方正黑体_GBK" w:cs="Times New Roman"/>
                <w:b/>
                <w:bCs/>
                <w:color w:val="000000"/>
                <w:sz w:val="30"/>
                <w:szCs w:val="30"/>
                <w:highlight w:val="none"/>
              </w:rPr>
            </w:pPr>
            <w:r>
              <w:rPr>
                <w:rFonts w:hint="default" w:ascii="Times New Roman" w:hAnsi="Times New Roman" w:eastAsia="方正黑体_GBK" w:cs="Times New Roman"/>
                <w:b/>
                <w:bCs/>
                <w:color w:val="000000"/>
                <w:kern w:val="0"/>
                <w:sz w:val="30"/>
                <w:szCs w:val="30"/>
                <w:highlight w:val="none"/>
                <w:lang w:bidi="ar"/>
              </w:rPr>
              <w:t>菜单</w:t>
            </w:r>
          </w:p>
        </w:tc>
      </w:tr>
      <w:tr>
        <w:tblPrEx>
          <w:tblCellMar>
            <w:top w:w="0" w:type="dxa"/>
            <w:left w:w="108" w:type="dxa"/>
            <w:bottom w:w="0" w:type="dxa"/>
            <w:right w:w="108" w:type="dxa"/>
          </w:tblCellMar>
        </w:tblPrEx>
        <w:trPr>
          <w:trHeight w:val="264" w:hRule="atLeast"/>
        </w:trPr>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财务系统</w:t>
            </w: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财务凭证管理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凭证业务明细汇总打印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手工凭证</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结算凭证业务校验</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凭证整理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凭证制作</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凭证复核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账务进度查询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业务数据汇总</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收入支出结转制单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凭证打印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凭证查询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凭证删除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凭证修改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凭证记账</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账表管理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总账</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科目汇总表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序时账</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科目余额</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三栏明细账</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总分类账查询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期末结转</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月末结转</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年末结转</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平衡检查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辅助管理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前后台余额平衡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日记账会计账平衡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日记账户余额平衡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协定利率设置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业务情况查询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多维辅助账查询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前台业务发生与科目账平衡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辅助总账信息查询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多维辅助账明细查询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台账查询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辅助账余额明细表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会计报表</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缴存、提取分类情况表</w:t>
            </w:r>
            <w:r>
              <w:rPr>
                <w:rStyle w:val="22"/>
                <w:rFonts w:hint="default" w:ascii="Times New Roman" w:hAnsi="Times New Roman" w:eastAsia="方正仿宋_GBK" w:cs="Times New Roman"/>
                <w:sz w:val="30"/>
                <w:szCs w:val="30"/>
                <w:highlight w:val="none"/>
                <w:lang w:bidi="ar"/>
              </w:rPr>
              <w:t>-</w:t>
            </w:r>
            <w:r>
              <w:rPr>
                <w:rStyle w:val="23"/>
                <w:rFonts w:hint="default" w:ascii="Times New Roman" w:hAnsi="Times New Roman" w:eastAsia="方正仿宋_GBK" w:cs="Times New Roman"/>
                <w:sz w:val="30"/>
                <w:szCs w:val="30"/>
                <w:highlight w:val="none"/>
                <w:lang w:bidi="ar"/>
              </w:rPr>
              <w:t>季报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贷款结构分析表</w:t>
            </w:r>
            <w:r>
              <w:rPr>
                <w:rStyle w:val="22"/>
                <w:rFonts w:hint="default" w:ascii="Times New Roman" w:hAnsi="Times New Roman" w:eastAsia="方正仿宋_GBK" w:cs="Times New Roman"/>
                <w:sz w:val="30"/>
                <w:szCs w:val="30"/>
                <w:highlight w:val="none"/>
                <w:lang w:bidi="ar"/>
              </w:rPr>
              <w:t>-</w:t>
            </w:r>
            <w:r>
              <w:rPr>
                <w:rStyle w:val="23"/>
                <w:rFonts w:hint="default" w:ascii="Times New Roman" w:hAnsi="Times New Roman" w:eastAsia="方正仿宋_GBK" w:cs="Times New Roman"/>
                <w:sz w:val="30"/>
                <w:szCs w:val="30"/>
                <w:highlight w:val="none"/>
                <w:lang w:bidi="ar"/>
              </w:rPr>
              <w:t>季报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缴存、提取分类情况表</w:t>
            </w:r>
            <w:r>
              <w:rPr>
                <w:rStyle w:val="22"/>
                <w:rFonts w:hint="default" w:ascii="Times New Roman" w:hAnsi="Times New Roman" w:eastAsia="方正仿宋_GBK" w:cs="Times New Roman"/>
                <w:sz w:val="30"/>
                <w:szCs w:val="30"/>
                <w:highlight w:val="none"/>
                <w:lang w:bidi="ar"/>
              </w:rPr>
              <w:t>-</w:t>
            </w:r>
            <w:r>
              <w:rPr>
                <w:rStyle w:val="23"/>
                <w:rFonts w:hint="default" w:ascii="Times New Roman" w:hAnsi="Times New Roman" w:eastAsia="方正仿宋_GBK" w:cs="Times New Roman"/>
                <w:sz w:val="30"/>
                <w:szCs w:val="30"/>
                <w:highlight w:val="none"/>
                <w:lang w:bidi="ar"/>
              </w:rPr>
              <w:t>月报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缴存使用情况表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贷款结构分析表</w:t>
            </w:r>
            <w:r>
              <w:rPr>
                <w:rStyle w:val="22"/>
                <w:rFonts w:hint="default" w:ascii="Times New Roman" w:hAnsi="Times New Roman" w:eastAsia="方正仿宋_GBK" w:cs="Times New Roman"/>
                <w:sz w:val="30"/>
                <w:szCs w:val="30"/>
                <w:highlight w:val="none"/>
                <w:lang w:bidi="ar"/>
              </w:rPr>
              <w:t>-</w:t>
            </w:r>
            <w:r>
              <w:rPr>
                <w:rStyle w:val="23"/>
                <w:rFonts w:hint="default" w:ascii="Times New Roman" w:hAnsi="Times New Roman" w:eastAsia="方正仿宋_GBK" w:cs="Times New Roman"/>
                <w:sz w:val="30"/>
                <w:szCs w:val="30"/>
                <w:highlight w:val="none"/>
                <w:lang w:bidi="ar"/>
              </w:rPr>
              <w:t>月报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会计报表制作</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增值收益分配表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存贷款报备表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资产负债表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增值收益表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银行存款情况表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年度披露表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缴存比例情况表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财务初始</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摘要定义</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添加银行</w:t>
            </w:r>
            <w:r>
              <w:rPr>
                <w:rFonts w:hint="eastAsia" w:ascii="Times New Roman" w:hAnsi="Times New Roman" w:eastAsia="方正仿宋_GBK" w:cs="Times New Roman"/>
                <w:color w:val="000000"/>
                <w:kern w:val="0"/>
                <w:sz w:val="30"/>
                <w:szCs w:val="30"/>
                <w:highlight w:val="none"/>
                <w:lang w:eastAsia="zh-CN" w:bidi="ar"/>
              </w:rPr>
              <w:t>账</w:t>
            </w:r>
            <w:r>
              <w:rPr>
                <w:rFonts w:hint="default" w:ascii="Times New Roman" w:hAnsi="Times New Roman" w:eastAsia="方正仿宋_GBK" w:cs="Times New Roman"/>
                <w:color w:val="000000"/>
                <w:kern w:val="0"/>
                <w:sz w:val="30"/>
                <w:szCs w:val="30"/>
                <w:highlight w:val="none"/>
                <w:lang w:bidi="ar"/>
              </w:rPr>
              <w:t>号领导审批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银行账户管理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科目设置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添加银行</w:t>
            </w:r>
            <w:r>
              <w:rPr>
                <w:rFonts w:hint="eastAsia" w:ascii="Times New Roman" w:hAnsi="Times New Roman" w:eastAsia="方正仿宋_GBK" w:cs="Times New Roman"/>
                <w:color w:val="000000"/>
                <w:kern w:val="0"/>
                <w:sz w:val="30"/>
                <w:szCs w:val="30"/>
                <w:highlight w:val="none"/>
                <w:lang w:eastAsia="zh-CN" w:bidi="ar"/>
              </w:rPr>
              <w:t>账</w:t>
            </w:r>
            <w:r>
              <w:rPr>
                <w:rFonts w:hint="default" w:ascii="Times New Roman" w:hAnsi="Times New Roman" w:eastAsia="方正仿宋_GBK" w:cs="Times New Roman"/>
                <w:color w:val="000000"/>
                <w:kern w:val="0"/>
                <w:sz w:val="30"/>
                <w:szCs w:val="30"/>
                <w:highlight w:val="none"/>
                <w:lang w:bidi="ar"/>
              </w:rPr>
              <w:t>号复审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添加银行</w:t>
            </w:r>
            <w:r>
              <w:rPr>
                <w:rFonts w:hint="eastAsia" w:ascii="Times New Roman" w:hAnsi="Times New Roman" w:eastAsia="方正仿宋_GBK" w:cs="Times New Roman"/>
                <w:color w:val="000000"/>
                <w:kern w:val="0"/>
                <w:sz w:val="30"/>
                <w:szCs w:val="30"/>
                <w:highlight w:val="none"/>
                <w:lang w:eastAsia="zh-CN" w:bidi="ar"/>
              </w:rPr>
              <w:t>账</w:t>
            </w:r>
            <w:r>
              <w:rPr>
                <w:rFonts w:hint="default" w:ascii="Times New Roman" w:hAnsi="Times New Roman" w:eastAsia="方正仿宋_GBK" w:cs="Times New Roman"/>
                <w:color w:val="000000"/>
                <w:kern w:val="0"/>
                <w:sz w:val="30"/>
                <w:szCs w:val="30"/>
                <w:highlight w:val="none"/>
                <w:lang w:bidi="ar"/>
              </w:rPr>
              <w:t>号初审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银行</w:t>
            </w:r>
            <w:r>
              <w:rPr>
                <w:rFonts w:hint="eastAsia" w:ascii="Times New Roman" w:hAnsi="Times New Roman" w:eastAsia="方正仿宋_GBK" w:cs="Times New Roman"/>
                <w:color w:val="000000"/>
                <w:kern w:val="0"/>
                <w:sz w:val="30"/>
                <w:szCs w:val="30"/>
                <w:highlight w:val="none"/>
                <w:lang w:eastAsia="zh-CN" w:bidi="ar"/>
              </w:rPr>
              <w:t>账</w:t>
            </w:r>
            <w:r>
              <w:rPr>
                <w:rFonts w:hint="default" w:ascii="Times New Roman" w:hAnsi="Times New Roman" w:eastAsia="方正仿宋_GBK" w:cs="Times New Roman"/>
                <w:color w:val="000000"/>
                <w:kern w:val="0"/>
                <w:sz w:val="30"/>
                <w:szCs w:val="30"/>
                <w:highlight w:val="none"/>
                <w:lang w:bidi="ar"/>
              </w:rPr>
              <w:t>号添加录入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定期存款</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定期存款预提利息计算</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定期存款预提利息复核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定期查询统计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定期台账查询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定期存款兑付初审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定期存款预提利息初审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定期存款录入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定期存款录入复核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定期存款兑付</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定期存款兑付复核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国债管理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买入国债登记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买入国债登记复核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国债兑付管理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国债兑付复核管理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国债台账查询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国债预提利息复核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国债查询统计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国债预提利息计算</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日记账管理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银行日记账查询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日记账监控查询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资金调拨线上交易单领导审批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资金调拨付款配置领导审批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重划跨行提取款中心分管领导审批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汇入款退回中心分管领导审批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退暂存款中心分管领导审批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重划同行提取款财务初审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重划同行提取款财务复审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重划同行提取款中心领导审批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资金调拨线下交易单初审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资金调拨线上交易单初审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资金调拨线上交易单审批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资金调拨单退回上报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资金调拨单查询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资金调拨单发送</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重划同行提取款中心分管领导审批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重划跨行放款失败款中心分管领导审批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资金调拨线下交易单领导审批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资金调拨线下交易单审批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资金调拨线上交易制单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资金调拨线下交易制单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资金调拨付款配置录入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资金调拨付款配置初审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资金调拨付款配置复审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汇入款退回财务初审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汇入款退回财务复审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汇入款退回中心领导审批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退暂存款财务初审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退暂存款财务复审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退暂存款中心领导审批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重划跨行提取款财务初审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重划跨行提取款财务复审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重划跨行提取款中心领导审批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重划跨行放款失败款财务初审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重划跨行放款失败款财务复审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重划跨行放款失败款中心领导审批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手续费管理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手续费查询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手续费支付审批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手续费支付复核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归集手续费计算</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手续费预提表制作</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手续费账户配置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贷款手续费计算</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手续费支付申请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历史</w:t>
            </w:r>
            <w:r>
              <w:rPr>
                <w:rFonts w:hint="eastAsia" w:ascii="Times New Roman" w:hAnsi="Times New Roman" w:eastAsia="方正仿宋_GBK" w:cs="Times New Roman"/>
                <w:color w:val="000000"/>
                <w:kern w:val="0"/>
                <w:sz w:val="30"/>
                <w:szCs w:val="30"/>
                <w:highlight w:val="none"/>
                <w:lang w:eastAsia="zh-CN" w:bidi="ar"/>
              </w:rPr>
              <w:t>账</w:t>
            </w:r>
            <w:r>
              <w:rPr>
                <w:rFonts w:hint="default" w:ascii="Times New Roman" w:hAnsi="Times New Roman" w:eastAsia="方正仿宋_GBK" w:cs="Times New Roman"/>
                <w:color w:val="000000"/>
                <w:kern w:val="0"/>
                <w:sz w:val="30"/>
                <w:szCs w:val="30"/>
                <w:highlight w:val="none"/>
                <w:lang w:bidi="ar"/>
              </w:rPr>
              <w:t>查询</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历史科目余额月结表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eastAsia" w:ascii="Times New Roman" w:hAnsi="Times New Roman" w:eastAsia="方正仿宋_GBK" w:cs="Times New Roman"/>
                <w:color w:val="000000"/>
                <w:sz w:val="30"/>
                <w:szCs w:val="30"/>
                <w:highlight w:val="none"/>
                <w:lang w:eastAsia="zh-CN"/>
              </w:rPr>
            </w:pPr>
            <w:r>
              <w:rPr>
                <w:rFonts w:hint="default" w:ascii="Times New Roman" w:hAnsi="Times New Roman" w:eastAsia="方正仿宋_GBK" w:cs="Times New Roman"/>
                <w:color w:val="000000"/>
                <w:kern w:val="0"/>
                <w:sz w:val="30"/>
                <w:szCs w:val="30"/>
                <w:highlight w:val="none"/>
                <w:lang w:bidi="ar"/>
              </w:rPr>
              <w:t>历史三栏明细</w:t>
            </w:r>
            <w:r>
              <w:rPr>
                <w:rFonts w:hint="eastAsia" w:ascii="Times New Roman" w:hAnsi="Times New Roman" w:eastAsia="方正仿宋_GBK" w:cs="Times New Roman"/>
                <w:color w:val="000000"/>
                <w:kern w:val="0"/>
                <w:sz w:val="30"/>
                <w:szCs w:val="30"/>
                <w:highlight w:val="none"/>
                <w:lang w:eastAsia="zh-CN" w:bidi="ar"/>
              </w:rPr>
              <w:t>账</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历史日记</w:t>
            </w:r>
            <w:r>
              <w:rPr>
                <w:rFonts w:hint="eastAsia" w:ascii="Times New Roman" w:hAnsi="Times New Roman" w:eastAsia="方正仿宋_GBK" w:cs="Times New Roman"/>
                <w:color w:val="000000"/>
                <w:kern w:val="0"/>
                <w:sz w:val="30"/>
                <w:szCs w:val="30"/>
                <w:highlight w:val="none"/>
                <w:lang w:eastAsia="zh-CN" w:bidi="ar"/>
              </w:rPr>
              <w:t>账</w:t>
            </w:r>
            <w:r>
              <w:rPr>
                <w:rFonts w:hint="default" w:ascii="Times New Roman" w:hAnsi="Times New Roman" w:eastAsia="方正仿宋_GBK" w:cs="Times New Roman"/>
                <w:color w:val="000000"/>
                <w:kern w:val="0"/>
                <w:sz w:val="30"/>
                <w:szCs w:val="30"/>
                <w:highlight w:val="none"/>
                <w:lang w:bidi="ar"/>
              </w:rPr>
              <w:t>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历史凭证查询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协定结转管理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协定结转凭证制作</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协定信息维护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内部报表</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归集额统计表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归集变动和扣罚手续费计算表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会计数据与资金流量表核对表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灵活就业缴存使用情况表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资金净流量滚动平均值（</w:t>
            </w:r>
            <w:r>
              <w:rPr>
                <w:rStyle w:val="22"/>
                <w:rFonts w:hint="default" w:ascii="Times New Roman" w:hAnsi="Times New Roman" w:eastAsia="方正仿宋_GBK" w:cs="Times New Roman"/>
                <w:sz w:val="30"/>
                <w:szCs w:val="30"/>
                <w:highlight w:val="none"/>
                <w:lang w:bidi="ar"/>
              </w:rPr>
              <w:t>S</w:t>
            </w:r>
            <w:r>
              <w:rPr>
                <w:rStyle w:val="23"/>
                <w:rFonts w:hint="default" w:ascii="Times New Roman" w:hAnsi="Times New Roman" w:eastAsia="方正仿宋_GBK" w:cs="Times New Roman"/>
                <w:sz w:val="30"/>
                <w:szCs w:val="30"/>
                <w:highlight w:val="none"/>
                <w:lang w:bidi="ar"/>
              </w:rPr>
              <w:t>）测算表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资金流动预警指标计算表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资金调</w:t>
            </w:r>
            <w:r>
              <w:rPr>
                <w:rFonts w:hint="eastAsia" w:ascii="Times New Roman" w:hAnsi="Times New Roman" w:eastAsia="方正仿宋_GBK" w:cs="Times New Roman"/>
                <w:color w:val="000000"/>
                <w:kern w:val="0"/>
                <w:sz w:val="30"/>
                <w:szCs w:val="30"/>
                <w:highlight w:val="none"/>
                <w:lang w:val="en-US" w:eastAsia="zh-CN" w:bidi="ar"/>
              </w:rPr>
              <w:t>拨</w:t>
            </w:r>
            <w:r>
              <w:rPr>
                <w:rFonts w:hint="default" w:ascii="Times New Roman" w:hAnsi="Times New Roman" w:eastAsia="方正仿宋_GBK" w:cs="Times New Roman"/>
                <w:color w:val="000000"/>
                <w:kern w:val="0"/>
                <w:sz w:val="30"/>
                <w:szCs w:val="30"/>
                <w:highlight w:val="none"/>
                <w:lang w:bidi="ar"/>
              </w:rPr>
              <w:t>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资金流量表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内部统计分析表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银行业务累计统计表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贷款手续费预提表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归集手续费预报表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实时个贷率、逾期率查询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报表台</w:t>
            </w:r>
            <w:r>
              <w:rPr>
                <w:rFonts w:hint="eastAsia" w:ascii="Times New Roman" w:hAnsi="Times New Roman" w:eastAsia="方正仿宋_GBK" w:cs="Times New Roman"/>
                <w:color w:val="000000"/>
                <w:kern w:val="0"/>
                <w:sz w:val="30"/>
                <w:szCs w:val="30"/>
                <w:highlight w:val="none"/>
                <w:lang w:eastAsia="zh-CN" w:bidi="ar"/>
              </w:rPr>
              <w:t>账</w:t>
            </w:r>
            <w:r>
              <w:rPr>
                <w:rFonts w:hint="default" w:ascii="Times New Roman" w:hAnsi="Times New Roman" w:eastAsia="方正仿宋_GBK" w:cs="Times New Roman"/>
                <w:color w:val="000000"/>
                <w:kern w:val="0"/>
                <w:sz w:val="30"/>
                <w:szCs w:val="30"/>
                <w:highlight w:val="none"/>
                <w:lang w:bidi="ar"/>
              </w:rPr>
              <w:t>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报表校验</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月度开户人数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开户及与年初比较情况表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月业务情况同比表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经营、余额情况表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归集额统计表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日资金流量表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各分部数据统计表</w:t>
            </w:r>
          </w:p>
        </w:tc>
      </w:tr>
      <w:tr>
        <w:tblPrEx>
          <w:tblCellMar>
            <w:top w:w="0" w:type="dxa"/>
            <w:left w:w="108" w:type="dxa"/>
            <w:bottom w:w="0" w:type="dxa"/>
            <w:right w:w="108" w:type="dxa"/>
          </w:tblCellMar>
        </w:tblPrEx>
        <w:trPr>
          <w:trHeight w:val="264" w:hRule="atLeast"/>
        </w:trPr>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贷款系统</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月结管理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月结查询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申请受理管理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带押过户信息初审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带押过户信息采集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带押过户信息复审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贷款信息辅助录入审批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线上贷款申请受理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档案资料归档扫描</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特殊资料扫描</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申请退回上报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贷款申请退回</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借款凭证扫描件</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申请撤销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申请资料修改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申请资料录入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咨询受理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贷款信息辅助录入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审批提示管理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贷款审批</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管理机构初审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贷款撤销审批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管理机构审批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划款批次管理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贷款待发放统计表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划款审核通过回退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批次打印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划款批次查询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划款批次取消</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划款批次审核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划款批次制作</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带押过户划款通知书打印（银行权限）</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放款管理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重划跨行放款失败进度查询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放款结算</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重划跨行放款失败款业务初审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重划跨行放款失败款业务复审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放款发送与结果接收</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放款失败修改复审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放款失败修改初审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疑似跨行放款退款查询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重划跨行放款失败款</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放款核算确认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贷款核销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放款结果情况查询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放款结果查询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放款失败修改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还款管理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逾期明细查询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扣款数据情况查询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生成扣款数据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逾期冲还划扣查询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待生成还款计划</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抵押管理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抵押登记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合同补录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合同确认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贴息贷款资料扫描</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轮候管理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查询与统计</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贷款结清查询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流程信息查询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可放贷款查询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已放贷款查询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还款情况查询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还款逾期查询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银行业务查询报表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个人业务办理查询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个人工作量统计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单位工作量统计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贷款业务办理统计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征信上报查询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征信报告查询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异地缴存证明查询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贷款查询一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贷款查询二</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账目明细查询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还款数据汇总</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放款明细查询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逾期数据汇总</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贷款余额查询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项目信息查询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轮候汇总情况表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轮候明细情况表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实时还款情况表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贴息贷款放款还款情况查询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贴息贷款明细查询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贴息贷款明细检查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贴息贷款数据交换监控平台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贴息贷款状态查询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异常贴息放款数据查询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异常贴息还款数据查询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资金业务流程跟踪</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带押过户业务统计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贷款信息辅助录入查询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带押过户信息采集查询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贷款到期未结清查询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个人信息亮码查询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贴息贷款查询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贴息贷款放款结果查询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贴息贷款审批结果查询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贷款审批查询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逾期信息查询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合同信息查询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抵押信息查询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项目管理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项目信息登记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贷后管理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贷款计息恢复</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退款申请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延期还款申请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带押过户停息申请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贷后申请撤销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提前还款申请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还款方式变更申请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贷后资料变更申请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贷后申请查询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还款计划生成</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逾期追收登记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贷款停息</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贷后审批</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提前还款中心初审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提前还款中心复审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还款方式变更中心初审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还款方式变更中心复审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贷后资料变更审批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贷款停息初审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贷款停息复审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贷款计息恢复初审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贷款计息恢复复审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退款申请初审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退款申请复审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延迟还款申请初审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延迟还款申请复审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带押过户停息审批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带押过户退款审批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提前冲还贷中心初审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提前冲还贷中心复审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逾期冲还划扣中心初审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逾期冲还划扣中心复审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贷后撤销申请审批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项目管理审批</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项目登记初审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项目登记复审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置换管理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置换申请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置换复审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置换初审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贴息受理管理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申请资料修改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贷款申请退回</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申请退回上报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申请撤销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贴息申请录入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贴息参数设置</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贴息平均利率设置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贴息贷款参数设置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贴息贷款额度设置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贴息贷款银行设置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贴息置换</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批量贴息置换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贴息置换查询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贴息置换还款查询</w:t>
            </w:r>
          </w:p>
        </w:tc>
      </w:tr>
      <w:tr>
        <w:tblPrEx>
          <w:tblCellMar>
            <w:top w:w="0" w:type="dxa"/>
            <w:left w:w="108" w:type="dxa"/>
            <w:bottom w:w="0" w:type="dxa"/>
            <w:right w:w="108" w:type="dxa"/>
          </w:tblCellMar>
        </w:tblPrEx>
        <w:trPr>
          <w:trHeight w:val="264" w:hRule="atLeast"/>
        </w:trPr>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公共系统</w:t>
            </w: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系统管理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派单权限管理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中心查询权限</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管理部查询权限</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网点查询权限</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个人查询权限</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资源管理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角色管理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用户管理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部门管理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部门维护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信息发布管理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公告信息发布</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代码维护</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代码维护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参数设置</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缴存比例设置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系统参数设置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部门参数设置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休息日设置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利费维护</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利费维护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扫描管理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扫描资料配置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日志管理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日志查询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交易管理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短信查询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日常监控查询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手工数据发送</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可靠消息查询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可靠消息历史查询</w:t>
            </w:r>
          </w:p>
        </w:tc>
      </w:tr>
      <w:tr>
        <w:tblPrEx>
          <w:tblCellMar>
            <w:top w:w="0" w:type="dxa"/>
            <w:left w:w="108" w:type="dxa"/>
            <w:bottom w:w="0" w:type="dxa"/>
            <w:right w:w="108" w:type="dxa"/>
          </w:tblCellMar>
        </w:tblPrEx>
        <w:trPr>
          <w:trHeight w:val="264" w:hRule="atLeast"/>
        </w:trPr>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归集系统</w:t>
            </w: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账户管理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单位销户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个人开户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单位资料扫描</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个人账户转移</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账户合并</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本市转移</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职工多</w:t>
            </w:r>
            <w:r>
              <w:rPr>
                <w:rFonts w:hint="eastAsia" w:ascii="Times New Roman" w:hAnsi="Times New Roman" w:eastAsia="方正仿宋_GBK" w:cs="Times New Roman"/>
                <w:color w:val="000000"/>
                <w:kern w:val="0"/>
                <w:sz w:val="30"/>
                <w:szCs w:val="30"/>
                <w:highlight w:val="none"/>
                <w:lang w:eastAsia="zh-CN" w:bidi="ar"/>
              </w:rPr>
              <w:t>账</w:t>
            </w:r>
            <w:r>
              <w:rPr>
                <w:rFonts w:hint="default" w:ascii="Times New Roman" w:hAnsi="Times New Roman" w:eastAsia="方正仿宋_GBK" w:cs="Times New Roman"/>
                <w:color w:val="000000"/>
                <w:kern w:val="0"/>
                <w:sz w:val="30"/>
                <w:szCs w:val="30"/>
                <w:highlight w:val="none"/>
                <w:lang w:bidi="ar"/>
              </w:rPr>
              <w:t>户查询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缴存管理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单位恢复比例登记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年度基数调整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调整缴存额</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个人补缴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暂存款转移查询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暂存款转移</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单位汇缴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缴存变更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收款登记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多缴错缴退款申请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退暂存款</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单位复缴登记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年度二次调整申请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网上业务登记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绑定付款账号登记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汇入款退回</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托收登记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单位降低比例登记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单位缓缴登记</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提取失败修改复审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提取失败数据修改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管理部复审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管理部初审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提取注销确认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提取注销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退回上报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共有提取人管理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资料变更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重划跨行提取款进度查询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疑似跨行提取退款查询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提取定额</w:t>
            </w:r>
            <w:r>
              <w:rPr>
                <w:rStyle w:val="22"/>
                <w:rFonts w:hint="default" w:ascii="Times New Roman" w:hAnsi="Times New Roman" w:eastAsia="方正仿宋_GBK" w:cs="Times New Roman"/>
                <w:sz w:val="30"/>
                <w:szCs w:val="30"/>
                <w:highlight w:val="none"/>
                <w:lang w:bidi="ar"/>
              </w:rPr>
              <w:t>-</w:t>
            </w:r>
            <w:r>
              <w:rPr>
                <w:rStyle w:val="23"/>
                <w:rFonts w:hint="default" w:ascii="Times New Roman" w:hAnsi="Times New Roman" w:eastAsia="方正仿宋_GBK" w:cs="Times New Roman"/>
                <w:sz w:val="30"/>
                <w:szCs w:val="30"/>
                <w:highlight w:val="none"/>
                <w:lang w:bidi="ar"/>
              </w:rPr>
              <w:t>中心复审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提取定额</w:t>
            </w:r>
            <w:r>
              <w:rPr>
                <w:rStyle w:val="22"/>
                <w:rFonts w:hint="default" w:ascii="Times New Roman" w:hAnsi="Times New Roman" w:eastAsia="方正仿宋_GBK" w:cs="Times New Roman"/>
                <w:sz w:val="30"/>
                <w:szCs w:val="30"/>
                <w:highlight w:val="none"/>
                <w:lang w:bidi="ar"/>
              </w:rPr>
              <w:t>-</w:t>
            </w:r>
            <w:r>
              <w:rPr>
                <w:rStyle w:val="23"/>
                <w:rFonts w:hint="default" w:ascii="Times New Roman" w:hAnsi="Times New Roman" w:eastAsia="方正仿宋_GBK" w:cs="Times New Roman"/>
                <w:sz w:val="30"/>
                <w:szCs w:val="30"/>
                <w:highlight w:val="none"/>
                <w:lang w:bidi="ar"/>
              </w:rPr>
              <w:t>中心初审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房屋地址修改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提取面签审核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提取面签</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约定金额估算统计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约定提取金额试算</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跨区信息核查</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提取初审查询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重划跨行提取款业务复审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重划跨行提取款业务初审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重划跨行提取款</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复核管理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重划同行提取款初审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汇入款退回业务初审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汇入款退回业务复审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重划同行提取款复审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单位信息复核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个人信息复核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单位信息复核（银行）</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上市缴存证明复核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账户合并复核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汇入款退回业务查询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暂存款退回进度查询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退暂存款业务初审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多缴错缴退款中心审批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退暂存款业务复审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收款登记复核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汇缴复核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补缴复核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本市转移复核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暂存款转移复核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复核流水查询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受理业务查询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查询打印</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插件与模板下载</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年度结息汇总单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缴存信息变更查询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个人信息变更查询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单位信息变更查询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提取注销结果查询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自动转账结果查询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托收结果查询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收款查询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跨区账户合并查询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通缴登记业务查询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提取工作量明细表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公积金贷款信息查询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商品房合同信息查询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存量房信息查询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缴存证明查询打印日志</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商业贷款基本信息查询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商业贷款还款明细查询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资金业务流程跟踪</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待分配汇缴单位查询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提取凭证补打</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归集催缴查询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所属单位查询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单位归集数据查询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单位结息对账单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单位缴存证明</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单位历史余额查询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收款明细查询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提取业务查询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提取结果查询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提取变更查询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个人结息对账单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预提利息汇总单</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年度基数调整查询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统计管理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归集情况统计表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个人新开户统计表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提取工作量统计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网点业务量统计表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缴存统计表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工作量统计表</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信息维护</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开发商银行管理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中心个人账户删除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个人手机号批量变更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单位信息变更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个人信息变更</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个人账户删除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个人账户冻结</w:t>
            </w:r>
            <w:r>
              <w:rPr>
                <w:rStyle w:val="22"/>
                <w:rFonts w:hint="default" w:ascii="Times New Roman" w:hAnsi="Times New Roman" w:eastAsia="方正仿宋_GBK" w:cs="Times New Roman"/>
                <w:sz w:val="30"/>
                <w:szCs w:val="30"/>
                <w:highlight w:val="none"/>
                <w:lang w:bidi="ar"/>
              </w:rPr>
              <w:t>/</w:t>
            </w:r>
            <w:r>
              <w:rPr>
                <w:rStyle w:val="23"/>
                <w:rFonts w:hint="default" w:ascii="Times New Roman" w:hAnsi="Times New Roman" w:eastAsia="方正仿宋_GBK" w:cs="Times New Roman"/>
                <w:sz w:val="30"/>
                <w:szCs w:val="30"/>
                <w:highlight w:val="none"/>
                <w:lang w:bidi="ar"/>
              </w:rPr>
              <w:t>解冻</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单位汇缴年月修改</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黑名单管理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日结管理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日结确认</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开具证明管理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开具证明申请</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开具证明查询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异地转移业务</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转入查询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转入撤销</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转出办理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转出查询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转入办理</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转入审核</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预约管理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预约设置</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预约信息查询</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网点维护功能</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_GBK" w:cs="Times New Roman"/>
                <w:color w:val="000000"/>
                <w:sz w:val="30"/>
                <w:szCs w:val="30"/>
                <w:highlight w:val="none"/>
              </w:rPr>
            </w:pP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预约信息统计</w:t>
            </w:r>
          </w:p>
        </w:tc>
      </w:tr>
      <w:tr>
        <w:tblPrEx>
          <w:tblCellMar>
            <w:top w:w="0" w:type="dxa"/>
            <w:left w:w="108" w:type="dxa"/>
            <w:bottom w:w="0" w:type="dxa"/>
            <w:right w:w="108" w:type="dxa"/>
          </w:tblCellMar>
        </w:tblPrEx>
        <w:trPr>
          <w:trHeight w:val="264"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color w:val="000000"/>
                <w:sz w:val="30"/>
                <w:szCs w:val="30"/>
                <w:highlight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退款管理</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kern w:val="0"/>
                <w:sz w:val="30"/>
                <w:szCs w:val="30"/>
                <w:highlight w:val="none"/>
                <w:lang w:bidi="ar"/>
              </w:rPr>
              <w:t>重划同行提取款</w:t>
            </w:r>
          </w:p>
        </w:tc>
      </w:tr>
      <w:tr>
        <w:tblPrEx>
          <w:tblCellMar>
            <w:top w:w="0" w:type="dxa"/>
            <w:left w:w="108" w:type="dxa"/>
            <w:bottom w:w="0" w:type="dxa"/>
            <w:right w:w="108" w:type="dxa"/>
          </w:tblCellMar>
        </w:tblPrEx>
        <w:trPr>
          <w:trHeight w:val="264" w:hRule="atLeast"/>
        </w:trPr>
        <w:tc>
          <w:tcPr>
            <w:tcW w:w="87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bottom"/>
              <w:rPr>
                <w:rFonts w:hint="default" w:ascii="Times New Roman" w:hAnsi="Times New Roman" w:eastAsia="方正仿宋_GBK" w:cs="Times New Roman"/>
                <w:color w:val="000000"/>
                <w:kern w:val="0"/>
                <w:sz w:val="30"/>
                <w:szCs w:val="30"/>
                <w:highlight w:val="none"/>
                <w:lang w:bidi="ar"/>
              </w:rPr>
            </w:pPr>
            <w:r>
              <w:rPr>
                <w:rFonts w:hint="default" w:ascii="Times New Roman" w:hAnsi="Times New Roman" w:eastAsia="方正仿宋_GBK" w:cs="Times New Roman"/>
                <w:color w:val="000000"/>
                <w:sz w:val="30"/>
                <w:szCs w:val="30"/>
                <w:highlight w:val="none"/>
              </w:rPr>
              <w:t>智慧公积金服务接口(含单位业务和个人业务）</w:t>
            </w:r>
          </w:p>
        </w:tc>
      </w:tr>
      <w:tr>
        <w:tblPrEx>
          <w:tblCellMar>
            <w:top w:w="0" w:type="dxa"/>
            <w:left w:w="108" w:type="dxa"/>
            <w:bottom w:w="0" w:type="dxa"/>
            <w:right w:w="108" w:type="dxa"/>
          </w:tblCellMar>
        </w:tblPrEx>
        <w:trPr>
          <w:trHeight w:val="264" w:hRule="atLeast"/>
        </w:trPr>
        <w:tc>
          <w:tcPr>
            <w:tcW w:w="87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bottom"/>
              <w:rPr>
                <w:rFonts w:hint="default" w:ascii="Times New Roman" w:hAnsi="Times New Roman" w:eastAsia="方正仿宋_GBK" w:cs="Times New Roman"/>
                <w:color w:val="000000"/>
                <w:kern w:val="0"/>
                <w:sz w:val="30"/>
                <w:szCs w:val="30"/>
                <w:highlight w:val="none"/>
                <w:lang w:bidi="ar"/>
              </w:rPr>
            </w:pPr>
            <w:r>
              <w:rPr>
                <w:rFonts w:hint="default" w:ascii="Times New Roman" w:hAnsi="Times New Roman" w:eastAsia="方正仿宋_GBK" w:cs="Times New Roman"/>
                <w:color w:val="000000"/>
                <w:sz w:val="30"/>
                <w:szCs w:val="30"/>
                <w:highlight w:val="none"/>
              </w:rPr>
              <w:t>数据上报接口</w:t>
            </w:r>
          </w:p>
        </w:tc>
      </w:tr>
    </w:tbl>
    <w:p>
      <w:pPr>
        <w:ind w:firstLine="560" w:firstLineChars="200"/>
        <w:rPr>
          <w:rFonts w:hint="default" w:ascii="Times New Roman" w:hAnsi="Times New Roman" w:cs="Times New Roman"/>
          <w:sz w:val="28"/>
          <w:szCs w:val="28"/>
          <w:highlight w:val="none"/>
        </w:rPr>
      </w:pPr>
    </w:p>
    <w:p>
      <w:pPr>
        <w:ind w:firstLine="560" w:firstLineChars="200"/>
        <w:rPr>
          <w:rFonts w:hint="default" w:ascii="Times New Roman" w:hAnsi="Times New Roman" w:cs="Times New Roman"/>
          <w:sz w:val="28"/>
          <w:szCs w:val="28"/>
          <w:highlight w:val="none"/>
        </w:rPr>
      </w:pPr>
    </w:p>
    <w:p>
      <w:pPr>
        <w:ind w:firstLine="560" w:firstLineChars="200"/>
        <w:rPr>
          <w:rFonts w:hint="default" w:ascii="Times New Roman" w:hAnsi="Times New Roman" w:cs="Times New Roman"/>
          <w:sz w:val="28"/>
          <w:szCs w:val="28"/>
          <w:highlight w:val="none"/>
        </w:rPr>
      </w:pPr>
    </w:p>
    <w:p>
      <w:pPr>
        <w:pStyle w:val="5"/>
        <w:spacing w:line="480" w:lineRule="exact"/>
        <w:ind w:firstLine="480" w:firstLineChars="200"/>
        <w:rPr>
          <w:rFonts w:hint="default" w:ascii="Times New Roman" w:hAnsi="Times New Roman" w:cs="Times New Roman"/>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方正大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9838910"/>
    </w:sdtPr>
    <w:sdtContent>
      <w:sdt>
        <w:sdtPr>
          <w:id w:val="-1669238322"/>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 w:name="KSO_WPS_MARK_KEY" w:val="582d3d55-80ad-443a-99b7-af3e6fe0f010"/>
  </w:docVars>
  <w:rsids>
    <w:rsidRoot w:val="008C3B63"/>
    <w:rsid w:val="000038DF"/>
    <w:rsid w:val="000E5685"/>
    <w:rsid w:val="0012274F"/>
    <w:rsid w:val="001A2976"/>
    <w:rsid w:val="001B11F9"/>
    <w:rsid w:val="001E31E1"/>
    <w:rsid w:val="002B7C53"/>
    <w:rsid w:val="002D21B5"/>
    <w:rsid w:val="003110DA"/>
    <w:rsid w:val="003D2D45"/>
    <w:rsid w:val="003F6A4A"/>
    <w:rsid w:val="00413880"/>
    <w:rsid w:val="0043316B"/>
    <w:rsid w:val="00443118"/>
    <w:rsid w:val="00462F8F"/>
    <w:rsid w:val="00493D8E"/>
    <w:rsid w:val="005162F8"/>
    <w:rsid w:val="00532DC8"/>
    <w:rsid w:val="00552123"/>
    <w:rsid w:val="005629CF"/>
    <w:rsid w:val="00577178"/>
    <w:rsid w:val="005B38C9"/>
    <w:rsid w:val="005F77D4"/>
    <w:rsid w:val="0061594D"/>
    <w:rsid w:val="00622823"/>
    <w:rsid w:val="00630176"/>
    <w:rsid w:val="006A2E4A"/>
    <w:rsid w:val="006A2F58"/>
    <w:rsid w:val="006C246E"/>
    <w:rsid w:val="006E7939"/>
    <w:rsid w:val="006F251C"/>
    <w:rsid w:val="00716348"/>
    <w:rsid w:val="0074595E"/>
    <w:rsid w:val="00761E4A"/>
    <w:rsid w:val="00824007"/>
    <w:rsid w:val="00834679"/>
    <w:rsid w:val="0084055C"/>
    <w:rsid w:val="00866EEF"/>
    <w:rsid w:val="00885F10"/>
    <w:rsid w:val="008A59B8"/>
    <w:rsid w:val="008B4C09"/>
    <w:rsid w:val="008C3B63"/>
    <w:rsid w:val="009C2A70"/>
    <w:rsid w:val="00A057AC"/>
    <w:rsid w:val="00A12025"/>
    <w:rsid w:val="00A14402"/>
    <w:rsid w:val="00A2192F"/>
    <w:rsid w:val="00A43D5C"/>
    <w:rsid w:val="00AA26FC"/>
    <w:rsid w:val="00AE7D13"/>
    <w:rsid w:val="00B046C4"/>
    <w:rsid w:val="00B0471C"/>
    <w:rsid w:val="00B14FE4"/>
    <w:rsid w:val="00B3080F"/>
    <w:rsid w:val="00B34654"/>
    <w:rsid w:val="00B465B5"/>
    <w:rsid w:val="00B51D4B"/>
    <w:rsid w:val="00BC53C4"/>
    <w:rsid w:val="00C07610"/>
    <w:rsid w:val="00C13234"/>
    <w:rsid w:val="00C32CFD"/>
    <w:rsid w:val="00C571B7"/>
    <w:rsid w:val="00C810F6"/>
    <w:rsid w:val="00CA16AD"/>
    <w:rsid w:val="00D30AC7"/>
    <w:rsid w:val="00D83863"/>
    <w:rsid w:val="00D87874"/>
    <w:rsid w:val="00D917DC"/>
    <w:rsid w:val="00DC6D52"/>
    <w:rsid w:val="00DE7C2A"/>
    <w:rsid w:val="00E43A15"/>
    <w:rsid w:val="00E710B7"/>
    <w:rsid w:val="00E75756"/>
    <w:rsid w:val="00E9130E"/>
    <w:rsid w:val="00EB4D31"/>
    <w:rsid w:val="00ED2CC7"/>
    <w:rsid w:val="00EF242C"/>
    <w:rsid w:val="00EF7A30"/>
    <w:rsid w:val="00F04095"/>
    <w:rsid w:val="00F23D96"/>
    <w:rsid w:val="00F24F11"/>
    <w:rsid w:val="00F311DC"/>
    <w:rsid w:val="00F337FB"/>
    <w:rsid w:val="00F7413A"/>
    <w:rsid w:val="083D42EA"/>
    <w:rsid w:val="0B6C40BC"/>
    <w:rsid w:val="0E5119FA"/>
    <w:rsid w:val="1262332C"/>
    <w:rsid w:val="1FDD0294"/>
    <w:rsid w:val="20526909"/>
    <w:rsid w:val="21E3597E"/>
    <w:rsid w:val="262F2712"/>
    <w:rsid w:val="26367416"/>
    <w:rsid w:val="299A7AF9"/>
    <w:rsid w:val="2D82768F"/>
    <w:rsid w:val="2F384F0F"/>
    <w:rsid w:val="380B78F8"/>
    <w:rsid w:val="3D4A21CD"/>
    <w:rsid w:val="5E5F51DA"/>
    <w:rsid w:val="5F5F7C57"/>
    <w:rsid w:val="61B04DC4"/>
    <w:rsid w:val="61EB3354"/>
    <w:rsid w:val="67066B90"/>
    <w:rsid w:val="695B1B46"/>
    <w:rsid w:val="6D2A35AE"/>
    <w:rsid w:val="702E0250"/>
    <w:rsid w:val="78436D8D"/>
    <w:rsid w:val="7F314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autoSpaceDE w:val="0"/>
      <w:autoSpaceDN w:val="0"/>
      <w:adjustRightInd w:val="0"/>
      <w:spacing w:before="340" w:after="330" w:line="578" w:lineRule="auto"/>
      <w:jc w:val="left"/>
      <w:textAlignment w:val="baseline"/>
      <w:outlineLvl w:val="0"/>
    </w:pPr>
    <w:rPr>
      <w:rFonts w:ascii="宋体" w:hAnsi="Times New Roman"/>
      <w:b/>
      <w:kern w:val="44"/>
      <w:sz w:val="44"/>
      <w:szCs w:val="20"/>
      <w:lang w:val="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99"/>
    <w:pPr>
      <w:ind w:left="420" w:leftChars="200"/>
    </w:pPr>
  </w:style>
  <w:style w:type="paragraph" w:styleId="4">
    <w:name w:val="annotation text"/>
    <w:basedOn w:val="1"/>
    <w:link w:val="19"/>
    <w:semiHidden/>
    <w:unhideWhenUsed/>
    <w:qFormat/>
    <w:uiPriority w:val="99"/>
    <w:pPr>
      <w:jc w:val="left"/>
    </w:pPr>
  </w:style>
  <w:style w:type="paragraph" w:styleId="5">
    <w:name w:val="Plain Text"/>
    <w:basedOn w:val="1"/>
    <w:link w:val="18"/>
    <w:qFormat/>
    <w:uiPriority w:val="0"/>
    <w:rPr>
      <w:rFonts w:ascii="宋体" w:hAnsi="Courier New"/>
      <w:szCs w:val="20"/>
      <w:lang w:val="zh-CN"/>
    </w:rPr>
  </w:style>
  <w:style w:type="paragraph" w:styleId="6">
    <w:name w:val="Balloon Text"/>
    <w:basedOn w:val="1"/>
    <w:link w:val="21"/>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4"/>
    <w:next w:val="4"/>
    <w:link w:val="20"/>
    <w:semiHidden/>
    <w:unhideWhenUsed/>
    <w:qFormat/>
    <w:uiPriority w:val="99"/>
    <w:rPr>
      <w:b/>
      <w:bCs/>
    </w:rPr>
  </w:style>
  <w:style w:type="character" w:styleId="13">
    <w:name w:val="Strong"/>
    <w:basedOn w:val="12"/>
    <w:qFormat/>
    <w:uiPriority w:val="0"/>
    <w:rPr>
      <w:b/>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标题 1 Char"/>
    <w:basedOn w:val="12"/>
    <w:link w:val="2"/>
    <w:qFormat/>
    <w:uiPriority w:val="0"/>
    <w:rPr>
      <w:rFonts w:ascii="宋体" w:hAnsi="Times New Roman" w:eastAsia="宋体" w:cs="Times New Roman"/>
      <w:b/>
      <w:kern w:val="44"/>
      <w:sz w:val="44"/>
      <w:szCs w:val="20"/>
      <w:lang w:val="zh-CN" w:eastAsia="zh-CN"/>
    </w:rPr>
  </w:style>
  <w:style w:type="character" w:customStyle="1" w:styleId="18">
    <w:name w:val="纯文本 Char"/>
    <w:basedOn w:val="12"/>
    <w:link w:val="5"/>
    <w:qFormat/>
    <w:uiPriority w:val="0"/>
    <w:rPr>
      <w:rFonts w:ascii="宋体" w:hAnsi="Courier New" w:eastAsia="宋体" w:cs="Times New Roman"/>
      <w:szCs w:val="20"/>
      <w:lang w:val="zh-CN" w:eastAsia="zh-CN"/>
    </w:rPr>
  </w:style>
  <w:style w:type="character" w:customStyle="1" w:styleId="19">
    <w:name w:val="批注文字 Char"/>
    <w:basedOn w:val="12"/>
    <w:link w:val="4"/>
    <w:semiHidden/>
    <w:qFormat/>
    <w:uiPriority w:val="99"/>
    <w:rPr>
      <w:rFonts w:ascii="Calibri" w:hAnsi="Calibri" w:eastAsia="宋体" w:cs="Times New Roman"/>
    </w:rPr>
  </w:style>
  <w:style w:type="character" w:customStyle="1" w:styleId="20">
    <w:name w:val="批注主题 Char"/>
    <w:basedOn w:val="19"/>
    <w:link w:val="10"/>
    <w:semiHidden/>
    <w:qFormat/>
    <w:uiPriority w:val="99"/>
    <w:rPr>
      <w:rFonts w:ascii="Calibri" w:hAnsi="Calibri" w:eastAsia="宋体" w:cs="Times New Roman"/>
      <w:b/>
      <w:bCs/>
    </w:rPr>
  </w:style>
  <w:style w:type="character" w:customStyle="1" w:styleId="21">
    <w:name w:val="批注框文本 Char"/>
    <w:basedOn w:val="12"/>
    <w:link w:val="6"/>
    <w:semiHidden/>
    <w:qFormat/>
    <w:uiPriority w:val="99"/>
    <w:rPr>
      <w:rFonts w:ascii="Calibri" w:hAnsi="Calibri" w:eastAsia="宋体" w:cs="Times New Roman"/>
      <w:sz w:val="18"/>
      <w:szCs w:val="18"/>
    </w:rPr>
  </w:style>
  <w:style w:type="character" w:customStyle="1" w:styleId="22">
    <w:name w:val="font01"/>
    <w:basedOn w:val="12"/>
    <w:qFormat/>
    <w:uiPriority w:val="0"/>
    <w:rPr>
      <w:rFonts w:ascii="Segoe UI" w:hAnsi="Segoe UI" w:eastAsia="Segoe UI" w:cs="Segoe UI"/>
      <w:color w:val="000000"/>
      <w:sz w:val="18"/>
      <w:szCs w:val="18"/>
      <w:u w:val="none"/>
    </w:rPr>
  </w:style>
  <w:style w:type="character" w:customStyle="1" w:styleId="23">
    <w:name w:val="font31"/>
    <w:basedOn w:val="1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30</Pages>
  <Words>6229</Words>
  <Characters>6342</Characters>
  <Lines>57</Lines>
  <Paragraphs>16</Paragraphs>
  <TotalTime>0</TotalTime>
  <ScaleCrop>false</ScaleCrop>
  <LinksUpToDate>false</LinksUpToDate>
  <CharactersWithSpaces>6344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2024-06-17T09:19:00Z</dcterms:created>
  <dc:creator>cx</dc:creator>
  <cp:lastModifiedBy>PC</cp:lastModifiedBy>
  <cp:lastPrinted>2024-06-20T09:02:00Z</cp:lastPrinted>
  <dcterms:modified xsi:type="dcterms:W3CDTF">2025-06-10T00:48:08Z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4B73BE7611494A2B879B6B1EAA74AC21_12</vt:lpwstr>
  </property>
</Properties>
</file>