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34" w:type="dxa"/>
        <w:jc w:val="center"/>
        <w:tblLayout w:type="fixed"/>
        <w:tblCellMar>
          <w:top w:w="0" w:type="dxa"/>
          <w:left w:w="108" w:type="dxa"/>
          <w:bottom w:w="0" w:type="dxa"/>
          <w:right w:w="108" w:type="dxa"/>
        </w:tblCellMar>
      </w:tblPr>
      <w:tblGrid>
        <w:gridCol w:w="1418"/>
        <w:gridCol w:w="1984"/>
        <w:gridCol w:w="1276"/>
        <w:gridCol w:w="7799"/>
        <w:gridCol w:w="1557"/>
      </w:tblGrid>
      <w:tr w14:paraId="4DD15545">
        <w:tblPrEx>
          <w:tblCellMar>
            <w:top w:w="0" w:type="dxa"/>
            <w:left w:w="108" w:type="dxa"/>
            <w:bottom w:w="0" w:type="dxa"/>
            <w:right w:w="108" w:type="dxa"/>
          </w:tblCellMar>
        </w:tblPrEx>
        <w:trPr>
          <w:cantSplit/>
          <w:trHeight w:val="90" w:hRule="atLeast"/>
          <w:jc w:val="center"/>
        </w:trPr>
        <w:tc>
          <w:tcPr>
            <w:tcW w:w="14034" w:type="dxa"/>
            <w:gridSpan w:val="5"/>
            <w:tcBorders>
              <w:top w:val="nil"/>
              <w:left w:val="nil"/>
              <w:bottom w:val="nil"/>
              <w:right w:val="nil"/>
            </w:tcBorders>
            <w:vAlign w:val="center"/>
          </w:tcPr>
          <w:p w14:paraId="02D36BFE">
            <w:pPr>
              <w:widowControl/>
              <w:spacing w:line="700" w:lineRule="exact"/>
              <w:rPr>
                <w:rFonts w:hint="eastAsia" w:ascii="黑体" w:hAnsi="黑体" w:eastAsia="黑体" w:cs="黑体"/>
                <w:bCs/>
                <w:sz w:val="44"/>
                <w:szCs w:val="44"/>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36FC42D4">
            <w:pPr>
              <w:widowControl/>
              <w:spacing w:line="700" w:lineRule="exact"/>
              <w:jc w:val="center"/>
              <w:rPr>
                <w:rFonts w:ascii="华文中宋" w:hAnsi="华文中宋" w:eastAsia="华文中宋" w:cs="方正小标宋简体"/>
                <w:b/>
                <w:sz w:val="44"/>
                <w:szCs w:val="44"/>
              </w:rPr>
            </w:pPr>
            <w:r>
              <w:rPr>
                <w:rFonts w:hint="eastAsia" w:ascii="华文中宋" w:hAnsi="华文中宋" w:eastAsia="华文中宋" w:cs="方正小标宋简体"/>
                <w:b/>
                <w:bCs/>
                <w:kern w:val="0"/>
                <w:sz w:val="44"/>
                <w:szCs w:val="44"/>
              </w:rPr>
              <w:t>项目报价综合评分表</w:t>
            </w:r>
          </w:p>
        </w:tc>
      </w:tr>
      <w:tr w14:paraId="2518CDCC">
        <w:tblPrEx>
          <w:tblCellMar>
            <w:top w:w="0" w:type="dxa"/>
            <w:left w:w="108" w:type="dxa"/>
            <w:bottom w:w="0" w:type="dxa"/>
            <w:right w:w="108" w:type="dxa"/>
          </w:tblCellMar>
        </w:tblPrEx>
        <w:trPr>
          <w:cantSplit/>
          <w:trHeight w:val="435" w:hRule="atLeast"/>
          <w:jc w:val="center"/>
        </w:trPr>
        <w:tc>
          <w:tcPr>
            <w:tcW w:w="12477" w:type="dxa"/>
            <w:gridSpan w:val="4"/>
            <w:tcBorders>
              <w:top w:val="nil"/>
              <w:left w:val="nil"/>
              <w:bottom w:val="single" w:color="000000" w:sz="4" w:space="0"/>
              <w:right w:val="nil"/>
            </w:tcBorders>
            <w:vAlign w:val="center"/>
          </w:tcPr>
          <w:p w14:paraId="30964917">
            <w:pPr>
              <w:widowControl/>
              <w:spacing w:line="400" w:lineRule="exact"/>
              <w:jc w:val="left"/>
              <w:rPr>
                <w:rFonts w:ascii="宋体" w:hAnsi="宋体" w:cs="宋体"/>
                <w:kern w:val="0"/>
                <w:sz w:val="24"/>
                <w:szCs w:val="24"/>
              </w:rPr>
            </w:pPr>
          </w:p>
          <w:p w14:paraId="1D669E9E">
            <w:pPr>
              <w:widowControl/>
              <w:spacing w:line="400" w:lineRule="exact"/>
              <w:jc w:val="left"/>
              <w:rPr>
                <w:rFonts w:ascii="宋体" w:hAnsi="宋体" w:cs="宋体"/>
                <w:kern w:val="0"/>
                <w:sz w:val="24"/>
                <w:szCs w:val="24"/>
              </w:rPr>
            </w:pPr>
            <w:r>
              <w:rPr>
                <w:rFonts w:hint="eastAsia" w:ascii="宋体" w:hAnsi="宋体" w:cs="宋体"/>
                <w:kern w:val="0"/>
                <w:sz w:val="24"/>
                <w:szCs w:val="24"/>
              </w:rPr>
              <w:t>报价人：</w:t>
            </w:r>
          </w:p>
        </w:tc>
        <w:tc>
          <w:tcPr>
            <w:tcW w:w="1557" w:type="dxa"/>
            <w:tcBorders>
              <w:top w:val="nil"/>
              <w:left w:val="nil"/>
              <w:bottom w:val="nil"/>
              <w:right w:val="nil"/>
            </w:tcBorders>
          </w:tcPr>
          <w:p w14:paraId="410FD1F0">
            <w:pPr>
              <w:widowControl/>
              <w:spacing w:line="400" w:lineRule="exact"/>
              <w:jc w:val="left"/>
              <w:rPr>
                <w:rFonts w:ascii="宋体" w:hAnsi="宋体" w:cs="宋体"/>
                <w:kern w:val="0"/>
                <w:sz w:val="24"/>
                <w:szCs w:val="24"/>
              </w:rPr>
            </w:pPr>
          </w:p>
        </w:tc>
      </w:tr>
      <w:tr w14:paraId="17AE4FD0">
        <w:tblPrEx>
          <w:tblCellMar>
            <w:top w:w="0" w:type="dxa"/>
            <w:left w:w="108" w:type="dxa"/>
            <w:bottom w:w="0" w:type="dxa"/>
            <w:right w:w="108" w:type="dxa"/>
          </w:tblCellMar>
        </w:tblPrEx>
        <w:trPr>
          <w:trHeight w:val="420" w:hRule="atLeast"/>
          <w:jc w:val="center"/>
        </w:trPr>
        <w:tc>
          <w:tcPr>
            <w:tcW w:w="3402" w:type="dxa"/>
            <w:gridSpan w:val="2"/>
            <w:tcBorders>
              <w:top w:val="single" w:color="000000" w:sz="4" w:space="0"/>
              <w:left w:val="single" w:color="000000" w:sz="4" w:space="0"/>
              <w:bottom w:val="single" w:color="000000" w:sz="4" w:space="0"/>
              <w:right w:val="single" w:color="000000" w:sz="4" w:space="0"/>
            </w:tcBorders>
            <w:vAlign w:val="center"/>
          </w:tcPr>
          <w:p w14:paraId="576CAA52">
            <w:pPr>
              <w:widowControl/>
              <w:jc w:val="center"/>
              <w:rPr>
                <w:rFonts w:ascii="黑体" w:hAnsi="黑体" w:eastAsia="黑体" w:cs="黑体"/>
                <w:kern w:val="0"/>
                <w:szCs w:val="21"/>
              </w:rPr>
            </w:pPr>
            <w:r>
              <w:rPr>
                <w:rFonts w:hint="eastAsia" w:ascii="黑体" w:hAnsi="黑体" w:eastAsia="黑体" w:cs="黑体"/>
                <w:kern w:val="0"/>
                <w:szCs w:val="21"/>
              </w:rPr>
              <w:t>评审项目</w:t>
            </w:r>
          </w:p>
        </w:tc>
        <w:tc>
          <w:tcPr>
            <w:tcW w:w="1276" w:type="dxa"/>
            <w:tcBorders>
              <w:top w:val="nil"/>
              <w:left w:val="nil"/>
              <w:bottom w:val="single" w:color="000000" w:sz="4" w:space="0"/>
              <w:right w:val="single" w:color="000000" w:sz="4" w:space="0"/>
            </w:tcBorders>
            <w:vAlign w:val="center"/>
          </w:tcPr>
          <w:p w14:paraId="2A5248D5">
            <w:pPr>
              <w:widowControl/>
              <w:jc w:val="center"/>
              <w:rPr>
                <w:rFonts w:ascii="黑体" w:hAnsi="黑体" w:eastAsia="黑体" w:cs="黑体"/>
                <w:kern w:val="0"/>
                <w:szCs w:val="21"/>
              </w:rPr>
            </w:pPr>
            <w:r>
              <w:rPr>
                <w:rFonts w:hint="eastAsia" w:ascii="黑体" w:hAnsi="黑体" w:eastAsia="黑体" w:cs="黑体"/>
                <w:kern w:val="0"/>
                <w:szCs w:val="21"/>
              </w:rPr>
              <w:t>分值(分)</w:t>
            </w:r>
          </w:p>
        </w:tc>
        <w:tc>
          <w:tcPr>
            <w:tcW w:w="7799" w:type="dxa"/>
            <w:tcBorders>
              <w:top w:val="nil"/>
              <w:left w:val="nil"/>
              <w:bottom w:val="single" w:color="000000" w:sz="4" w:space="0"/>
              <w:right w:val="nil"/>
            </w:tcBorders>
            <w:vAlign w:val="center"/>
          </w:tcPr>
          <w:p w14:paraId="180D5615">
            <w:pPr>
              <w:widowControl/>
              <w:jc w:val="center"/>
              <w:rPr>
                <w:rFonts w:ascii="黑体" w:hAnsi="黑体" w:eastAsia="黑体" w:cs="黑体"/>
                <w:kern w:val="0"/>
                <w:szCs w:val="21"/>
              </w:rPr>
            </w:pPr>
            <w:r>
              <w:rPr>
                <w:rFonts w:hint="eastAsia" w:ascii="黑体" w:hAnsi="黑体" w:eastAsia="黑体" w:cs="黑体"/>
                <w:kern w:val="0"/>
                <w:szCs w:val="21"/>
              </w:rPr>
              <w:t>评审标准</w:t>
            </w:r>
          </w:p>
        </w:tc>
        <w:tc>
          <w:tcPr>
            <w:tcW w:w="1557" w:type="dxa"/>
            <w:tcBorders>
              <w:top w:val="single" w:color="auto" w:sz="4" w:space="0"/>
              <w:left w:val="single" w:color="auto" w:sz="4" w:space="0"/>
              <w:bottom w:val="single" w:color="000000" w:sz="4" w:space="0"/>
              <w:right w:val="single" w:color="auto" w:sz="4" w:space="0"/>
            </w:tcBorders>
            <w:vAlign w:val="center"/>
          </w:tcPr>
          <w:p w14:paraId="1BD3D491">
            <w:pPr>
              <w:widowControl/>
              <w:jc w:val="center"/>
              <w:rPr>
                <w:rFonts w:ascii="黑体" w:hAnsi="黑体" w:eastAsia="黑体" w:cs="黑体"/>
                <w:kern w:val="0"/>
                <w:szCs w:val="21"/>
              </w:rPr>
            </w:pPr>
            <w:r>
              <w:rPr>
                <w:rFonts w:hint="eastAsia" w:ascii="黑体" w:hAnsi="黑体" w:eastAsia="黑体" w:cs="黑体"/>
                <w:kern w:val="0"/>
                <w:szCs w:val="21"/>
              </w:rPr>
              <w:t>得分</w:t>
            </w:r>
          </w:p>
        </w:tc>
      </w:tr>
      <w:tr w14:paraId="0CB10E06">
        <w:tblPrEx>
          <w:tblCellMar>
            <w:top w:w="0" w:type="dxa"/>
            <w:left w:w="108" w:type="dxa"/>
            <w:bottom w:w="0" w:type="dxa"/>
            <w:right w:w="108" w:type="dxa"/>
          </w:tblCellMar>
        </w:tblPrEx>
        <w:trPr>
          <w:cantSplit/>
          <w:trHeight w:val="90" w:hRule="atLeast"/>
          <w:jc w:val="center"/>
        </w:trPr>
        <w:tc>
          <w:tcPr>
            <w:tcW w:w="3402" w:type="dxa"/>
            <w:gridSpan w:val="2"/>
            <w:tcBorders>
              <w:top w:val="single" w:color="000000" w:sz="4" w:space="0"/>
              <w:left w:val="single" w:color="000000" w:sz="4" w:space="0"/>
              <w:bottom w:val="single" w:color="auto" w:sz="4" w:space="0"/>
              <w:right w:val="single" w:color="000000" w:sz="4" w:space="0"/>
            </w:tcBorders>
            <w:vAlign w:val="center"/>
          </w:tcPr>
          <w:p w14:paraId="1880B679">
            <w:pPr>
              <w:widowControl/>
              <w:jc w:val="center"/>
              <w:rPr>
                <w:rFonts w:ascii="宋体" w:hAnsi="宋体" w:cs="宋体"/>
                <w:kern w:val="0"/>
                <w:szCs w:val="21"/>
              </w:rPr>
            </w:pPr>
            <w:r>
              <w:rPr>
                <w:rFonts w:hint="eastAsia" w:ascii="宋体" w:hAnsi="宋体" w:cs="宋体"/>
                <w:kern w:val="0"/>
                <w:szCs w:val="21"/>
              </w:rPr>
              <w:t>报价</w:t>
            </w:r>
          </w:p>
          <w:p w14:paraId="36E5B52F">
            <w:pPr>
              <w:widowControl/>
              <w:jc w:val="center"/>
              <w:rPr>
                <w:rFonts w:ascii="宋体" w:hAnsi="宋体" w:cs="宋体"/>
                <w:kern w:val="0"/>
                <w:szCs w:val="21"/>
              </w:rPr>
            </w:pPr>
            <w:r>
              <w:rPr>
                <w:rFonts w:hint="eastAsia" w:ascii="宋体" w:hAnsi="宋体" w:cs="宋体"/>
                <w:kern w:val="0"/>
                <w:szCs w:val="21"/>
              </w:rPr>
              <w:t>（权重10%）</w:t>
            </w:r>
          </w:p>
        </w:tc>
        <w:tc>
          <w:tcPr>
            <w:tcW w:w="1276" w:type="dxa"/>
            <w:tcBorders>
              <w:top w:val="single" w:color="000000" w:sz="4" w:space="0"/>
              <w:left w:val="single" w:color="000000" w:sz="4" w:space="0"/>
              <w:bottom w:val="single" w:color="auto" w:sz="4" w:space="0"/>
              <w:right w:val="single" w:color="000000" w:sz="4" w:space="0"/>
            </w:tcBorders>
            <w:vAlign w:val="center"/>
          </w:tcPr>
          <w:p w14:paraId="667B62D7">
            <w:pPr>
              <w:widowControl/>
              <w:jc w:val="center"/>
              <w:rPr>
                <w:rFonts w:ascii="宋体" w:hAnsi="宋体" w:cs="宋体"/>
                <w:kern w:val="0"/>
                <w:szCs w:val="21"/>
              </w:rPr>
            </w:pPr>
            <w:r>
              <w:rPr>
                <w:rFonts w:hint="eastAsia" w:ascii="宋体" w:hAnsi="宋体" w:cs="宋体"/>
                <w:kern w:val="0"/>
                <w:szCs w:val="21"/>
              </w:rPr>
              <w:t>10</w:t>
            </w:r>
          </w:p>
        </w:tc>
        <w:tc>
          <w:tcPr>
            <w:tcW w:w="7799" w:type="dxa"/>
            <w:tcBorders>
              <w:top w:val="single" w:color="000000" w:sz="4" w:space="0"/>
              <w:left w:val="single" w:color="000000" w:sz="4" w:space="0"/>
              <w:bottom w:val="single" w:color="auto" w:sz="4" w:space="0"/>
              <w:right w:val="single" w:color="000000" w:sz="4" w:space="0"/>
            </w:tcBorders>
            <w:vAlign w:val="center"/>
          </w:tcPr>
          <w:p w14:paraId="0FB4E55C">
            <w:pPr>
              <w:widowControl/>
              <w:jc w:val="left"/>
              <w:rPr>
                <w:rFonts w:ascii="宋体" w:hAnsi="宋体" w:cs="宋体"/>
                <w:kern w:val="0"/>
                <w:szCs w:val="21"/>
              </w:rPr>
            </w:pPr>
            <w:r>
              <w:rPr>
                <w:rFonts w:hint="eastAsia" w:ascii="宋体" w:hAnsi="宋体" w:cs="宋体"/>
                <w:kern w:val="0"/>
                <w:szCs w:val="21"/>
              </w:rPr>
              <w:t>各合格报价人的报价按下列方法计算得分：以按招标文件规定的所有合格报价人的评标价的最低价作为评分基准价。报价人的价格分按下式计算：价格分=（评分基准价/评标价）×10</w:t>
            </w:r>
          </w:p>
        </w:tc>
        <w:tc>
          <w:tcPr>
            <w:tcW w:w="1557" w:type="dxa"/>
            <w:tcBorders>
              <w:top w:val="single" w:color="000000" w:sz="4" w:space="0"/>
              <w:left w:val="single" w:color="000000" w:sz="4" w:space="0"/>
              <w:bottom w:val="single" w:color="000000" w:sz="4" w:space="0"/>
              <w:right w:val="single" w:color="000000" w:sz="4" w:space="0"/>
            </w:tcBorders>
            <w:vAlign w:val="center"/>
          </w:tcPr>
          <w:p w14:paraId="6F2559D4">
            <w:pPr>
              <w:widowControl/>
              <w:jc w:val="center"/>
              <w:rPr>
                <w:rFonts w:ascii="宋体" w:hAnsi="宋体" w:cs="宋体"/>
                <w:kern w:val="0"/>
                <w:szCs w:val="21"/>
              </w:rPr>
            </w:pPr>
          </w:p>
          <w:p w14:paraId="0768B9A0">
            <w:pPr>
              <w:widowControl/>
              <w:jc w:val="center"/>
              <w:rPr>
                <w:rFonts w:ascii="宋体" w:hAnsi="宋体" w:cs="宋体"/>
                <w:kern w:val="0"/>
                <w:szCs w:val="21"/>
              </w:rPr>
            </w:pPr>
          </w:p>
        </w:tc>
      </w:tr>
      <w:tr w14:paraId="0FB469CC">
        <w:tblPrEx>
          <w:tblCellMar>
            <w:top w:w="0" w:type="dxa"/>
            <w:left w:w="108" w:type="dxa"/>
            <w:bottom w:w="0" w:type="dxa"/>
            <w:right w:w="108" w:type="dxa"/>
          </w:tblCellMar>
        </w:tblPrEx>
        <w:trPr>
          <w:cantSplit/>
          <w:trHeight w:val="832" w:hRule="atLeast"/>
          <w:jc w:val="center"/>
        </w:trPr>
        <w:tc>
          <w:tcPr>
            <w:tcW w:w="1418" w:type="dxa"/>
            <w:vMerge w:val="restart"/>
            <w:tcBorders>
              <w:top w:val="single" w:color="auto" w:sz="4" w:space="0"/>
              <w:left w:val="single" w:color="auto" w:sz="4" w:space="0"/>
              <w:right w:val="single" w:color="auto" w:sz="4" w:space="0"/>
            </w:tcBorders>
            <w:vAlign w:val="center"/>
          </w:tcPr>
          <w:p w14:paraId="1591FFAC">
            <w:pPr>
              <w:widowControl/>
              <w:jc w:val="center"/>
              <w:rPr>
                <w:rFonts w:ascii="宋体" w:hAnsi="宋体" w:cs="宋体"/>
                <w:kern w:val="0"/>
                <w:szCs w:val="21"/>
              </w:rPr>
            </w:pPr>
            <w:r>
              <w:rPr>
                <w:rFonts w:hint="eastAsia" w:ascii="宋体" w:hAnsi="宋体" w:cs="宋体"/>
                <w:kern w:val="0"/>
                <w:szCs w:val="21"/>
              </w:rPr>
              <w:t>商务部分</w:t>
            </w:r>
          </w:p>
          <w:p w14:paraId="70F4F010">
            <w:pPr>
              <w:widowControl/>
              <w:jc w:val="center"/>
              <w:rPr>
                <w:rFonts w:ascii="宋体" w:hAnsi="宋体" w:cs="宋体"/>
                <w:szCs w:val="21"/>
              </w:rPr>
            </w:pPr>
            <w:r>
              <w:rPr>
                <w:rFonts w:hint="eastAsia" w:ascii="宋体" w:hAnsi="宋体" w:cs="宋体"/>
                <w:kern w:val="0"/>
                <w:szCs w:val="21"/>
              </w:rPr>
              <w:t>（权重5</w:t>
            </w:r>
            <w:r>
              <w:rPr>
                <w:rFonts w:hint="eastAsia" w:ascii="宋体" w:hAnsi="宋体" w:cs="宋体"/>
                <w:kern w:val="0"/>
                <w:szCs w:val="21"/>
                <w:lang w:val="en-US" w:eastAsia="zh-CN"/>
              </w:rPr>
              <w:t>5</w:t>
            </w:r>
            <w:r>
              <w:rPr>
                <w:rFonts w:hint="eastAsia" w:ascii="宋体" w:hAnsi="宋体" w:cs="宋体"/>
                <w:kern w:val="0"/>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14:paraId="65D0BC16">
            <w:pPr>
              <w:jc w:val="center"/>
              <w:rPr>
                <w:rFonts w:hint="default" w:ascii="宋体" w:hAnsi="宋体" w:eastAsia="宋体" w:cs="宋体"/>
                <w:kern w:val="0"/>
                <w:szCs w:val="21"/>
                <w:lang w:val="en-US" w:eastAsia="zh-CN"/>
              </w:rPr>
            </w:pPr>
            <w:r>
              <w:rPr>
                <w:rFonts w:hint="eastAsia" w:ascii="宋体" w:hAnsi="宋体" w:cs="宋体"/>
                <w:kern w:val="0"/>
                <w:szCs w:val="21"/>
              </w:rPr>
              <w:t>企业</w:t>
            </w:r>
            <w:r>
              <w:rPr>
                <w:rFonts w:hint="eastAsia" w:ascii="宋体" w:hAnsi="宋体" w:cs="宋体"/>
                <w:kern w:val="0"/>
                <w:szCs w:val="21"/>
                <w:lang w:val="en-US" w:eastAsia="zh-CN"/>
              </w:rPr>
              <w:t>综合实力</w:t>
            </w:r>
          </w:p>
        </w:tc>
        <w:tc>
          <w:tcPr>
            <w:tcW w:w="1276" w:type="dxa"/>
            <w:tcBorders>
              <w:top w:val="single" w:color="auto" w:sz="4" w:space="0"/>
              <w:left w:val="single" w:color="auto" w:sz="4" w:space="0"/>
              <w:bottom w:val="single" w:color="auto" w:sz="4" w:space="0"/>
              <w:right w:val="single" w:color="auto" w:sz="4" w:space="0"/>
            </w:tcBorders>
            <w:vAlign w:val="center"/>
          </w:tcPr>
          <w:p w14:paraId="4E3E2A1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799" w:type="dxa"/>
            <w:tcBorders>
              <w:top w:val="single" w:color="auto" w:sz="4" w:space="0"/>
              <w:left w:val="single" w:color="auto" w:sz="4" w:space="0"/>
              <w:bottom w:val="single" w:color="auto" w:sz="4" w:space="0"/>
              <w:right w:val="single" w:color="auto" w:sz="4" w:space="0"/>
            </w:tcBorders>
            <w:vAlign w:val="center"/>
          </w:tcPr>
          <w:p w14:paraId="3F977D25">
            <w:pPr>
              <w:widowControl/>
              <w:jc w:val="left"/>
              <w:rPr>
                <w:rFonts w:ascii="宋体" w:hAnsi="宋体" w:cs="宋体"/>
                <w:kern w:val="0"/>
                <w:szCs w:val="21"/>
              </w:rPr>
            </w:pPr>
            <w:r>
              <w:rPr>
                <w:rFonts w:hint="eastAsia" w:ascii="宋体" w:hAnsi="宋体" w:cs="宋体"/>
                <w:kern w:val="0"/>
                <w:szCs w:val="21"/>
              </w:rPr>
              <w:t>根据供应商的整体</w:t>
            </w:r>
            <w:r>
              <w:rPr>
                <w:rFonts w:hint="eastAsia" w:ascii="宋体" w:hAnsi="宋体" w:cs="宋体"/>
                <w:kern w:val="0"/>
                <w:szCs w:val="21"/>
                <w:lang w:val="en-US" w:eastAsia="zh-CN"/>
              </w:rPr>
              <w:t>情况</w:t>
            </w:r>
            <w:r>
              <w:rPr>
                <w:rFonts w:hint="eastAsia" w:ascii="宋体" w:hAnsi="宋体" w:cs="宋体"/>
                <w:kern w:val="0"/>
                <w:szCs w:val="21"/>
              </w:rPr>
              <w:t>等进行评审：</w:t>
            </w:r>
          </w:p>
          <w:p w14:paraId="60620E81">
            <w:pPr>
              <w:widowControl/>
              <w:jc w:val="left"/>
              <w:rPr>
                <w:rFonts w:ascii="宋体" w:hAnsi="宋体" w:cs="宋体"/>
                <w:kern w:val="0"/>
                <w:szCs w:val="21"/>
              </w:rPr>
            </w:pPr>
            <w:r>
              <w:rPr>
                <w:rFonts w:hint="eastAsia" w:ascii="宋体" w:hAnsi="宋体" w:cs="宋体"/>
                <w:kern w:val="0"/>
                <w:szCs w:val="21"/>
              </w:rPr>
              <w:t>1.整体企业</w:t>
            </w:r>
            <w:r>
              <w:rPr>
                <w:rFonts w:hint="eastAsia" w:ascii="宋体" w:hAnsi="宋体" w:cs="宋体"/>
                <w:kern w:val="0"/>
                <w:szCs w:val="21"/>
                <w:lang w:val="en-US" w:eastAsia="zh-CN"/>
              </w:rPr>
              <w:t>介绍</w:t>
            </w:r>
            <w:r>
              <w:rPr>
                <w:rFonts w:hint="eastAsia" w:ascii="宋体" w:hAnsi="宋体" w:cs="宋体"/>
                <w:kern w:val="0"/>
                <w:szCs w:val="21"/>
              </w:rPr>
              <w:t>详细、完整，团队10人以上，</w:t>
            </w:r>
            <w:r>
              <w:rPr>
                <w:rFonts w:hint="eastAsia" w:ascii="宋体" w:hAnsi="宋体" w:cs="宋体"/>
                <w:kern w:val="0"/>
                <w:szCs w:val="21"/>
                <w:lang w:val="en-US" w:eastAsia="zh-CN"/>
              </w:rPr>
              <w:t>配备</w:t>
            </w:r>
            <w:r>
              <w:rPr>
                <w:rFonts w:hint="eastAsia" w:ascii="宋体" w:hAnsi="宋体" w:eastAsia="宋体" w:cs="宋体"/>
                <w:kern w:val="0"/>
                <w:sz w:val="21"/>
                <w:szCs w:val="21"/>
                <w:lang w:val="en-US" w:eastAsia="zh-CN" w:bidi="ar-SA"/>
              </w:rPr>
              <w:t>1名</w:t>
            </w:r>
            <w:r>
              <w:rPr>
                <w:rFonts w:hint="eastAsia" w:ascii="宋体" w:hAnsi="宋体" w:cs="宋体"/>
                <w:kern w:val="0"/>
                <w:sz w:val="21"/>
                <w:szCs w:val="21"/>
                <w:lang w:val="en-US" w:eastAsia="zh-CN" w:bidi="ar-SA"/>
              </w:rPr>
              <w:t>或以上</w:t>
            </w:r>
            <w:r>
              <w:rPr>
                <w:rFonts w:hint="eastAsia" w:ascii="宋体" w:hAnsi="宋体" w:eastAsia="宋体" w:cs="宋体"/>
                <w:kern w:val="0"/>
                <w:sz w:val="21"/>
                <w:szCs w:val="21"/>
                <w:lang w:val="en-US" w:eastAsia="zh-CN" w:bidi="ar-SA"/>
              </w:rPr>
              <w:t>专职执行人员为本项目服务</w:t>
            </w:r>
            <w:r>
              <w:rPr>
                <w:rFonts w:hint="eastAsia" w:ascii="宋体" w:hAnsi="宋体" w:cs="宋体"/>
                <w:kern w:val="0"/>
                <w:sz w:val="21"/>
                <w:szCs w:val="21"/>
                <w:lang w:val="en-US" w:eastAsia="zh-CN" w:bidi="ar-SA"/>
              </w:rPr>
              <w:t>，</w:t>
            </w:r>
            <w:r>
              <w:rPr>
                <w:rFonts w:hint="eastAsia" w:ascii="宋体" w:hAnsi="宋体" w:cs="宋体"/>
                <w:kern w:val="0"/>
                <w:szCs w:val="21"/>
              </w:rPr>
              <w:t>得</w:t>
            </w:r>
            <w:r>
              <w:rPr>
                <w:rFonts w:hint="eastAsia" w:ascii="宋体" w:hAnsi="宋体" w:cs="宋体"/>
                <w:kern w:val="0"/>
                <w:szCs w:val="21"/>
                <w:lang w:val="en-US" w:eastAsia="zh-CN"/>
              </w:rPr>
              <w:t>16</w:t>
            </w:r>
            <w:r>
              <w:rPr>
                <w:rFonts w:hint="eastAsia" w:ascii="宋体" w:hAnsi="宋体" w:cs="宋体"/>
                <w:kern w:val="0"/>
                <w:szCs w:val="21"/>
              </w:rPr>
              <w:t>分；</w:t>
            </w:r>
          </w:p>
          <w:p w14:paraId="0E1A07CA">
            <w:pPr>
              <w:widowControl/>
              <w:jc w:val="left"/>
              <w:rPr>
                <w:rFonts w:ascii="宋体" w:hAnsi="宋体" w:cs="宋体"/>
                <w:kern w:val="0"/>
                <w:szCs w:val="21"/>
              </w:rPr>
            </w:pPr>
            <w:r>
              <w:rPr>
                <w:rFonts w:hint="eastAsia" w:ascii="宋体" w:hAnsi="宋体" w:cs="宋体"/>
                <w:kern w:val="0"/>
                <w:szCs w:val="21"/>
              </w:rPr>
              <w:t>2.整体企业</w:t>
            </w:r>
            <w:r>
              <w:rPr>
                <w:rFonts w:hint="eastAsia" w:ascii="宋体" w:hAnsi="宋体" w:cs="宋体"/>
                <w:kern w:val="0"/>
                <w:szCs w:val="21"/>
                <w:lang w:val="en-US" w:eastAsia="zh-CN"/>
              </w:rPr>
              <w:t>介绍</w:t>
            </w:r>
            <w:r>
              <w:rPr>
                <w:rFonts w:hint="eastAsia" w:ascii="宋体" w:hAnsi="宋体" w:cs="宋体"/>
                <w:kern w:val="0"/>
                <w:szCs w:val="21"/>
              </w:rPr>
              <w:t>较详细、完整，</w:t>
            </w:r>
            <w:r>
              <w:rPr>
                <w:rFonts w:hint="eastAsia" w:ascii="宋体" w:hAnsi="宋体" w:cs="宋体"/>
                <w:kern w:val="0"/>
                <w:szCs w:val="21"/>
                <w:lang w:val="en-US" w:eastAsia="zh-CN"/>
              </w:rPr>
              <w:t>配备</w:t>
            </w:r>
            <w:r>
              <w:rPr>
                <w:rFonts w:hint="eastAsia" w:ascii="宋体" w:hAnsi="宋体" w:eastAsia="宋体" w:cs="宋体"/>
                <w:kern w:val="0"/>
                <w:sz w:val="21"/>
                <w:szCs w:val="21"/>
                <w:lang w:val="en-US" w:eastAsia="zh-CN" w:bidi="ar-SA"/>
              </w:rPr>
              <w:t>1名专职执行人员为本项目服务</w:t>
            </w:r>
            <w:r>
              <w:rPr>
                <w:rFonts w:hint="eastAsia" w:ascii="宋体" w:hAnsi="宋体" w:cs="宋体"/>
                <w:kern w:val="0"/>
                <w:sz w:val="21"/>
                <w:szCs w:val="21"/>
                <w:lang w:val="en-US" w:eastAsia="zh-CN" w:bidi="ar-SA"/>
              </w:rPr>
              <w:t>，</w:t>
            </w:r>
            <w:r>
              <w:rPr>
                <w:rFonts w:hint="eastAsia" w:ascii="宋体" w:hAnsi="宋体" w:cs="宋体"/>
                <w:kern w:val="0"/>
                <w:szCs w:val="21"/>
              </w:rPr>
              <w:t>得</w:t>
            </w:r>
            <w:r>
              <w:rPr>
                <w:rFonts w:hint="eastAsia" w:ascii="宋体" w:hAnsi="宋体" w:cs="宋体"/>
                <w:kern w:val="0"/>
                <w:szCs w:val="21"/>
                <w:lang w:val="en-US" w:eastAsia="zh-CN"/>
              </w:rPr>
              <w:t>12</w:t>
            </w:r>
            <w:r>
              <w:rPr>
                <w:rFonts w:hint="eastAsia" w:ascii="宋体" w:hAnsi="宋体" w:cs="宋体"/>
                <w:kern w:val="0"/>
                <w:szCs w:val="21"/>
              </w:rPr>
              <w:t>分；</w:t>
            </w:r>
          </w:p>
          <w:p w14:paraId="51655EA5">
            <w:pPr>
              <w:widowControl/>
              <w:jc w:val="left"/>
              <w:rPr>
                <w:rFonts w:ascii="宋体" w:hAnsi="宋体" w:cs="宋体"/>
                <w:kern w:val="0"/>
                <w:szCs w:val="21"/>
              </w:rPr>
            </w:pPr>
            <w:r>
              <w:rPr>
                <w:rFonts w:hint="eastAsia" w:ascii="宋体" w:hAnsi="宋体" w:cs="宋体"/>
                <w:kern w:val="0"/>
                <w:szCs w:val="21"/>
              </w:rPr>
              <w:t>3.整体企业</w:t>
            </w:r>
            <w:r>
              <w:rPr>
                <w:rFonts w:hint="eastAsia" w:ascii="宋体" w:hAnsi="宋体" w:cs="宋体"/>
                <w:kern w:val="0"/>
                <w:szCs w:val="21"/>
                <w:lang w:val="en-US" w:eastAsia="zh-CN"/>
              </w:rPr>
              <w:t>介绍简单</w:t>
            </w:r>
            <w:r>
              <w:rPr>
                <w:rFonts w:hint="eastAsia" w:ascii="宋体" w:hAnsi="宋体" w:cs="宋体"/>
                <w:kern w:val="0"/>
                <w:szCs w:val="21"/>
              </w:rPr>
              <w:t>，</w:t>
            </w:r>
            <w:r>
              <w:rPr>
                <w:rFonts w:hint="eastAsia" w:ascii="宋体" w:hAnsi="宋体" w:cs="宋体"/>
                <w:kern w:val="0"/>
                <w:szCs w:val="21"/>
                <w:lang w:val="en-US" w:eastAsia="zh-CN"/>
              </w:rPr>
              <w:t>没有配备专职执行人员为本项目服务，</w:t>
            </w:r>
            <w:r>
              <w:rPr>
                <w:rFonts w:hint="eastAsia" w:ascii="宋体" w:hAnsi="宋体" w:cs="宋体"/>
                <w:kern w:val="0"/>
                <w:szCs w:val="21"/>
              </w:rPr>
              <w:t>得</w:t>
            </w:r>
            <w:r>
              <w:rPr>
                <w:rFonts w:hint="eastAsia" w:ascii="宋体" w:hAnsi="宋体" w:cs="宋体"/>
                <w:kern w:val="0"/>
                <w:szCs w:val="21"/>
                <w:lang w:val="en-US" w:eastAsia="zh-CN"/>
              </w:rPr>
              <w:t>6</w:t>
            </w:r>
            <w:r>
              <w:rPr>
                <w:rFonts w:hint="eastAsia" w:ascii="宋体" w:hAnsi="宋体" w:cs="宋体"/>
                <w:kern w:val="0"/>
                <w:szCs w:val="21"/>
              </w:rPr>
              <w:t>分；</w:t>
            </w:r>
          </w:p>
          <w:p w14:paraId="484617C9">
            <w:pPr>
              <w:widowControl/>
              <w:jc w:val="left"/>
              <w:rPr>
                <w:rFonts w:hint="eastAsia" w:ascii="宋体" w:hAnsi="宋体" w:cs="宋体"/>
                <w:kern w:val="0"/>
                <w:szCs w:val="21"/>
              </w:rPr>
            </w:pPr>
            <w:r>
              <w:rPr>
                <w:rFonts w:hint="eastAsia" w:ascii="宋体" w:hAnsi="宋体" w:cs="宋体"/>
                <w:kern w:val="0"/>
                <w:szCs w:val="21"/>
              </w:rPr>
              <w:t>4.其他或不提供不得分。</w:t>
            </w:r>
            <w:bookmarkStart w:id="0" w:name="_GoBack"/>
            <w:bookmarkEnd w:id="0"/>
          </w:p>
          <w:p w14:paraId="4DA88AD8">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若存在持有</w:t>
            </w:r>
            <w:r>
              <w:rPr>
                <w:rFonts w:hint="eastAsia" w:ascii="宋体" w:hAnsi="宋体" w:cs="宋体"/>
                <w:kern w:val="0"/>
                <w:sz w:val="21"/>
                <w:szCs w:val="21"/>
                <w:lang w:val="en-US" w:eastAsia="zh-CN" w:bidi="ar-SA"/>
              </w:rPr>
              <w:t>设计相关</w:t>
            </w:r>
            <w:r>
              <w:rPr>
                <w:rFonts w:hint="eastAsia" w:ascii="宋体" w:hAnsi="宋体" w:eastAsia="宋体" w:cs="宋体"/>
                <w:kern w:val="0"/>
                <w:sz w:val="21"/>
                <w:szCs w:val="21"/>
                <w:lang w:val="en-US" w:eastAsia="zh-CN" w:bidi="ar-SA"/>
              </w:rPr>
              <w:t>职称证书，且具备与项目执行环节相关专业能力的人员，</w:t>
            </w:r>
            <w:r>
              <w:rPr>
                <w:rFonts w:hint="eastAsia" w:ascii="宋体" w:hAnsi="宋体" w:cs="宋体"/>
                <w:kern w:val="0"/>
                <w:sz w:val="21"/>
                <w:szCs w:val="21"/>
                <w:lang w:val="en-US" w:eastAsia="zh-CN" w:bidi="ar-SA"/>
              </w:rPr>
              <w:t>可加分，</w:t>
            </w:r>
            <w:r>
              <w:rPr>
                <w:rFonts w:hint="eastAsia" w:ascii="宋体" w:hAnsi="宋体" w:eastAsia="宋体" w:cs="宋体"/>
                <w:kern w:val="0"/>
                <w:sz w:val="21"/>
                <w:szCs w:val="21"/>
                <w:lang w:val="en-US" w:eastAsia="zh-CN" w:bidi="ar-SA"/>
              </w:rPr>
              <w:t>每有1名，得</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 xml:space="preserve">分。本小项最高得 </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p w14:paraId="5AEF5486">
            <w:pPr>
              <w:pStyle w:val="2"/>
            </w:pPr>
            <w:r>
              <w:rPr>
                <w:rFonts w:hint="eastAsia" w:ascii="宋体" w:hAnsi="宋体" w:cs="宋体"/>
                <w:kern w:val="0"/>
                <w:szCs w:val="21"/>
              </w:rPr>
              <w:t>（说明：须提供相关人员开标前三个月内任意一个月的社保证明，社保缴纳单位须与投标主体一致或属其子、母公司；获得相关专业资格证书的人员需提供对应证件的扫描件，没有提供或提供无效证明材料的不得分。）</w:t>
            </w:r>
          </w:p>
        </w:tc>
        <w:tc>
          <w:tcPr>
            <w:tcW w:w="1557" w:type="dxa"/>
            <w:vMerge w:val="restart"/>
            <w:tcBorders>
              <w:top w:val="single" w:color="000000" w:sz="4" w:space="0"/>
              <w:left w:val="single" w:color="auto" w:sz="4" w:space="0"/>
              <w:right w:val="single" w:color="000000" w:sz="4" w:space="0"/>
            </w:tcBorders>
            <w:vAlign w:val="center"/>
          </w:tcPr>
          <w:p w14:paraId="4D3CC954">
            <w:pPr>
              <w:widowControl/>
              <w:jc w:val="center"/>
              <w:rPr>
                <w:rFonts w:ascii="宋体" w:hAnsi="宋体" w:cs="宋体"/>
                <w:kern w:val="0"/>
                <w:szCs w:val="21"/>
              </w:rPr>
            </w:pPr>
          </w:p>
        </w:tc>
      </w:tr>
      <w:tr w14:paraId="2B1EC35F">
        <w:tblPrEx>
          <w:tblCellMar>
            <w:top w:w="0" w:type="dxa"/>
            <w:left w:w="108" w:type="dxa"/>
            <w:bottom w:w="0" w:type="dxa"/>
            <w:right w:w="108" w:type="dxa"/>
          </w:tblCellMar>
        </w:tblPrEx>
        <w:trPr>
          <w:cantSplit/>
          <w:trHeight w:val="832" w:hRule="atLeast"/>
          <w:jc w:val="center"/>
        </w:trPr>
        <w:tc>
          <w:tcPr>
            <w:tcW w:w="1418" w:type="dxa"/>
            <w:vMerge w:val="continue"/>
            <w:tcBorders>
              <w:left w:val="single" w:color="auto" w:sz="4" w:space="0"/>
              <w:right w:val="single" w:color="auto" w:sz="4" w:space="0"/>
            </w:tcBorders>
            <w:vAlign w:val="center"/>
          </w:tcPr>
          <w:p w14:paraId="2414C3E7">
            <w:pPr>
              <w:widowControl/>
              <w:jc w:val="center"/>
              <w:rPr>
                <w:rFonts w:ascii="宋体" w:hAnsi="宋体" w:cs="宋体"/>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3FA0F3F">
            <w:pPr>
              <w:jc w:val="center"/>
              <w:rPr>
                <w:rFonts w:ascii="宋体" w:hAnsi="宋体" w:cs="宋体"/>
                <w:kern w:val="0"/>
                <w:szCs w:val="21"/>
              </w:rPr>
            </w:pPr>
            <w:r>
              <w:rPr>
                <w:rFonts w:hint="eastAsia" w:ascii="宋体" w:hAnsi="宋体" w:cs="宋体"/>
                <w:kern w:val="0"/>
                <w:szCs w:val="21"/>
              </w:rPr>
              <w:t>项目经验</w:t>
            </w:r>
          </w:p>
        </w:tc>
        <w:tc>
          <w:tcPr>
            <w:tcW w:w="1276" w:type="dxa"/>
            <w:tcBorders>
              <w:top w:val="single" w:color="auto" w:sz="4" w:space="0"/>
              <w:left w:val="single" w:color="auto" w:sz="4" w:space="0"/>
              <w:bottom w:val="single" w:color="auto" w:sz="4" w:space="0"/>
              <w:right w:val="single" w:color="auto" w:sz="4" w:space="0"/>
            </w:tcBorders>
            <w:vAlign w:val="center"/>
          </w:tcPr>
          <w:p w14:paraId="5FEA254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799" w:type="dxa"/>
            <w:tcBorders>
              <w:top w:val="single" w:color="auto" w:sz="4" w:space="0"/>
              <w:left w:val="single" w:color="auto" w:sz="4" w:space="0"/>
              <w:bottom w:val="single" w:color="auto" w:sz="4" w:space="0"/>
              <w:right w:val="single" w:color="auto" w:sz="4" w:space="0"/>
            </w:tcBorders>
            <w:vAlign w:val="center"/>
          </w:tcPr>
          <w:p w14:paraId="03C82FB9">
            <w:pPr>
              <w:widowControl/>
              <w:jc w:val="left"/>
              <w:rPr>
                <w:rFonts w:ascii="宋体" w:hAnsi="宋体" w:cs="宋体"/>
                <w:kern w:val="0"/>
                <w:szCs w:val="21"/>
              </w:rPr>
            </w:pPr>
            <w:r>
              <w:rPr>
                <w:rFonts w:hint="eastAsia" w:ascii="宋体" w:hAnsi="宋体" w:cs="宋体"/>
                <w:kern w:val="0"/>
                <w:szCs w:val="21"/>
              </w:rPr>
              <w:t>根据供应商自20</w:t>
            </w:r>
            <w:r>
              <w:rPr>
                <w:rFonts w:hint="eastAsia" w:ascii="宋体" w:hAnsi="宋体" w:cs="宋体"/>
                <w:kern w:val="0"/>
                <w:szCs w:val="21"/>
                <w:lang w:val="en-US" w:eastAsia="zh-CN"/>
              </w:rPr>
              <w:t>21</w:t>
            </w:r>
            <w:r>
              <w:rPr>
                <w:rFonts w:hint="eastAsia" w:ascii="宋体" w:hAnsi="宋体" w:cs="宋体"/>
                <w:kern w:val="0"/>
                <w:szCs w:val="21"/>
              </w:rPr>
              <w:t>年起至今完成的同类项目业绩进行评分：每个符合要求的业绩得</w:t>
            </w:r>
            <w:r>
              <w:rPr>
                <w:rFonts w:hint="eastAsia" w:ascii="宋体" w:hAnsi="宋体" w:cs="宋体"/>
                <w:kern w:val="0"/>
                <w:szCs w:val="21"/>
                <w:lang w:val="en-US" w:eastAsia="zh-CN"/>
              </w:rPr>
              <w:t>3</w:t>
            </w:r>
            <w:r>
              <w:rPr>
                <w:rFonts w:hint="eastAsia" w:ascii="宋体" w:hAnsi="宋体" w:cs="宋体"/>
                <w:kern w:val="0"/>
                <w:szCs w:val="21"/>
              </w:rPr>
              <w:t>分，最高得</w:t>
            </w:r>
            <w:r>
              <w:rPr>
                <w:rFonts w:hint="eastAsia" w:ascii="宋体" w:hAnsi="宋体" w:cs="宋体"/>
                <w:kern w:val="0"/>
                <w:szCs w:val="21"/>
                <w:lang w:val="en-US" w:eastAsia="zh-CN"/>
              </w:rPr>
              <w:t>15</w:t>
            </w:r>
            <w:r>
              <w:rPr>
                <w:rFonts w:hint="eastAsia" w:ascii="宋体" w:hAnsi="宋体" w:cs="宋体"/>
                <w:kern w:val="0"/>
                <w:szCs w:val="21"/>
              </w:rPr>
              <w:t>分。</w:t>
            </w:r>
          </w:p>
          <w:p w14:paraId="0C58154A">
            <w:pPr>
              <w:widowControl/>
              <w:jc w:val="left"/>
              <w:rPr>
                <w:rFonts w:ascii="宋体" w:hAnsi="宋体" w:cs="宋体"/>
                <w:kern w:val="0"/>
                <w:szCs w:val="21"/>
              </w:rPr>
            </w:pPr>
            <w:r>
              <w:rPr>
                <w:rFonts w:hint="eastAsia" w:ascii="宋体" w:hAnsi="宋体" w:cs="宋体"/>
                <w:kern w:val="0"/>
                <w:szCs w:val="21"/>
              </w:rPr>
              <w:t>注：以供应商提供的业绩证明【合同】复印件为评分依据，未能提供上述证明文件的，该项业绩不得分。</w:t>
            </w:r>
          </w:p>
        </w:tc>
        <w:tc>
          <w:tcPr>
            <w:tcW w:w="1557" w:type="dxa"/>
            <w:vMerge w:val="continue"/>
            <w:tcBorders>
              <w:left w:val="single" w:color="auto" w:sz="4" w:space="0"/>
              <w:right w:val="single" w:color="000000" w:sz="4" w:space="0"/>
            </w:tcBorders>
            <w:vAlign w:val="center"/>
          </w:tcPr>
          <w:p w14:paraId="0E005FF9">
            <w:pPr>
              <w:widowControl/>
              <w:jc w:val="center"/>
              <w:rPr>
                <w:rFonts w:ascii="宋体" w:hAnsi="宋体" w:cs="宋体"/>
                <w:kern w:val="0"/>
                <w:szCs w:val="21"/>
              </w:rPr>
            </w:pPr>
          </w:p>
        </w:tc>
      </w:tr>
      <w:tr w14:paraId="3EA6A324">
        <w:tblPrEx>
          <w:tblCellMar>
            <w:top w:w="0" w:type="dxa"/>
            <w:left w:w="108" w:type="dxa"/>
            <w:bottom w:w="0" w:type="dxa"/>
            <w:right w:w="108" w:type="dxa"/>
          </w:tblCellMar>
        </w:tblPrEx>
        <w:trPr>
          <w:cantSplit/>
          <w:trHeight w:val="858" w:hRule="atLeast"/>
          <w:jc w:val="center"/>
        </w:trPr>
        <w:tc>
          <w:tcPr>
            <w:tcW w:w="1418" w:type="dxa"/>
            <w:vMerge w:val="continue"/>
            <w:tcBorders>
              <w:left w:val="single" w:color="auto" w:sz="4" w:space="0"/>
              <w:right w:val="single" w:color="auto" w:sz="4" w:space="0"/>
            </w:tcBorders>
            <w:vAlign w:val="center"/>
          </w:tcPr>
          <w:p w14:paraId="760645C0">
            <w:pPr>
              <w:widowControl/>
              <w:jc w:val="center"/>
              <w:rPr>
                <w:rFonts w:ascii="宋体" w:hAnsi="宋体" w:cs="宋体"/>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D0A48D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宣传渠道资源</w:t>
            </w:r>
          </w:p>
        </w:tc>
        <w:tc>
          <w:tcPr>
            <w:tcW w:w="1276" w:type="dxa"/>
            <w:tcBorders>
              <w:top w:val="single" w:color="auto" w:sz="4" w:space="0"/>
              <w:left w:val="single" w:color="auto" w:sz="4" w:space="0"/>
              <w:bottom w:val="single" w:color="auto" w:sz="4" w:space="0"/>
              <w:right w:val="single" w:color="auto" w:sz="4" w:space="0"/>
            </w:tcBorders>
            <w:vAlign w:val="center"/>
          </w:tcPr>
          <w:p w14:paraId="507E7BC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799" w:type="dxa"/>
            <w:tcBorders>
              <w:top w:val="single" w:color="auto" w:sz="4" w:space="0"/>
              <w:left w:val="single" w:color="auto" w:sz="4" w:space="0"/>
              <w:bottom w:val="single" w:color="auto" w:sz="4" w:space="0"/>
              <w:right w:val="single" w:color="auto" w:sz="4" w:space="0"/>
            </w:tcBorders>
            <w:vAlign w:val="center"/>
          </w:tcPr>
          <w:p w14:paraId="63B78D91">
            <w:pPr>
              <w:widowControl/>
              <w:numPr>
                <w:ilvl w:val="0"/>
                <w:numId w:val="0"/>
              </w:numPr>
              <w:jc w:val="left"/>
              <w:rPr>
                <w:rFonts w:hint="eastAsia" w:ascii="宋体" w:hAnsi="宋体" w:cs="宋体"/>
                <w:color w:val="auto"/>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渠道数量要素评价：能提供活动所需的宣传发布渠道资源（客户端、微信公众号或</w:t>
            </w:r>
            <w:r>
              <w:rPr>
                <w:rFonts w:hint="eastAsia" w:ascii="宋体" w:hAnsi="宋体" w:cs="宋体"/>
                <w:color w:val="auto"/>
                <w:kern w:val="0"/>
                <w:sz w:val="21"/>
                <w:szCs w:val="21"/>
                <w:lang w:val="en-US" w:eastAsia="zh-CN" w:bidi="ar-SA"/>
              </w:rPr>
              <w:t xml:space="preserve">微博等），自有宣传渠道每个得2分，合作宣传渠道每个得1分。该要素评价项最高得分不超过6分。 </w:t>
            </w:r>
          </w:p>
          <w:p w14:paraId="055068CB">
            <w:pPr>
              <w:widowControl/>
              <w:numPr>
                <w:ilvl w:val="0"/>
                <w:numId w:val="0"/>
              </w:numPr>
              <w:jc w:val="left"/>
              <w:rPr>
                <w:rFonts w:hint="eastAsia" w:ascii="宋体" w:hAnsi="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2.</w:t>
            </w:r>
            <w:r>
              <w:rPr>
                <w:rFonts w:hint="eastAsia" w:ascii="宋体" w:hAnsi="宋体" w:cs="宋体"/>
                <w:color w:val="auto"/>
                <w:kern w:val="0"/>
                <w:sz w:val="21"/>
                <w:szCs w:val="21"/>
                <w:lang w:val="en-US" w:eastAsia="zh-CN" w:bidi="ar-SA"/>
              </w:rPr>
              <w:t xml:space="preserve">渠道质量要素评价：提供的渠道粉丝量（或客户端下载量）累计超过10万的得3分，超过30万的得6分，超过50万的得8分，超过80万的得9分（此项数量为所有渠道的合计数，不针对单个渠道分别计分）。该要素评价项最高得9分。 </w:t>
            </w:r>
          </w:p>
          <w:p w14:paraId="73AD65E8">
            <w:pPr>
              <w:widowControl/>
              <w:numPr>
                <w:ilvl w:val="0"/>
                <w:numId w:val="0"/>
              </w:numPr>
              <w:jc w:val="left"/>
              <w:rPr>
                <w:rFonts w:ascii="宋体" w:hAnsi="宋体" w:cs="宋体"/>
                <w:kern w:val="0"/>
                <w:szCs w:val="21"/>
              </w:rPr>
            </w:pPr>
            <w:r>
              <w:rPr>
                <w:rFonts w:hint="eastAsia" w:ascii="宋体" w:hAnsi="宋体" w:cs="宋体"/>
                <w:color w:val="auto"/>
                <w:kern w:val="0"/>
                <w:sz w:val="21"/>
                <w:szCs w:val="21"/>
                <w:lang w:val="en-US" w:eastAsia="zh-CN" w:bidi="ar-SA"/>
              </w:rPr>
              <w:t>（说明：本项总得分=渠道数量要素评价得分+渠道质量要素评价得分。自有渠道需提供相关认证截图或同一主体证明材料，合作宣传渠道需提供相关授权或合</w:t>
            </w:r>
            <w:r>
              <w:rPr>
                <w:rFonts w:hint="eastAsia" w:ascii="宋体" w:hAnsi="宋体" w:cs="宋体"/>
                <w:kern w:val="0"/>
                <w:sz w:val="21"/>
                <w:szCs w:val="21"/>
                <w:lang w:val="en-US" w:eastAsia="zh-CN" w:bidi="ar-SA"/>
              </w:rPr>
              <w:t>作证明材料。没有提供或提供无效证明材料，该项不得分。）</w:t>
            </w:r>
          </w:p>
        </w:tc>
        <w:tc>
          <w:tcPr>
            <w:tcW w:w="1557" w:type="dxa"/>
            <w:vMerge w:val="continue"/>
            <w:tcBorders>
              <w:top w:val="single" w:color="000000" w:sz="4" w:space="0"/>
              <w:left w:val="single" w:color="auto" w:sz="4" w:space="0"/>
              <w:bottom w:val="single" w:color="000000" w:sz="4" w:space="0"/>
              <w:right w:val="single" w:color="000000" w:sz="4" w:space="0"/>
            </w:tcBorders>
            <w:vAlign w:val="center"/>
          </w:tcPr>
          <w:p w14:paraId="4B74F6D7">
            <w:pPr>
              <w:widowControl/>
              <w:jc w:val="center"/>
              <w:rPr>
                <w:rFonts w:ascii="宋体" w:hAnsi="宋体" w:cs="宋体"/>
                <w:kern w:val="0"/>
                <w:szCs w:val="21"/>
              </w:rPr>
            </w:pPr>
          </w:p>
        </w:tc>
      </w:tr>
      <w:tr w14:paraId="1579881A">
        <w:tblPrEx>
          <w:tblCellMar>
            <w:top w:w="0" w:type="dxa"/>
            <w:left w:w="108" w:type="dxa"/>
            <w:bottom w:w="0" w:type="dxa"/>
            <w:right w:w="108" w:type="dxa"/>
          </w:tblCellMar>
        </w:tblPrEx>
        <w:trPr>
          <w:cantSplit/>
          <w:trHeight w:val="1363" w:hRule="atLeast"/>
          <w:jc w:val="center"/>
        </w:trPr>
        <w:tc>
          <w:tcPr>
            <w:tcW w:w="1418" w:type="dxa"/>
            <w:vMerge w:val="continue"/>
            <w:tcBorders>
              <w:left w:val="single" w:color="auto" w:sz="4" w:space="0"/>
              <w:bottom w:val="single" w:color="000000" w:sz="4" w:space="0"/>
              <w:right w:val="single" w:color="auto" w:sz="4" w:space="0"/>
            </w:tcBorders>
            <w:vAlign w:val="center"/>
          </w:tcPr>
          <w:p w14:paraId="29CC01FA">
            <w:pPr>
              <w:widowControl/>
              <w:jc w:val="center"/>
              <w:rPr>
                <w:rFonts w:ascii="宋体" w:hAnsi="宋体" w:cs="宋体"/>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A0FEF4">
            <w:pPr>
              <w:jc w:val="center"/>
              <w:rPr>
                <w:rFonts w:ascii="宋体" w:hAnsi="宋体" w:cs="宋体"/>
                <w:kern w:val="0"/>
                <w:szCs w:val="21"/>
              </w:rPr>
            </w:pPr>
            <w:r>
              <w:rPr>
                <w:rFonts w:hint="eastAsia" w:ascii="宋体" w:hAnsi="宋体" w:cs="宋体"/>
                <w:kern w:val="0"/>
                <w:szCs w:val="21"/>
              </w:rPr>
              <w:t>后续服务</w:t>
            </w:r>
          </w:p>
        </w:tc>
        <w:tc>
          <w:tcPr>
            <w:tcW w:w="1276" w:type="dxa"/>
            <w:tcBorders>
              <w:top w:val="single" w:color="auto" w:sz="4" w:space="0"/>
              <w:left w:val="single" w:color="auto" w:sz="4" w:space="0"/>
              <w:bottom w:val="single" w:color="auto" w:sz="4" w:space="0"/>
              <w:right w:val="single" w:color="auto" w:sz="4" w:space="0"/>
            </w:tcBorders>
            <w:vAlign w:val="center"/>
          </w:tcPr>
          <w:p w14:paraId="0FECAB4D">
            <w:pPr>
              <w:widowControl/>
              <w:jc w:val="center"/>
              <w:rPr>
                <w:rFonts w:ascii="宋体" w:hAnsi="宋体" w:cs="宋体"/>
                <w:kern w:val="0"/>
                <w:szCs w:val="21"/>
              </w:rPr>
            </w:pPr>
            <w:r>
              <w:rPr>
                <w:rFonts w:hint="eastAsia" w:ascii="宋体" w:hAnsi="宋体" w:cs="宋体"/>
                <w:kern w:val="0"/>
                <w:szCs w:val="21"/>
              </w:rPr>
              <w:t>5</w:t>
            </w:r>
          </w:p>
        </w:tc>
        <w:tc>
          <w:tcPr>
            <w:tcW w:w="7799" w:type="dxa"/>
            <w:tcBorders>
              <w:top w:val="single" w:color="auto" w:sz="4" w:space="0"/>
              <w:left w:val="single" w:color="auto" w:sz="4" w:space="0"/>
              <w:bottom w:val="single" w:color="auto" w:sz="4" w:space="0"/>
              <w:right w:val="single" w:color="auto" w:sz="4" w:space="0"/>
            </w:tcBorders>
            <w:vAlign w:val="center"/>
          </w:tcPr>
          <w:p w14:paraId="0E0AE47C">
            <w:pPr>
              <w:widowControl/>
              <w:jc w:val="left"/>
              <w:rPr>
                <w:rFonts w:ascii="宋体" w:hAnsi="宋体" w:cs="宋体"/>
                <w:kern w:val="0"/>
                <w:szCs w:val="21"/>
              </w:rPr>
            </w:pPr>
            <w:r>
              <w:rPr>
                <w:rFonts w:hint="eastAsia" w:ascii="宋体" w:hAnsi="宋体" w:cs="宋体"/>
                <w:kern w:val="0"/>
                <w:szCs w:val="21"/>
              </w:rPr>
              <w:t>根据供应商针对本项目提供的后续服务措施进行评分：</w:t>
            </w:r>
          </w:p>
          <w:p w14:paraId="62CCA307">
            <w:pPr>
              <w:widowControl/>
              <w:jc w:val="left"/>
              <w:rPr>
                <w:rFonts w:ascii="宋体" w:hAnsi="宋体" w:cs="宋体"/>
                <w:kern w:val="0"/>
                <w:szCs w:val="21"/>
              </w:rPr>
            </w:pPr>
            <w:r>
              <w:rPr>
                <w:rFonts w:hint="eastAsia" w:ascii="宋体" w:hAnsi="宋体" w:cs="宋体"/>
                <w:kern w:val="0"/>
                <w:szCs w:val="21"/>
              </w:rPr>
              <w:t>1.后续服务措施详细可行，积极配合采购人验收和</w:t>
            </w:r>
            <w:r>
              <w:rPr>
                <w:rFonts w:hint="eastAsia" w:ascii="宋体" w:hAnsi="宋体" w:cs="宋体"/>
                <w:kern w:val="0"/>
                <w:szCs w:val="21"/>
                <w:lang w:eastAsia="zh-CN"/>
              </w:rPr>
              <w:t>其他</w:t>
            </w:r>
            <w:r>
              <w:rPr>
                <w:rFonts w:hint="eastAsia" w:ascii="宋体" w:hAnsi="宋体" w:cs="宋体"/>
                <w:kern w:val="0"/>
                <w:szCs w:val="21"/>
              </w:rPr>
              <w:t>后续工作，得5分；</w:t>
            </w:r>
          </w:p>
          <w:p w14:paraId="34E70AAC">
            <w:pPr>
              <w:widowControl/>
              <w:jc w:val="left"/>
              <w:rPr>
                <w:rFonts w:ascii="宋体" w:hAnsi="宋体" w:cs="宋体"/>
                <w:kern w:val="0"/>
                <w:szCs w:val="21"/>
              </w:rPr>
            </w:pPr>
            <w:r>
              <w:rPr>
                <w:rFonts w:hint="eastAsia" w:ascii="宋体" w:hAnsi="宋体" w:cs="宋体"/>
                <w:kern w:val="0"/>
                <w:szCs w:val="21"/>
              </w:rPr>
              <w:t>2.后续服务措施一般、能配合采购人验收和</w:t>
            </w:r>
            <w:r>
              <w:rPr>
                <w:rFonts w:hint="eastAsia" w:ascii="宋体" w:hAnsi="宋体" w:cs="宋体"/>
                <w:kern w:val="0"/>
                <w:szCs w:val="21"/>
                <w:lang w:eastAsia="zh-CN"/>
              </w:rPr>
              <w:t>其他</w:t>
            </w:r>
            <w:r>
              <w:rPr>
                <w:rFonts w:hint="eastAsia" w:ascii="宋体" w:hAnsi="宋体" w:cs="宋体"/>
                <w:kern w:val="0"/>
                <w:szCs w:val="21"/>
              </w:rPr>
              <w:t>后续工作，得3分；</w:t>
            </w:r>
          </w:p>
          <w:p w14:paraId="4702C379">
            <w:pPr>
              <w:widowControl/>
              <w:jc w:val="left"/>
              <w:rPr>
                <w:rFonts w:ascii="宋体" w:hAnsi="宋体" w:cs="宋体"/>
                <w:kern w:val="0"/>
                <w:szCs w:val="21"/>
              </w:rPr>
            </w:pPr>
            <w:r>
              <w:rPr>
                <w:rFonts w:hint="eastAsia" w:ascii="宋体" w:hAnsi="宋体" w:cs="宋体"/>
                <w:kern w:val="0"/>
                <w:szCs w:val="21"/>
              </w:rPr>
              <w:t>3.没有提供后续服务措施不得分。</w:t>
            </w:r>
          </w:p>
        </w:tc>
        <w:tc>
          <w:tcPr>
            <w:tcW w:w="1557" w:type="dxa"/>
            <w:tcBorders>
              <w:top w:val="single" w:color="000000" w:sz="4" w:space="0"/>
              <w:left w:val="single" w:color="auto" w:sz="4" w:space="0"/>
              <w:bottom w:val="single" w:color="000000" w:sz="4" w:space="0"/>
              <w:right w:val="single" w:color="000000" w:sz="4" w:space="0"/>
            </w:tcBorders>
            <w:vAlign w:val="center"/>
          </w:tcPr>
          <w:p w14:paraId="11E77F23">
            <w:pPr>
              <w:jc w:val="center"/>
              <w:rPr>
                <w:rFonts w:ascii="宋体" w:hAnsi="宋体" w:cs="宋体"/>
                <w:kern w:val="0"/>
                <w:szCs w:val="21"/>
              </w:rPr>
            </w:pPr>
          </w:p>
        </w:tc>
      </w:tr>
      <w:tr w14:paraId="7E6F463B">
        <w:tblPrEx>
          <w:tblCellMar>
            <w:top w:w="0" w:type="dxa"/>
            <w:left w:w="108" w:type="dxa"/>
            <w:bottom w:w="0" w:type="dxa"/>
            <w:right w:w="108" w:type="dxa"/>
          </w:tblCellMar>
        </w:tblPrEx>
        <w:trPr>
          <w:cantSplit/>
          <w:trHeight w:val="722" w:hRule="atLeast"/>
          <w:jc w:val="center"/>
        </w:trPr>
        <w:tc>
          <w:tcPr>
            <w:tcW w:w="1418" w:type="dxa"/>
            <w:vMerge w:val="restart"/>
            <w:tcBorders>
              <w:top w:val="single" w:color="000000" w:sz="4" w:space="0"/>
              <w:left w:val="single" w:color="000000" w:sz="4" w:space="0"/>
              <w:right w:val="single" w:color="000000" w:sz="4" w:space="0"/>
            </w:tcBorders>
            <w:vAlign w:val="center"/>
          </w:tcPr>
          <w:p w14:paraId="252A0CC7">
            <w:pPr>
              <w:widowControl/>
              <w:jc w:val="center"/>
              <w:rPr>
                <w:rFonts w:ascii="宋体" w:hAnsi="宋体" w:cs="宋体"/>
                <w:kern w:val="0"/>
                <w:szCs w:val="21"/>
              </w:rPr>
            </w:pPr>
            <w:r>
              <w:rPr>
                <w:rFonts w:hint="eastAsia" w:ascii="宋体" w:hAnsi="宋体" w:cs="宋体"/>
                <w:kern w:val="0"/>
                <w:szCs w:val="21"/>
              </w:rPr>
              <w:t>技术部分</w:t>
            </w:r>
          </w:p>
          <w:p w14:paraId="18C8BCC9">
            <w:pPr>
              <w:jc w:val="center"/>
              <w:rPr>
                <w:rFonts w:ascii="宋体" w:hAnsi="宋体" w:cs="宋体"/>
                <w:kern w:val="0"/>
                <w:szCs w:val="21"/>
              </w:rPr>
            </w:pPr>
            <w:r>
              <w:rPr>
                <w:rFonts w:hint="eastAsia" w:ascii="宋体" w:hAnsi="宋体" w:cs="宋体"/>
                <w:kern w:val="0"/>
                <w:szCs w:val="21"/>
              </w:rPr>
              <w:t>（权重</w:t>
            </w:r>
            <w:r>
              <w:rPr>
                <w:rFonts w:hint="eastAsia" w:ascii="宋体" w:hAnsi="宋体" w:cs="宋体"/>
                <w:kern w:val="0"/>
                <w:szCs w:val="21"/>
                <w:lang w:val="en-US" w:eastAsia="zh-CN"/>
              </w:rPr>
              <w:t>35</w:t>
            </w:r>
            <w:r>
              <w:rPr>
                <w:rFonts w:hint="eastAsia" w:ascii="宋体" w:hAnsi="宋体" w:cs="宋体"/>
                <w:kern w:val="0"/>
                <w:szCs w:val="21"/>
              </w:rPr>
              <w:t>%）</w:t>
            </w:r>
          </w:p>
        </w:tc>
        <w:tc>
          <w:tcPr>
            <w:tcW w:w="1984" w:type="dxa"/>
            <w:tcBorders>
              <w:top w:val="single" w:color="auto" w:sz="4" w:space="0"/>
              <w:left w:val="nil"/>
              <w:bottom w:val="single" w:color="auto" w:sz="4" w:space="0"/>
              <w:right w:val="nil"/>
            </w:tcBorders>
            <w:vAlign w:val="center"/>
          </w:tcPr>
          <w:p w14:paraId="60EA63C3">
            <w:pPr>
              <w:jc w:val="center"/>
              <w:rPr>
                <w:rFonts w:ascii="宋体" w:hAnsi="宋体" w:cs="宋体"/>
                <w:kern w:val="0"/>
                <w:szCs w:val="21"/>
              </w:rPr>
            </w:pPr>
            <w:r>
              <w:rPr>
                <w:rFonts w:hint="eastAsia" w:ascii="宋体" w:hAnsi="宋体" w:cs="宋体"/>
                <w:kern w:val="0"/>
                <w:szCs w:val="21"/>
              </w:rPr>
              <w:t>对本项目的工作内容的理解和分析</w:t>
            </w:r>
          </w:p>
        </w:tc>
        <w:tc>
          <w:tcPr>
            <w:tcW w:w="1276" w:type="dxa"/>
            <w:tcBorders>
              <w:top w:val="single" w:color="auto" w:sz="4" w:space="0"/>
              <w:left w:val="single" w:color="auto" w:sz="4" w:space="0"/>
              <w:bottom w:val="single" w:color="auto" w:sz="4" w:space="0"/>
              <w:right w:val="single" w:color="auto" w:sz="4" w:space="0"/>
            </w:tcBorders>
            <w:vAlign w:val="center"/>
          </w:tcPr>
          <w:p w14:paraId="2E950D0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7799" w:type="dxa"/>
            <w:tcBorders>
              <w:top w:val="single" w:color="auto" w:sz="4" w:space="0"/>
              <w:left w:val="nil"/>
              <w:bottom w:val="single" w:color="auto" w:sz="4" w:space="0"/>
              <w:right w:val="nil"/>
            </w:tcBorders>
            <w:vAlign w:val="center"/>
          </w:tcPr>
          <w:p w14:paraId="1349AC65">
            <w:pPr>
              <w:numPr>
                <w:ilvl w:val="0"/>
                <w:numId w:val="0"/>
              </w:numPr>
              <w:rPr>
                <w:rFonts w:hint="eastAsia" w:ascii="Times New Roman" w:hAnsi="Times New Roman"/>
                <w:color w:val="000000"/>
                <w:kern w:val="0"/>
                <w:szCs w:val="21"/>
              </w:rPr>
            </w:pPr>
            <w:r>
              <w:rPr>
                <w:rFonts w:hint="eastAsia" w:ascii="Times New Roman" w:hAnsi="Times New Roman" w:eastAsia="宋体" w:cs="Times New Roman"/>
                <w:color w:val="000000"/>
                <w:kern w:val="0"/>
                <w:sz w:val="21"/>
                <w:szCs w:val="21"/>
                <w:lang w:val="en-US" w:eastAsia="zh-CN" w:bidi="ar-SA"/>
              </w:rPr>
              <w:t>1.</w:t>
            </w:r>
            <w:r>
              <w:rPr>
                <w:rFonts w:hint="eastAsia" w:ascii="Times New Roman" w:hAnsi="Times New Roman"/>
                <w:color w:val="000000"/>
                <w:kern w:val="0"/>
                <w:szCs w:val="21"/>
              </w:rPr>
              <w:t>对活动总体认识十分全面，策划方案能充分贴合活动主题理念，对项目建设服务需求把握到位，提出的宣传推广形式富有创意，论述完整清晰，设计</w:t>
            </w:r>
            <w:r>
              <w:rPr>
                <w:rFonts w:hint="eastAsia" w:ascii="Times New Roman" w:hAnsi="Times New Roman"/>
                <w:color w:val="000000"/>
                <w:kern w:val="0"/>
                <w:szCs w:val="21"/>
                <w:lang w:eastAsia="zh-CN"/>
              </w:rPr>
              <w:t>图</w:t>
            </w:r>
            <w:r>
              <w:rPr>
                <w:rFonts w:hint="eastAsia" w:ascii="Times New Roman" w:hAnsi="Times New Roman"/>
                <w:color w:val="000000"/>
                <w:kern w:val="0"/>
                <w:szCs w:val="21"/>
              </w:rPr>
              <w:t>符合需求的</w:t>
            </w:r>
            <w:r>
              <w:rPr>
                <w:rFonts w:hint="eastAsia" w:ascii="Times New Roman" w:hAnsi="Times New Roman"/>
                <w:color w:val="000000"/>
                <w:kern w:val="0"/>
                <w:szCs w:val="21"/>
                <w:lang w:eastAsia="zh-CN"/>
              </w:rPr>
              <w:t>，</w:t>
            </w:r>
            <w:r>
              <w:rPr>
                <w:rFonts w:hint="eastAsia" w:ascii="Times New Roman" w:hAnsi="Times New Roman"/>
                <w:color w:val="000000"/>
                <w:kern w:val="0"/>
                <w:szCs w:val="21"/>
              </w:rPr>
              <w:t>得</w:t>
            </w:r>
            <w:r>
              <w:rPr>
                <w:rFonts w:hint="eastAsia" w:ascii="Times New Roman" w:hAnsi="Times New Roman"/>
                <w:color w:val="000000"/>
                <w:kern w:val="0"/>
                <w:szCs w:val="21"/>
                <w:lang w:val="en-US" w:eastAsia="zh-CN"/>
              </w:rPr>
              <w:t>30</w:t>
            </w:r>
            <w:r>
              <w:rPr>
                <w:rFonts w:hint="eastAsia" w:ascii="Times New Roman" w:hAnsi="Times New Roman"/>
                <w:color w:val="000000"/>
                <w:kern w:val="0"/>
                <w:szCs w:val="21"/>
              </w:rPr>
              <w:t>分；</w:t>
            </w:r>
          </w:p>
          <w:p w14:paraId="513C90DB">
            <w:pPr>
              <w:numPr>
                <w:ilvl w:val="0"/>
                <w:numId w:val="0"/>
              </w:numPr>
              <w:rPr>
                <w:rFonts w:hint="eastAsia" w:ascii="Times New Roman" w:hAnsi="Times New Roman"/>
                <w:color w:val="000000"/>
                <w:kern w:val="0"/>
                <w:szCs w:val="21"/>
              </w:rPr>
            </w:pPr>
            <w:r>
              <w:rPr>
                <w:rFonts w:ascii="Calibri" w:hAnsi="Calibri" w:eastAsia="宋体" w:cs="Times New Roman"/>
                <w:kern w:val="2"/>
                <w:sz w:val="21"/>
                <w:szCs w:val="22"/>
                <w:lang w:val="en-US" w:eastAsia="zh-CN" w:bidi="ar-SA"/>
              </w:rPr>
              <w:t>2.</w:t>
            </w:r>
            <w:r>
              <w:rPr>
                <w:rFonts w:hint="eastAsia" w:ascii="Times New Roman" w:hAnsi="Times New Roman"/>
                <w:color w:val="000000"/>
                <w:kern w:val="0"/>
                <w:szCs w:val="21"/>
              </w:rPr>
              <w:t>对活动总体认识较为全面，策划方案能贴合活动主题理念，提出的宣传推广形式较好，对项目建设服务需求把握较为到位，论述比较清晰</w:t>
            </w:r>
            <w:r>
              <w:rPr>
                <w:rFonts w:hint="eastAsia" w:ascii="Times New Roman" w:hAnsi="Times New Roman"/>
                <w:color w:val="000000"/>
                <w:kern w:val="0"/>
                <w:szCs w:val="21"/>
                <w:lang w:eastAsia="zh-CN"/>
              </w:rPr>
              <w:t>，设计图</w:t>
            </w:r>
            <w:r>
              <w:rPr>
                <w:rFonts w:hint="eastAsia" w:ascii="Times New Roman" w:hAnsi="Times New Roman"/>
                <w:color w:val="000000"/>
                <w:kern w:val="0"/>
                <w:szCs w:val="21"/>
              </w:rPr>
              <w:t>基本符合需求的，得</w:t>
            </w:r>
            <w:r>
              <w:rPr>
                <w:rFonts w:hint="eastAsia" w:ascii="Times New Roman" w:hAnsi="Times New Roman"/>
                <w:color w:val="000000"/>
                <w:kern w:val="0"/>
                <w:szCs w:val="21"/>
                <w:lang w:val="en-US" w:eastAsia="zh-CN"/>
              </w:rPr>
              <w:t>20</w:t>
            </w:r>
            <w:r>
              <w:rPr>
                <w:rFonts w:hint="eastAsia" w:ascii="Times New Roman" w:hAnsi="Times New Roman"/>
                <w:color w:val="000000"/>
                <w:kern w:val="0"/>
                <w:szCs w:val="21"/>
              </w:rPr>
              <w:t>分；</w:t>
            </w:r>
          </w:p>
          <w:p w14:paraId="729D2C8A">
            <w:pPr>
              <w:numPr>
                <w:ilvl w:val="0"/>
                <w:numId w:val="0"/>
              </w:numPr>
              <w:rPr>
                <w:rFonts w:hint="eastAsia" w:ascii="Times New Roman" w:hAnsi="Times New Roman"/>
                <w:color w:val="000000"/>
                <w:kern w:val="0"/>
                <w:szCs w:val="21"/>
              </w:rPr>
            </w:pPr>
            <w:r>
              <w:rPr>
                <w:rFonts w:hint="eastAsia" w:ascii="Times New Roman" w:hAnsi="Times New Roman"/>
                <w:color w:val="000000"/>
                <w:kern w:val="0"/>
                <w:szCs w:val="21"/>
                <w:lang w:val="en-US" w:eastAsia="zh-CN"/>
              </w:rPr>
              <w:t>3.</w:t>
            </w:r>
            <w:r>
              <w:rPr>
                <w:rFonts w:hint="eastAsia" w:ascii="Times New Roman" w:hAnsi="Times New Roman"/>
                <w:color w:val="000000"/>
                <w:kern w:val="0"/>
                <w:szCs w:val="21"/>
              </w:rPr>
              <w:t>对活动总体认识一般，设计方案基本贴合活动主题理念，对项目建设服务需求把握一般，提供了宣传推广思路，但形式一般</w:t>
            </w:r>
            <w:r>
              <w:rPr>
                <w:rFonts w:hint="eastAsia" w:ascii="Times New Roman" w:hAnsi="Times New Roman"/>
                <w:color w:val="000000"/>
                <w:kern w:val="0"/>
                <w:szCs w:val="21"/>
                <w:lang w:eastAsia="zh-CN"/>
              </w:rPr>
              <w:t>，</w:t>
            </w:r>
            <w:r>
              <w:rPr>
                <w:rFonts w:hint="eastAsia" w:ascii="Times New Roman" w:hAnsi="Times New Roman"/>
                <w:color w:val="000000"/>
                <w:kern w:val="0"/>
                <w:szCs w:val="21"/>
              </w:rPr>
              <w:t>设计</w:t>
            </w:r>
            <w:r>
              <w:rPr>
                <w:rFonts w:hint="eastAsia" w:ascii="Times New Roman" w:hAnsi="Times New Roman"/>
                <w:color w:val="000000"/>
                <w:kern w:val="0"/>
                <w:szCs w:val="21"/>
                <w:lang w:eastAsia="zh-CN"/>
              </w:rPr>
              <w:t>图一般</w:t>
            </w:r>
            <w:r>
              <w:rPr>
                <w:rFonts w:hint="eastAsia" w:ascii="Times New Roman" w:hAnsi="Times New Roman"/>
                <w:color w:val="000000"/>
                <w:kern w:val="0"/>
                <w:szCs w:val="21"/>
              </w:rPr>
              <w:t xml:space="preserve">的，得10分； </w:t>
            </w:r>
          </w:p>
          <w:p w14:paraId="24372C91">
            <w:pPr>
              <w:numPr>
                <w:ilvl w:val="0"/>
                <w:numId w:val="0"/>
              </w:numPr>
              <w:rPr>
                <w:rFonts w:hint="eastAsia" w:ascii="Times New Roman" w:hAnsi="Times New Roman"/>
                <w:color w:val="000000"/>
                <w:kern w:val="0"/>
                <w:szCs w:val="21"/>
              </w:rPr>
            </w:pPr>
            <w:r>
              <w:rPr>
                <w:rFonts w:hint="eastAsia" w:ascii="Times New Roman" w:hAnsi="Times New Roman"/>
                <w:color w:val="000000"/>
                <w:kern w:val="0"/>
                <w:szCs w:val="21"/>
                <w:lang w:val="en-US" w:eastAsia="zh-CN"/>
              </w:rPr>
              <w:t>4.</w:t>
            </w:r>
            <w:r>
              <w:rPr>
                <w:rFonts w:hint="eastAsia" w:ascii="Times New Roman" w:hAnsi="Times New Roman"/>
                <w:color w:val="000000"/>
                <w:kern w:val="0"/>
                <w:szCs w:val="21"/>
              </w:rPr>
              <w:t xml:space="preserve">对活动总体认识一般，策划方案基本贴合活动主题理念，对项目建设服务需求把握一般，没有提供宣传推广思路，得5分； </w:t>
            </w:r>
          </w:p>
          <w:p w14:paraId="46109598">
            <w:pPr>
              <w:numPr>
                <w:ilvl w:val="0"/>
                <w:numId w:val="0"/>
              </w:numPr>
            </w:pPr>
            <w:r>
              <w:rPr>
                <w:rFonts w:hint="eastAsia" w:ascii="Times New Roman" w:hAnsi="Times New Roman"/>
                <w:color w:val="000000"/>
                <w:kern w:val="0"/>
                <w:szCs w:val="21"/>
                <w:lang w:val="en-US" w:eastAsia="zh-CN"/>
              </w:rPr>
              <w:t>5.</w:t>
            </w:r>
            <w:r>
              <w:rPr>
                <w:rFonts w:hint="eastAsia" w:ascii="Times New Roman" w:hAnsi="Times New Roman"/>
                <w:color w:val="000000"/>
                <w:kern w:val="0"/>
                <w:szCs w:val="21"/>
              </w:rPr>
              <w:t>未提供策划方案的，该项不得分。</w:t>
            </w:r>
          </w:p>
        </w:tc>
        <w:tc>
          <w:tcPr>
            <w:tcW w:w="1557" w:type="dxa"/>
            <w:tcBorders>
              <w:top w:val="single" w:color="000000" w:sz="4" w:space="0"/>
              <w:left w:val="single" w:color="auto" w:sz="4" w:space="0"/>
              <w:bottom w:val="single" w:color="auto" w:sz="4" w:space="0"/>
              <w:right w:val="single" w:color="auto" w:sz="4" w:space="0"/>
            </w:tcBorders>
            <w:vAlign w:val="center"/>
          </w:tcPr>
          <w:p w14:paraId="2978F05E">
            <w:pPr>
              <w:widowControl/>
              <w:jc w:val="center"/>
              <w:rPr>
                <w:rFonts w:ascii="宋体" w:hAnsi="宋体" w:cs="宋体"/>
                <w:kern w:val="0"/>
                <w:szCs w:val="21"/>
              </w:rPr>
            </w:pPr>
          </w:p>
          <w:p w14:paraId="1528A111">
            <w:pPr>
              <w:widowControl/>
              <w:jc w:val="center"/>
              <w:rPr>
                <w:rFonts w:ascii="宋体" w:hAnsi="宋体" w:cs="宋体"/>
                <w:kern w:val="0"/>
                <w:szCs w:val="21"/>
              </w:rPr>
            </w:pPr>
          </w:p>
        </w:tc>
      </w:tr>
      <w:tr w14:paraId="66332BD3">
        <w:tblPrEx>
          <w:tblCellMar>
            <w:top w:w="0" w:type="dxa"/>
            <w:left w:w="108" w:type="dxa"/>
            <w:bottom w:w="0" w:type="dxa"/>
            <w:right w:w="108" w:type="dxa"/>
          </w:tblCellMar>
        </w:tblPrEx>
        <w:trPr>
          <w:cantSplit/>
          <w:trHeight w:val="722" w:hRule="atLeast"/>
          <w:jc w:val="center"/>
        </w:trPr>
        <w:tc>
          <w:tcPr>
            <w:tcW w:w="1418" w:type="dxa"/>
            <w:vMerge w:val="continue"/>
            <w:tcBorders>
              <w:left w:val="single" w:color="000000" w:sz="4" w:space="0"/>
              <w:right w:val="single" w:color="000000" w:sz="4" w:space="0"/>
            </w:tcBorders>
            <w:vAlign w:val="center"/>
          </w:tcPr>
          <w:p w14:paraId="3A54F6CB">
            <w:pPr>
              <w:jc w:val="center"/>
              <w:rPr>
                <w:rFonts w:ascii="宋体" w:hAnsi="宋体" w:cs="宋体"/>
                <w:kern w:val="0"/>
                <w:szCs w:val="21"/>
              </w:rPr>
            </w:pPr>
          </w:p>
        </w:tc>
        <w:tc>
          <w:tcPr>
            <w:tcW w:w="1984" w:type="dxa"/>
            <w:tcBorders>
              <w:top w:val="single" w:color="000000" w:sz="4" w:space="0"/>
              <w:left w:val="nil"/>
              <w:bottom w:val="single" w:color="auto" w:sz="4" w:space="0"/>
              <w:right w:val="nil"/>
            </w:tcBorders>
            <w:vAlign w:val="center"/>
          </w:tcPr>
          <w:p w14:paraId="33A2EA73">
            <w:pPr>
              <w:jc w:val="center"/>
              <w:rPr>
                <w:rFonts w:ascii="宋体" w:hAnsi="宋体" w:cs="宋体"/>
                <w:kern w:val="0"/>
                <w:szCs w:val="21"/>
              </w:rPr>
            </w:pPr>
            <w:r>
              <w:rPr>
                <w:rFonts w:hint="eastAsia" w:ascii="宋体" w:hAnsi="宋体" w:cs="宋体"/>
                <w:kern w:val="0"/>
                <w:szCs w:val="21"/>
              </w:rPr>
              <w:t>工作进度及质量保障措施</w:t>
            </w:r>
          </w:p>
        </w:tc>
        <w:tc>
          <w:tcPr>
            <w:tcW w:w="1276" w:type="dxa"/>
            <w:tcBorders>
              <w:top w:val="single" w:color="000000" w:sz="4" w:space="0"/>
              <w:left w:val="single" w:color="auto" w:sz="4" w:space="0"/>
              <w:bottom w:val="single" w:color="auto" w:sz="4" w:space="0"/>
              <w:right w:val="single" w:color="auto" w:sz="4" w:space="0"/>
            </w:tcBorders>
            <w:vAlign w:val="center"/>
          </w:tcPr>
          <w:p w14:paraId="566C5E2D">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799" w:type="dxa"/>
            <w:tcBorders>
              <w:top w:val="single" w:color="000000" w:sz="4" w:space="0"/>
              <w:left w:val="nil"/>
              <w:bottom w:val="single" w:color="auto" w:sz="4" w:space="0"/>
              <w:right w:val="nil"/>
            </w:tcBorders>
            <w:vAlign w:val="center"/>
          </w:tcPr>
          <w:p w14:paraId="7DF0F8C6">
            <w:pPr>
              <w:numPr>
                <w:ilvl w:val="0"/>
                <w:numId w:val="0"/>
              </w:numP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组织架构完善，针对活动实施各环节能够提供十分详细、及时有效的保障措施，对可预见的突发情况配套有应急措施，得</w:t>
            </w:r>
            <w:r>
              <w:rPr>
                <w:rFonts w:hint="eastAsia" w:ascii="宋体" w:hAnsi="宋体"/>
                <w:color w:val="000000"/>
                <w:szCs w:val="21"/>
                <w:lang w:val="en-US" w:eastAsia="zh-CN"/>
              </w:rPr>
              <w:t>5</w:t>
            </w:r>
            <w:r>
              <w:rPr>
                <w:rFonts w:hint="eastAsia" w:ascii="宋体" w:hAnsi="宋体"/>
                <w:color w:val="000000"/>
                <w:szCs w:val="21"/>
              </w:rPr>
              <w:t>分；</w:t>
            </w:r>
          </w:p>
          <w:p w14:paraId="76E08279">
            <w:pPr>
              <w:numPr>
                <w:ilvl w:val="0"/>
                <w:numId w:val="0"/>
              </w:numPr>
              <w:rPr>
                <w:rFonts w:hint="eastAsia" w:ascii="宋体" w:hAnsi="宋体"/>
                <w:color w:val="000000"/>
                <w:szCs w:val="21"/>
              </w:rPr>
            </w:pPr>
            <w:r>
              <w:rPr>
                <w:rFonts w:ascii="宋体" w:hAnsi="宋体" w:eastAsia="宋体" w:cs="Times New Roman"/>
                <w:color w:val="000000"/>
                <w:kern w:val="2"/>
                <w:sz w:val="21"/>
                <w:szCs w:val="21"/>
                <w:lang w:val="en-US" w:eastAsia="zh-CN" w:bidi="ar-SA"/>
              </w:rPr>
              <w:t>2.</w:t>
            </w:r>
            <w:r>
              <w:rPr>
                <w:rFonts w:hint="eastAsia" w:ascii="宋体" w:hAnsi="宋体"/>
                <w:color w:val="000000"/>
                <w:szCs w:val="21"/>
              </w:rPr>
              <w:t>组织架构完善，针对活动实施各环节能够提供较为详细的保障措施，对可预见的突发情况配套有应急预案，得</w:t>
            </w:r>
            <w:r>
              <w:rPr>
                <w:rFonts w:hint="eastAsia" w:ascii="宋体" w:hAnsi="宋体"/>
                <w:color w:val="000000"/>
                <w:szCs w:val="21"/>
                <w:lang w:val="en-US" w:eastAsia="zh-CN"/>
              </w:rPr>
              <w:t>3</w:t>
            </w:r>
            <w:r>
              <w:rPr>
                <w:rFonts w:hint="eastAsia" w:ascii="宋体" w:hAnsi="宋体"/>
                <w:color w:val="000000"/>
                <w:szCs w:val="21"/>
              </w:rPr>
              <w:t>分；</w:t>
            </w:r>
          </w:p>
          <w:p w14:paraId="6C06E217">
            <w:pPr>
              <w:numPr>
                <w:ilvl w:val="0"/>
                <w:numId w:val="0"/>
              </w:numPr>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配有相应的组织架构，有提供活动实施各环节相应的保障措施和应急预案，但描述较为简要，得</w:t>
            </w:r>
            <w:r>
              <w:rPr>
                <w:rFonts w:hint="eastAsia" w:ascii="宋体" w:hAnsi="宋体"/>
                <w:color w:val="000000"/>
                <w:szCs w:val="21"/>
                <w:lang w:val="en-US" w:eastAsia="zh-CN"/>
              </w:rPr>
              <w:t>1</w:t>
            </w:r>
            <w:r>
              <w:rPr>
                <w:rFonts w:hint="eastAsia" w:ascii="宋体" w:hAnsi="宋体"/>
                <w:color w:val="000000"/>
                <w:szCs w:val="21"/>
              </w:rPr>
              <w:t>分；</w:t>
            </w:r>
          </w:p>
          <w:p w14:paraId="056F82A9">
            <w:pPr>
              <w:numPr>
                <w:ilvl w:val="0"/>
                <w:numId w:val="0"/>
              </w:numP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未提供组织架构情况及服务保障措施的，该项不得分。</w:t>
            </w:r>
          </w:p>
        </w:tc>
        <w:tc>
          <w:tcPr>
            <w:tcW w:w="1557" w:type="dxa"/>
            <w:tcBorders>
              <w:top w:val="single" w:color="000000" w:sz="4" w:space="0"/>
              <w:left w:val="single" w:color="auto" w:sz="4" w:space="0"/>
              <w:bottom w:val="single" w:color="auto" w:sz="4" w:space="0"/>
              <w:right w:val="single" w:color="auto" w:sz="4" w:space="0"/>
            </w:tcBorders>
            <w:vAlign w:val="center"/>
          </w:tcPr>
          <w:p w14:paraId="2CADFC4D">
            <w:pPr>
              <w:widowControl/>
              <w:jc w:val="center"/>
              <w:rPr>
                <w:rFonts w:ascii="宋体" w:hAnsi="宋体" w:cs="宋体"/>
                <w:kern w:val="0"/>
                <w:szCs w:val="21"/>
              </w:rPr>
            </w:pPr>
          </w:p>
        </w:tc>
      </w:tr>
      <w:tr w14:paraId="4E25DBBA">
        <w:tblPrEx>
          <w:tblCellMar>
            <w:top w:w="0" w:type="dxa"/>
            <w:left w:w="108" w:type="dxa"/>
            <w:bottom w:w="0" w:type="dxa"/>
            <w:right w:w="108" w:type="dxa"/>
          </w:tblCellMar>
        </w:tblPrEx>
        <w:trPr>
          <w:cantSplit/>
          <w:trHeight w:val="528" w:hRule="atLeast"/>
          <w:jc w:val="center"/>
        </w:trPr>
        <w:tc>
          <w:tcPr>
            <w:tcW w:w="12477" w:type="dxa"/>
            <w:gridSpan w:val="4"/>
            <w:tcBorders>
              <w:top w:val="single" w:color="auto" w:sz="4" w:space="0"/>
              <w:left w:val="single" w:color="auto" w:sz="4" w:space="0"/>
              <w:bottom w:val="single" w:color="auto" w:sz="4" w:space="0"/>
              <w:right w:val="single" w:color="auto" w:sz="4" w:space="0"/>
            </w:tcBorders>
            <w:vAlign w:val="center"/>
          </w:tcPr>
          <w:p w14:paraId="246400A0">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557" w:type="dxa"/>
            <w:tcBorders>
              <w:top w:val="nil"/>
              <w:left w:val="single" w:color="auto" w:sz="4" w:space="0"/>
              <w:bottom w:val="single" w:color="auto" w:sz="4" w:space="0"/>
              <w:right w:val="single" w:color="auto" w:sz="4" w:space="0"/>
            </w:tcBorders>
            <w:vAlign w:val="center"/>
          </w:tcPr>
          <w:p w14:paraId="2CA1B537">
            <w:pPr>
              <w:rPr>
                <w:rFonts w:ascii="宋体" w:hAnsi="宋体" w:cs="宋体"/>
                <w:kern w:val="0"/>
                <w:szCs w:val="21"/>
              </w:rPr>
            </w:pPr>
          </w:p>
        </w:tc>
      </w:tr>
    </w:tbl>
    <w:p w14:paraId="54ECD53D">
      <w:pPr>
        <w:spacing w:line="20" w:lineRule="exact"/>
      </w:pPr>
    </w:p>
    <w:sectPr>
      <w:footerReference r:id="rId3" w:type="default"/>
      <w:pgSz w:w="16838" w:h="11906" w:orient="landscape"/>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773FFF-E23F-40DB-B695-A70BE11093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5670505-47B0-4C6A-84AD-2A0A8D657187}"/>
  </w:font>
  <w:font w:name="华文中宋">
    <w:panose1 w:val="02010600040101010101"/>
    <w:charset w:val="86"/>
    <w:family w:val="auto"/>
    <w:pitch w:val="default"/>
    <w:sig w:usb0="00000287" w:usb1="080F0000" w:usb2="00000000" w:usb3="00000000" w:csb0="0004009F" w:csb1="DFD70000"/>
    <w:embedRegular r:id="rId3" w:fontKey="{D0E2CD17-8CE5-46AC-A0A1-0318BFB2C492}"/>
  </w:font>
  <w:font w:name="方正小标宋简体">
    <w:panose1 w:val="02010600010101010101"/>
    <w:charset w:val="86"/>
    <w:family w:val="auto"/>
    <w:pitch w:val="default"/>
    <w:sig w:usb0="00000001" w:usb1="080E0000" w:usb2="00000000" w:usb3="00000000" w:csb0="00040000" w:csb1="00000000"/>
    <w:embedRegular r:id="rId4" w:fontKey="{BE5A7136-7A18-438B-AF8E-ECD357862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95A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450BE">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4450BE">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2YyOTNhMzRiNGY1Mzg0Y2VhMjZhMTczYzExYmYifQ=="/>
  </w:docVars>
  <w:rsids>
    <w:rsidRoot w:val="00F46406"/>
    <w:rsid w:val="002111EB"/>
    <w:rsid w:val="00A32BC9"/>
    <w:rsid w:val="00F46406"/>
    <w:rsid w:val="020C2C1E"/>
    <w:rsid w:val="034E7C17"/>
    <w:rsid w:val="1C1B7058"/>
    <w:rsid w:val="1F6C10F0"/>
    <w:rsid w:val="25443642"/>
    <w:rsid w:val="272A7BA8"/>
    <w:rsid w:val="2BC445B9"/>
    <w:rsid w:val="2CFE302B"/>
    <w:rsid w:val="39122834"/>
    <w:rsid w:val="45271256"/>
    <w:rsid w:val="457710D8"/>
    <w:rsid w:val="45ED06BA"/>
    <w:rsid w:val="47B674DA"/>
    <w:rsid w:val="4A884E78"/>
    <w:rsid w:val="57D6481B"/>
    <w:rsid w:val="6C58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Times New Roman" w:hAnsi="Times New Roman"/>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1444</Words>
  <Characters>1488</Characters>
  <Lines>9</Lines>
  <Paragraphs>2</Paragraphs>
  <TotalTime>66</TotalTime>
  <ScaleCrop>false</ScaleCrop>
  <LinksUpToDate>false</LinksUpToDate>
  <CharactersWithSpaces>1495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2023-03-29T07:28:00Z</dcterms:created>
  <dc:creator>admin</dc:creator>
  <cp:lastModifiedBy>熊大喵 </cp:lastModifiedBy>
  <cp:lastPrinted>2022-04-15T02:28:00Z</cp:lastPrinted>
  <dcterms:modified xsi:type="dcterms:W3CDTF">2025-06-10T07:17:37Z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511F85043BB44E83BA5D1C8E5E273B5F_13</vt:lpwstr>
  </property>
  <property fmtid="{D5CDD505-2E9C-101B-9397-08002B2CF9AE}" pid="4" name="KSOTemplateDocerSaveRecord">
    <vt:lpwstr>eyJoZGlkIjoiMzZiMTIzYjllNGJjMWZlZGNjYTBhYjUwYjIyYTY3Y2MiLCJ1c2VySWQiOiI1MjQ0NjU3NjgifQ==</vt:lpwstr>
  </property>
</Properties>
</file>