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15DDA">
      <w:pPr>
        <w:spacing w:line="500" w:lineRule="exac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附件2</w:t>
      </w:r>
    </w:p>
    <w:p w14:paraId="37683A40">
      <w:pPr>
        <w:spacing w:line="500" w:lineRule="exact"/>
        <w:jc w:val="center"/>
        <w:rPr>
          <w:rFonts w:hint="default" w:ascii="Times New Roman" w:hAnsi="Times New Roman" w:eastAsia="方正大标宋_GBK" w:cs="Times New Roman"/>
          <w:color w:val="auto"/>
          <w:sz w:val="42"/>
          <w:szCs w:val="42"/>
        </w:rPr>
      </w:pPr>
      <w:bookmarkStart w:id="0" w:name="_GoBack"/>
      <w:r>
        <w:rPr>
          <w:rFonts w:hint="default" w:ascii="Times New Roman" w:hAnsi="Times New Roman" w:eastAsia="方正大标宋_GBK" w:cs="Times New Roman"/>
          <w:color w:val="auto"/>
          <w:sz w:val="42"/>
          <w:szCs w:val="42"/>
        </w:rPr>
        <w:t>评分表</w:t>
      </w:r>
      <w:bookmarkEnd w:id="0"/>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226"/>
        <w:gridCol w:w="994"/>
        <w:gridCol w:w="5633"/>
      </w:tblGrid>
      <w:tr w14:paraId="2C23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7D3F7DB2">
            <w:pPr>
              <w:snapToGrid w:val="0"/>
              <w:jc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sz w:val="24"/>
              </w:rPr>
              <w:t>序号</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532561F2">
            <w:pPr>
              <w:snapToGrid w:val="0"/>
              <w:jc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sz w:val="24"/>
              </w:rPr>
              <w:t>评审内容</w:t>
            </w:r>
          </w:p>
        </w:tc>
        <w:tc>
          <w:tcPr>
            <w:tcW w:w="583" w:type="pct"/>
            <w:tcBorders>
              <w:top w:val="single" w:color="auto" w:sz="4" w:space="0"/>
              <w:left w:val="single" w:color="auto" w:sz="4" w:space="0"/>
              <w:bottom w:val="single" w:color="auto" w:sz="4" w:space="0"/>
              <w:right w:val="single" w:color="auto" w:sz="4" w:space="0"/>
            </w:tcBorders>
            <w:noWrap w:val="0"/>
            <w:vAlign w:val="center"/>
          </w:tcPr>
          <w:p w14:paraId="6AB39413">
            <w:pPr>
              <w:snapToGrid w:val="0"/>
              <w:jc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sz w:val="24"/>
              </w:rPr>
              <w:t>满分</w:t>
            </w:r>
          </w:p>
        </w:tc>
        <w:tc>
          <w:tcPr>
            <w:tcW w:w="3304" w:type="pct"/>
            <w:tcBorders>
              <w:top w:val="single" w:color="auto" w:sz="4" w:space="0"/>
              <w:left w:val="single" w:color="auto" w:sz="4" w:space="0"/>
              <w:bottom w:val="single" w:color="auto" w:sz="4" w:space="0"/>
              <w:right w:val="single" w:color="auto" w:sz="4" w:space="0"/>
            </w:tcBorders>
            <w:noWrap w:val="0"/>
            <w:vAlign w:val="center"/>
          </w:tcPr>
          <w:p w14:paraId="5A8E2D67">
            <w:pPr>
              <w:snapToGrid w:val="0"/>
              <w:jc w:val="center"/>
              <w:rPr>
                <w:rFonts w:hint="default" w:ascii="Times New Roman" w:hAnsi="Times New Roman" w:eastAsia="方正黑体_GBK" w:cs="Times New Roman"/>
                <w:b w:val="0"/>
                <w:bCs w:val="0"/>
                <w:color w:val="auto"/>
                <w:sz w:val="24"/>
              </w:rPr>
            </w:pPr>
            <w:r>
              <w:rPr>
                <w:rFonts w:hint="default" w:ascii="Times New Roman" w:hAnsi="Times New Roman" w:eastAsia="方正黑体_GBK" w:cs="Times New Roman"/>
                <w:b w:val="0"/>
                <w:bCs w:val="0"/>
                <w:color w:val="auto"/>
                <w:sz w:val="24"/>
              </w:rPr>
              <w:t>评分细则</w:t>
            </w:r>
          </w:p>
        </w:tc>
      </w:tr>
      <w:tr w14:paraId="308B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5"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0D6565FD">
            <w:pPr>
              <w:snapToGrid w:val="0"/>
              <w:jc w:val="center"/>
              <w:rPr>
                <w:rFonts w:hint="default" w:ascii="Times New Roman" w:hAnsi="Times New Roman" w:eastAsia="仿宋_GB2312"/>
                <w:color w:val="auto"/>
                <w:sz w:val="24"/>
                <w:lang w:val="en-US" w:eastAsia="zh-CN"/>
              </w:rPr>
            </w:pPr>
            <w:r>
              <w:rPr>
                <w:rFonts w:hint="default" w:ascii="Times New Roman" w:hAnsi="Times New Roman" w:eastAsia="仿宋_GB2312"/>
                <w:color w:val="auto"/>
                <w:sz w:val="24"/>
                <w:lang w:val="en-US" w:eastAsia="zh-CN"/>
              </w:rPr>
              <w:t>1</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722E7308">
            <w:pPr>
              <w:snapToGrid w:val="0"/>
              <w:jc w:val="center"/>
              <w:rPr>
                <w:rFonts w:hint="default" w:ascii="Times New Roman" w:hAnsi="Times New Roman" w:eastAsia="仿宋_GB2312" w:cs="Times New Roman"/>
                <w:color w:val="auto"/>
                <w:sz w:val="24"/>
                <w:lang w:val="en" w:eastAsia="zh-CN"/>
              </w:rPr>
            </w:pPr>
            <w:r>
              <w:rPr>
                <w:rFonts w:hint="default" w:ascii="Times New Roman" w:hAnsi="Times New Roman" w:eastAsia="仿宋_GB2312" w:cs="Times New Roman"/>
                <w:color w:val="auto"/>
                <w:sz w:val="24"/>
                <w:lang w:val="en" w:eastAsia="zh-CN"/>
              </w:rPr>
              <w:t>项目实施管理</w:t>
            </w:r>
          </w:p>
          <w:p w14:paraId="51CF9926">
            <w:pPr>
              <w:snapToGrid w:val="0"/>
              <w:jc w:val="center"/>
              <w:rPr>
                <w:rFonts w:hint="default" w:ascii="Times New Roman" w:hAnsi="Times New Roman" w:eastAsia="仿宋_GB2312" w:cs="Times New Roman"/>
                <w:color w:val="auto"/>
                <w:sz w:val="24"/>
                <w:lang w:val="en-US" w:eastAsia="zh-CN"/>
              </w:rPr>
            </w:pPr>
          </w:p>
        </w:tc>
        <w:tc>
          <w:tcPr>
            <w:tcW w:w="583" w:type="pct"/>
            <w:tcBorders>
              <w:top w:val="single" w:color="auto" w:sz="4" w:space="0"/>
              <w:left w:val="single" w:color="auto" w:sz="4" w:space="0"/>
              <w:bottom w:val="single" w:color="auto" w:sz="4" w:space="0"/>
              <w:right w:val="single" w:color="auto" w:sz="4" w:space="0"/>
            </w:tcBorders>
            <w:noWrap w:val="0"/>
            <w:vAlign w:val="center"/>
          </w:tcPr>
          <w:p w14:paraId="10185E56">
            <w:pPr>
              <w:snapToGrid w:val="0"/>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20分</w:t>
            </w:r>
          </w:p>
        </w:tc>
        <w:tc>
          <w:tcPr>
            <w:tcW w:w="3304" w:type="pct"/>
            <w:tcBorders>
              <w:top w:val="single" w:color="auto" w:sz="4" w:space="0"/>
              <w:left w:val="single" w:color="auto" w:sz="4" w:space="0"/>
              <w:bottom w:val="single" w:color="auto" w:sz="4" w:space="0"/>
              <w:right w:val="single" w:color="auto" w:sz="4" w:space="0"/>
            </w:tcBorders>
            <w:noWrap w:val="0"/>
            <w:vAlign w:val="center"/>
          </w:tcPr>
          <w:p w14:paraId="633B7EC7">
            <w:pPr>
              <w:widowControl/>
              <w:spacing w:line="240" w:lineRule="atLeast"/>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对项目要求分析准确，具体方案全面、详细合理；项目管理及进度安排合理高效、可操作性强，有计划保障；服务实施流程科学、可行、完全满足用户需求，得</w:t>
            </w:r>
            <w:r>
              <w:rPr>
                <w:rFonts w:hint="default" w:ascii="Times New Roman" w:hAnsi="Times New Roman" w:eastAsia="仿宋_GB2312" w:cs="Times New Roman"/>
                <w:kern w:val="0"/>
                <w:sz w:val="24"/>
                <w:szCs w:val="24"/>
              </w:rPr>
              <w:t>20</w:t>
            </w:r>
            <w:r>
              <w:rPr>
                <w:rFonts w:hint="default" w:ascii="Times New Roman" w:hAnsi="Times New Roman" w:eastAsia="仿宋_GB2312" w:cs="Times New Roman"/>
                <w:kern w:val="0"/>
                <w:sz w:val="24"/>
                <w:szCs w:val="24"/>
                <w:lang w:val="en"/>
              </w:rPr>
              <w:t>分；</w:t>
            </w:r>
          </w:p>
          <w:p w14:paraId="18F48889">
            <w:pPr>
              <w:widowControl/>
              <w:spacing w:line="240" w:lineRule="atLeast"/>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对项目要求分析较准确，具体方案较全面、较合理；项目管理及进度安排较合理高效、可操作性较强；服务实施流程较可行、满足用户需求，得</w:t>
            </w:r>
            <w:r>
              <w:rPr>
                <w:rFonts w:hint="default" w:ascii="Times New Roman" w:hAnsi="Times New Roman" w:eastAsia="仿宋_GB2312" w:cs="Times New Roman"/>
                <w:kern w:val="0"/>
                <w:sz w:val="24"/>
                <w:szCs w:val="24"/>
              </w:rPr>
              <w:t>16</w:t>
            </w:r>
            <w:r>
              <w:rPr>
                <w:rFonts w:hint="default" w:ascii="Times New Roman" w:hAnsi="Times New Roman" w:eastAsia="仿宋_GB2312" w:cs="Times New Roman"/>
                <w:kern w:val="0"/>
                <w:sz w:val="24"/>
                <w:szCs w:val="24"/>
                <w:lang w:val="en"/>
              </w:rPr>
              <w:t>分；</w:t>
            </w:r>
          </w:p>
          <w:p w14:paraId="74BED54D">
            <w:pPr>
              <w:widowControl/>
              <w:spacing w:line="240" w:lineRule="atLeast"/>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对项目要求分析基本准确，具体方案基本全面、合理；项目管理及进度安排不够合理、可操作性一般；服务实施流程基本可行、基本满足用户需求，得</w:t>
            </w:r>
            <w:r>
              <w:rPr>
                <w:rFonts w:hint="default" w:ascii="Times New Roman" w:hAnsi="Times New Roman" w:eastAsia="仿宋_GB2312" w:cs="Times New Roman"/>
                <w:kern w:val="0"/>
                <w:sz w:val="24"/>
                <w:szCs w:val="24"/>
              </w:rPr>
              <w:t>12</w:t>
            </w:r>
            <w:r>
              <w:rPr>
                <w:rFonts w:hint="default" w:ascii="Times New Roman" w:hAnsi="Times New Roman" w:eastAsia="仿宋_GB2312" w:cs="Times New Roman"/>
                <w:kern w:val="0"/>
                <w:sz w:val="24"/>
                <w:szCs w:val="24"/>
                <w:lang w:val="en"/>
              </w:rPr>
              <w:t>分；</w:t>
            </w:r>
          </w:p>
          <w:p w14:paraId="6ACB9570">
            <w:pPr>
              <w:widowControl/>
              <w:spacing w:line="240" w:lineRule="atLeast"/>
              <w:rPr>
                <w:rFonts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对项目要求分析一般，具体方案不够全面、合理；项目管理及进度安排不合理、可操作性低；服务实施流程可行性不高、不能满足用户需求，得</w:t>
            </w:r>
            <w:r>
              <w:rPr>
                <w:rFonts w:hint="default" w:ascii="Times New Roman" w:hAnsi="Times New Roman" w:eastAsia="仿宋_GB2312" w:cs="Times New Roman"/>
                <w:kern w:val="0"/>
                <w:sz w:val="24"/>
                <w:szCs w:val="24"/>
              </w:rPr>
              <w:t>8</w:t>
            </w:r>
            <w:r>
              <w:rPr>
                <w:rFonts w:hint="default" w:ascii="Times New Roman" w:hAnsi="Times New Roman" w:eastAsia="仿宋_GB2312" w:cs="Times New Roman"/>
                <w:kern w:val="0"/>
                <w:sz w:val="24"/>
                <w:szCs w:val="24"/>
                <w:lang w:val="en"/>
              </w:rPr>
              <w:t>分；</w:t>
            </w:r>
          </w:p>
          <w:p w14:paraId="776546B2">
            <w:pPr>
              <w:snapToGrid w:val="0"/>
              <w:jc w:val="left"/>
              <w:rPr>
                <w:rFonts w:ascii="Times New Roman" w:hAnsi="Times New Roman" w:eastAsia="仿宋_GB2312"/>
                <w:b/>
                <w:color w:val="auto"/>
                <w:sz w:val="24"/>
              </w:rPr>
            </w:pPr>
            <w:r>
              <w:rPr>
                <w:rFonts w:hint="default" w:ascii="Times New Roman" w:hAnsi="Times New Roman" w:eastAsia="仿宋_GB2312" w:cs="Times New Roman"/>
                <w:kern w:val="0"/>
                <w:sz w:val="24"/>
                <w:szCs w:val="24"/>
                <w:lang w:val="en"/>
              </w:rPr>
              <w:t>未提供相关内容的，得</w:t>
            </w:r>
            <w:r>
              <w:rPr>
                <w:rFonts w:ascii="Times New Roman" w:hAnsi="Times New Roman" w:eastAsia="仿宋_GB2312" w:cs="Times New Roman"/>
                <w:kern w:val="0"/>
                <w:sz w:val="24"/>
                <w:szCs w:val="24"/>
                <w:lang w:val="en"/>
              </w:rPr>
              <w:t>0</w:t>
            </w:r>
            <w:r>
              <w:rPr>
                <w:rFonts w:hint="default" w:ascii="Times New Roman" w:hAnsi="Times New Roman" w:eastAsia="仿宋_GB2312" w:cs="Times New Roman"/>
                <w:kern w:val="0"/>
                <w:sz w:val="24"/>
                <w:szCs w:val="24"/>
                <w:lang w:val="en"/>
              </w:rPr>
              <w:t>分。</w:t>
            </w:r>
          </w:p>
        </w:tc>
      </w:tr>
      <w:tr w14:paraId="5667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6" w:hRule="atLeast"/>
          <w:jc w:val="center"/>
        </w:trPr>
        <w:tc>
          <w:tcPr>
            <w:tcW w:w="393" w:type="pct"/>
            <w:tcBorders>
              <w:top w:val="single" w:color="auto" w:sz="4" w:space="0"/>
              <w:left w:val="single" w:color="auto" w:sz="4" w:space="0"/>
              <w:bottom w:val="single" w:color="auto" w:sz="4" w:space="0"/>
              <w:right w:val="single" w:color="auto" w:sz="4" w:space="0"/>
            </w:tcBorders>
            <w:noWrap w:val="0"/>
            <w:vAlign w:val="center"/>
          </w:tcPr>
          <w:p w14:paraId="3A8885EF">
            <w:pPr>
              <w:snapToGrid w:val="0"/>
              <w:jc w:val="center"/>
              <w:rPr>
                <w:rFonts w:hint="default" w:ascii="Times New Roman" w:hAnsi="Times New Roman" w:eastAsia="仿宋_GB2312"/>
                <w:color w:val="auto"/>
                <w:sz w:val="24"/>
                <w:lang w:eastAsia="zh-CN"/>
              </w:rPr>
            </w:pPr>
            <w:r>
              <w:rPr>
                <w:rFonts w:hint="default" w:ascii="Times New Roman" w:hAnsi="Times New Roman" w:eastAsia="仿宋_GB2312"/>
                <w:sz w:val="24"/>
                <w:lang w:val="en-US" w:eastAsia="zh-CN"/>
              </w:rPr>
              <w:t>2</w:t>
            </w:r>
          </w:p>
        </w:tc>
        <w:tc>
          <w:tcPr>
            <w:tcW w:w="719" w:type="pct"/>
            <w:tcBorders>
              <w:top w:val="single" w:color="auto" w:sz="4" w:space="0"/>
              <w:left w:val="single" w:color="auto" w:sz="4" w:space="0"/>
              <w:bottom w:val="single" w:color="auto" w:sz="4" w:space="0"/>
              <w:right w:val="single" w:color="auto" w:sz="4" w:space="0"/>
            </w:tcBorders>
            <w:noWrap w:val="0"/>
            <w:vAlign w:val="center"/>
          </w:tcPr>
          <w:p w14:paraId="3CD2FFD8">
            <w:pPr>
              <w:snapToGrid w:val="0"/>
              <w:jc w:val="center"/>
              <w:rPr>
                <w:rFonts w:hint="default" w:ascii="Times New Roman" w:hAnsi="Times New Roman" w:eastAsia="仿宋_GB2312"/>
                <w:color w:val="auto"/>
                <w:sz w:val="24"/>
              </w:rPr>
            </w:pPr>
            <w:r>
              <w:rPr>
                <w:rFonts w:hint="default" w:ascii="Times New Roman" w:hAnsi="Times New Roman" w:eastAsia="仿宋_GB2312" w:cs="Times New Roman"/>
                <w:color w:val="auto"/>
                <w:kern w:val="0"/>
                <w:sz w:val="24"/>
                <w:szCs w:val="24"/>
                <w:lang w:val="en"/>
              </w:rPr>
              <w:t>质量控制措施</w:t>
            </w:r>
          </w:p>
        </w:tc>
        <w:tc>
          <w:tcPr>
            <w:tcW w:w="583" w:type="pct"/>
            <w:tcBorders>
              <w:top w:val="single" w:color="auto" w:sz="4" w:space="0"/>
              <w:left w:val="single" w:color="auto" w:sz="4" w:space="0"/>
              <w:bottom w:val="single" w:color="auto" w:sz="4" w:space="0"/>
              <w:right w:val="single" w:color="auto" w:sz="4" w:space="0"/>
            </w:tcBorders>
            <w:noWrap w:val="0"/>
            <w:vAlign w:val="center"/>
          </w:tcPr>
          <w:p w14:paraId="5D7DD937">
            <w:pPr>
              <w:snapToGrid w:val="0"/>
              <w:jc w:val="center"/>
              <w:rPr>
                <w:rFonts w:ascii="Times New Roman" w:hAnsi="Times New Roman" w:eastAsia="仿宋_GB2312"/>
                <w:color w:val="auto"/>
                <w:sz w:val="24"/>
              </w:rPr>
            </w:pPr>
            <w:r>
              <w:rPr>
                <w:rFonts w:hint="default" w:ascii="Times New Roman" w:hAnsi="Times New Roman" w:eastAsia="仿宋_GB2312"/>
                <w:color w:val="auto"/>
                <w:sz w:val="24"/>
              </w:rPr>
              <w:t>1</w:t>
            </w:r>
            <w:r>
              <w:rPr>
                <w:rFonts w:hint="default" w:ascii="Times New Roman" w:hAnsi="Times New Roman" w:eastAsia="仿宋_GB2312"/>
                <w:color w:val="auto"/>
                <w:sz w:val="24"/>
                <w:lang w:val="en-US" w:eastAsia="zh-CN"/>
              </w:rPr>
              <w:t>0</w:t>
            </w:r>
            <w:r>
              <w:rPr>
                <w:rFonts w:hint="default" w:ascii="Times New Roman" w:hAnsi="Times New Roman" w:eastAsia="仿宋_GB2312"/>
                <w:color w:val="auto"/>
                <w:sz w:val="24"/>
              </w:rPr>
              <w:t>分</w:t>
            </w:r>
          </w:p>
        </w:tc>
        <w:tc>
          <w:tcPr>
            <w:tcW w:w="3304" w:type="pct"/>
            <w:tcBorders>
              <w:top w:val="single" w:color="auto" w:sz="4" w:space="0"/>
              <w:left w:val="single" w:color="auto" w:sz="4" w:space="0"/>
              <w:bottom w:val="single" w:color="auto" w:sz="4" w:space="0"/>
              <w:right w:val="single" w:color="auto" w:sz="4" w:space="0"/>
            </w:tcBorders>
            <w:noWrap w:val="0"/>
            <w:vAlign w:val="center"/>
          </w:tcPr>
          <w:p w14:paraId="7889F051">
            <w:pPr>
              <w:widowControl/>
              <w:spacing w:line="240" w:lineRule="atLeast"/>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针对本项目有提供完善到位的质量保证和质量控制措施，制定质量控制方案，方案完全满足本项目要求的，得</w:t>
            </w:r>
            <w:r>
              <w:rPr>
                <w:rFonts w:hint="default" w:ascii="Times New Roman" w:hAnsi="Times New Roman" w:eastAsia="仿宋_GB2312" w:cs="Times New Roman"/>
                <w:kern w:val="0"/>
                <w:sz w:val="24"/>
                <w:szCs w:val="24"/>
                <w:lang w:val="en-US" w:eastAsia="zh-CN"/>
              </w:rPr>
              <w:t>10</w:t>
            </w:r>
            <w:r>
              <w:rPr>
                <w:rFonts w:hint="default" w:ascii="Times New Roman" w:hAnsi="Times New Roman" w:eastAsia="仿宋_GB2312" w:cs="Times New Roman"/>
                <w:kern w:val="0"/>
                <w:sz w:val="24"/>
                <w:szCs w:val="24"/>
                <w:lang w:val="en"/>
              </w:rPr>
              <w:t>分；</w:t>
            </w:r>
          </w:p>
          <w:p w14:paraId="79BC0FF3">
            <w:pPr>
              <w:widowControl/>
              <w:spacing w:line="240" w:lineRule="atLeast"/>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针对本项目有提供较完善到位的质量保证和质量控制措施，制定质量控制方案，方案较能满足本项目要求的，得</w:t>
            </w:r>
            <w:r>
              <w:rPr>
                <w:rFonts w:hint="default" w:ascii="Times New Roman" w:hAnsi="Times New Roman" w:eastAsia="仿宋_GB2312" w:cs="Times New Roman"/>
                <w:kern w:val="0"/>
                <w:sz w:val="24"/>
                <w:szCs w:val="24"/>
                <w:lang w:val="en-US" w:eastAsia="zh-CN"/>
              </w:rPr>
              <w:t>8</w:t>
            </w:r>
            <w:r>
              <w:rPr>
                <w:rFonts w:hint="default" w:ascii="Times New Roman" w:hAnsi="Times New Roman" w:eastAsia="仿宋_GB2312" w:cs="Times New Roman"/>
                <w:kern w:val="0"/>
                <w:sz w:val="24"/>
                <w:szCs w:val="24"/>
                <w:lang w:val="en"/>
              </w:rPr>
              <w:t>分；</w:t>
            </w:r>
          </w:p>
          <w:p w14:paraId="7F2101DB">
            <w:pPr>
              <w:widowControl/>
              <w:spacing w:line="240" w:lineRule="atLeast"/>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针对本项目提供的质量保证和质量控制措施不够完善，制定质量控制方案，方案基本能满足本项目要求的，得</w:t>
            </w:r>
            <w:r>
              <w:rPr>
                <w:rFonts w:hint="default" w:ascii="Times New Roman" w:hAnsi="Times New Roman" w:eastAsia="仿宋_GB2312" w:cs="Times New Roman"/>
                <w:kern w:val="0"/>
                <w:sz w:val="24"/>
                <w:szCs w:val="24"/>
                <w:lang w:val="en-US" w:eastAsia="zh-CN"/>
              </w:rPr>
              <w:t>5</w:t>
            </w:r>
            <w:r>
              <w:rPr>
                <w:rFonts w:hint="default" w:ascii="Times New Roman" w:hAnsi="Times New Roman" w:eastAsia="仿宋_GB2312" w:cs="Times New Roman"/>
                <w:kern w:val="0"/>
                <w:sz w:val="24"/>
                <w:szCs w:val="24"/>
                <w:lang w:val="en"/>
              </w:rPr>
              <w:t>分；</w:t>
            </w:r>
          </w:p>
          <w:p w14:paraId="7E5D8907">
            <w:pPr>
              <w:widowControl/>
              <w:spacing w:line="240" w:lineRule="atLeast"/>
              <w:rPr>
                <w:rFonts w:hint="default" w:ascii="Times New Roman" w:hAnsi="Times New Roman" w:eastAsia="仿宋_GB2312" w:cs="Times New Roman"/>
                <w:kern w:val="0"/>
                <w:sz w:val="24"/>
                <w:szCs w:val="24"/>
                <w:lang w:val="en"/>
              </w:rPr>
            </w:pPr>
            <w:r>
              <w:rPr>
                <w:rFonts w:hint="default" w:ascii="Times New Roman" w:hAnsi="Times New Roman" w:eastAsia="仿宋_GB2312" w:cs="Times New Roman"/>
                <w:kern w:val="0"/>
                <w:sz w:val="24"/>
                <w:szCs w:val="24"/>
                <w:lang w:val="en"/>
              </w:rPr>
              <w:t>针对本项目的质量保证和质量控制措施不完善，未制定质量控制方案，方案大部分无法满足本项目要求的，得</w:t>
            </w:r>
            <w:r>
              <w:rPr>
                <w:rFonts w:hint="default" w:ascii="Times New Roman" w:hAnsi="Times New Roman" w:eastAsia="仿宋_GB2312" w:cs="Times New Roman"/>
                <w:kern w:val="0"/>
                <w:sz w:val="24"/>
                <w:szCs w:val="24"/>
                <w:lang w:val="en-US" w:eastAsia="zh-CN"/>
              </w:rPr>
              <w:t>3</w:t>
            </w:r>
            <w:r>
              <w:rPr>
                <w:rFonts w:hint="default" w:ascii="Times New Roman" w:hAnsi="Times New Roman" w:eastAsia="仿宋_GB2312" w:cs="Times New Roman"/>
                <w:kern w:val="0"/>
                <w:sz w:val="24"/>
                <w:szCs w:val="24"/>
                <w:lang w:val="en"/>
              </w:rPr>
              <w:t>分；</w:t>
            </w:r>
          </w:p>
          <w:p w14:paraId="7FDD82A3">
            <w:pPr>
              <w:widowControl/>
              <w:spacing w:line="240" w:lineRule="atLeast"/>
              <w:rPr>
                <w:rFonts w:ascii="Times New Roman" w:hAnsi="Times New Roman" w:eastAsia="仿宋_GB2312"/>
                <w:color w:val="auto"/>
                <w:sz w:val="24"/>
              </w:rPr>
            </w:pPr>
            <w:r>
              <w:rPr>
                <w:rFonts w:hint="default" w:ascii="Times New Roman" w:hAnsi="Times New Roman" w:eastAsia="仿宋_GB2312" w:cs="Times New Roman"/>
                <w:kern w:val="0"/>
                <w:sz w:val="24"/>
                <w:szCs w:val="24"/>
                <w:lang w:val="en"/>
              </w:rPr>
              <w:t>未提供得0分。</w:t>
            </w:r>
          </w:p>
        </w:tc>
      </w:tr>
      <w:tr w14:paraId="3D53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393" w:type="pct"/>
            <w:tcBorders>
              <w:top w:val="single" w:color="auto" w:sz="4" w:space="0"/>
              <w:left w:val="single" w:color="auto" w:sz="4" w:space="0"/>
              <w:right w:val="single" w:color="auto" w:sz="4" w:space="0"/>
            </w:tcBorders>
            <w:noWrap w:val="0"/>
            <w:vAlign w:val="center"/>
          </w:tcPr>
          <w:p w14:paraId="2B4A5412">
            <w:pPr>
              <w:snapToGrid w:val="0"/>
              <w:jc w:val="center"/>
              <w:rPr>
                <w:rFonts w:hint="default" w:ascii="Times New Roman" w:hAnsi="Times New Roman" w:eastAsia="仿宋_GB2312"/>
                <w:color w:val="auto"/>
                <w:sz w:val="24"/>
                <w:lang w:eastAsia="zh-CN"/>
              </w:rPr>
            </w:pPr>
            <w:r>
              <w:rPr>
                <w:rFonts w:hint="default" w:ascii="Times New Roman" w:hAnsi="Times New Roman" w:eastAsia="仿宋_GB2312"/>
                <w:color w:val="auto"/>
                <w:sz w:val="24"/>
                <w:lang w:val="en-US" w:eastAsia="zh-CN"/>
              </w:rPr>
              <w:t>3</w:t>
            </w:r>
          </w:p>
        </w:tc>
        <w:tc>
          <w:tcPr>
            <w:tcW w:w="719" w:type="pct"/>
            <w:tcBorders>
              <w:top w:val="single" w:color="auto" w:sz="4" w:space="0"/>
              <w:left w:val="single" w:color="auto" w:sz="4" w:space="0"/>
              <w:right w:val="single" w:color="auto" w:sz="4" w:space="0"/>
            </w:tcBorders>
            <w:noWrap w:val="0"/>
            <w:vAlign w:val="center"/>
          </w:tcPr>
          <w:p w14:paraId="6DE50251">
            <w:pPr>
              <w:snapToGrid w:val="0"/>
              <w:jc w:val="center"/>
              <w:rPr>
                <w:rFonts w:ascii="Times New Roman" w:hAnsi="Times New Roman" w:eastAsia="仿宋_GB2312"/>
                <w:color w:val="auto"/>
                <w:sz w:val="24"/>
              </w:rPr>
            </w:pPr>
            <w:r>
              <w:rPr>
                <w:rFonts w:hint="default" w:ascii="Times New Roman" w:hAnsi="Times New Roman" w:eastAsia="仿宋_GB2312"/>
                <w:color w:val="auto"/>
                <w:sz w:val="24"/>
              </w:rPr>
              <w:t>业绩</w:t>
            </w:r>
            <w:r>
              <w:rPr>
                <w:rFonts w:ascii="Times New Roman" w:hAnsi="Times New Roman" w:eastAsia="仿宋_GB2312"/>
                <w:color w:val="auto"/>
                <w:sz w:val="24"/>
              </w:rPr>
              <w:t>情况</w:t>
            </w:r>
          </w:p>
        </w:tc>
        <w:tc>
          <w:tcPr>
            <w:tcW w:w="583" w:type="pct"/>
            <w:tcBorders>
              <w:top w:val="single" w:color="auto" w:sz="4" w:space="0"/>
              <w:left w:val="single" w:color="auto" w:sz="4" w:space="0"/>
              <w:right w:val="single" w:color="auto" w:sz="4" w:space="0"/>
            </w:tcBorders>
            <w:noWrap w:val="0"/>
            <w:vAlign w:val="center"/>
          </w:tcPr>
          <w:p w14:paraId="465D0213">
            <w:pPr>
              <w:snapToGrid w:val="0"/>
              <w:jc w:val="center"/>
              <w:rPr>
                <w:rFonts w:ascii="Times New Roman" w:hAnsi="Times New Roman" w:eastAsia="仿宋_GB2312"/>
                <w:color w:val="auto"/>
                <w:sz w:val="24"/>
              </w:rPr>
            </w:pPr>
            <w:r>
              <w:rPr>
                <w:rFonts w:hint="default" w:ascii="Times New Roman" w:hAnsi="Times New Roman" w:eastAsia="仿宋_GB2312"/>
                <w:color w:val="auto"/>
                <w:sz w:val="24"/>
                <w:lang w:val="en-US" w:eastAsia="zh-CN"/>
              </w:rPr>
              <w:t>20</w:t>
            </w:r>
            <w:r>
              <w:rPr>
                <w:rFonts w:hint="default" w:ascii="Times New Roman" w:hAnsi="Times New Roman" w:eastAsia="仿宋_GB2312"/>
                <w:color w:val="auto"/>
                <w:sz w:val="24"/>
              </w:rPr>
              <w:t>分</w:t>
            </w:r>
          </w:p>
        </w:tc>
        <w:tc>
          <w:tcPr>
            <w:tcW w:w="3304" w:type="pct"/>
            <w:tcBorders>
              <w:top w:val="single" w:color="auto" w:sz="4" w:space="0"/>
              <w:left w:val="single" w:color="auto" w:sz="4" w:space="0"/>
              <w:right w:val="single" w:color="auto" w:sz="4" w:space="0"/>
            </w:tcBorders>
            <w:noWrap w:val="0"/>
            <w:vAlign w:val="center"/>
          </w:tcPr>
          <w:p w14:paraId="15EC1582">
            <w:pPr>
              <w:snapToGrid w:val="0"/>
              <w:jc w:val="both"/>
              <w:rPr>
                <w:rFonts w:ascii="Times New Roman" w:hAnsi="Times New Roman" w:eastAsia="仿宋_GB2312"/>
                <w:color w:val="auto"/>
                <w:sz w:val="24"/>
              </w:rPr>
            </w:pPr>
            <w:r>
              <w:rPr>
                <w:rFonts w:ascii="Times New Roman" w:hAnsi="Times New Roman" w:eastAsia="仿宋_GB2312"/>
                <w:color w:val="auto"/>
                <w:sz w:val="24"/>
              </w:rPr>
              <w:t>供应商</w:t>
            </w:r>
            <w:r>
              <w:rPr>
                <w:rFonts w:hint="default" w:ascii="Times New Roman" w:hAnsi="Times New Roman" w:eastAsia="仿宋_GB2312"/>
                <w:color w:val="auto"/>
                <w:sz w:val="24"/>
              </w:rPr>
              <w:t>自2021年至今承担过水生态环境规划、调查或排查项目，每个项目</w:t>
            </w:r>
            <w:r>
              <w:rPr>
                <w:rFonts w:ascii="Times New Roman" w:hAnsi="Times New Roman" w:eastAsia="仿宋_GB2312"/>
                <w:color w:val="auto"/>
                <w:sz w:val="24"/>
              </w:rPr>
              <w:t>（以签订合同为准）得</w:t>
            </w:r>
            <w:r>
              <w:rPr>
                <w:rFonts w:hint="default" w:ascii="Times New Roman" w:hAnsi="Times New Roman" w:eastAsia="仿宋_GB2312"/>
                <w:color w:val="auto"/>
                <w:sz w:val="24"/>
                <w:lang w:val="en-US" w:eastAsia="zh-CN"/>
              </w:rPr>
              <w:t>5</w:t>
            </w:r>
            <w:r>
              <w:rPr>
                <w:rFonts w:ascii="Times New Roman" w:hAnsi="Times New Roman" w:eastAsia="仿宋_GB2312"/>
                <w:color w:val="auto"/>
                <w:sz w:val="24"/>
              </w:rPr>
              <w:t>分，最高得</w:t>
            </w:r>
            <w:r>
              <w:rPr>
                <w:rFonts w:hint="default" w:ascii="Times New Roman" w:hAnsi="Times New Roman" w:eastAsia="仿宋_GB2312"/>
                <w:color w:val="auto"/>
                <w:sz w:val="24"/>
                <w:lang w:val="en-US" w:eastAsia="zh-CN"/>
              </w:rPr>
              <w:t>20</w:t>
            </w:r>
            <w:r>
              <w:rPr>
                <w:rFonts w:ascii="Times New Roman" w:hAnsi="Times New Roman" w:eastAsia="仿宋_GB2312"/>
                <w:color w:val="auto"/>
                <w:sz w:val="24"/>
              </w:rPr>
              <w:t>分。</w:t>
            </w:r>
          </w:p>
          <w:p w14:paraId="64B2761C">
            <w:pPr>
              <w:snapToGrid w:val="0"/>
              <w:jc w:val="both"/>
              <w:rPr>
                <w:rFonts w:ascii="Times New Roman" w:hAnsi="Times New Roman" w:eastAsia="仿宋_GB2312"/>
                <w:color w:val="auto"/>
                <w:sz w:val="24"/>
              </w:rPr>
            </w:pPr>
            <w:r>
              <w:rPr>
                <w:rFonts w:ascii="Times New Roman" w:hAnsi="Times New Roman" w:eastAsia="仿宋_GB2312"/>
                <w:color w:val="auto"/>
                <w:sz w:val="24"/>
              </w:rPr>
              <w:t>【注：须附上合同或其他证明文件的关键页（含资金下达文件或签订合同双方的单位名称、合同项目名称、项目金额与含签订合同双方的落款盖章、签订日期的关键页）扫描件加盖单位公章作为业绩评价证明资料，不提供不得分。】</w:t>
            </w:r>
          </w:p>
        </w:tc>
      </w:tr>
      <w:tr w14:paraId="04D4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393" w:type="pct"/>
            <w:tcBorders>
              <w:top w:val="single" w:color="auto" w:sz="4" w:space="0"/>
              <w:left w:val="single" w:color="auto" w:sz="4" w:space="0"/>
              <w:right w:val="single" w:color="auto" w:sz="4" w:space="0"/>
            </w:tcBorders>
            <w:noWrap w:val="0"/>
            <w:vAlign w:val="center"/>
          </w:tcPr>
          <w:p w14:paraId="2A8A73DF">
            <w:pPr>
              <w:snapToGrid w:val="0"/>
              <w:jc w:val="center"/>
              <w:rPr>
                <w:rFonts w:hint="eastAsia" w:ascii="Times New Roman" w:hAnsi="Times New Roman" w:eastAsia="仿宋_GB2312"/>
                <w:color w:val="auto"/>
                <w:sz w:val="24"/>
                <w:lang w:eastAsia="zh-CN"/>
              </w:rPr>
            </w:pPr>
            <w:r>
              <w:rPr>
                <w:rFonts w:hint="default" w:ascii="Times New Roman" w:hAnsi="Times New Roman" w:eastAsia="仿宋_GB2312"/>
                <w:color w:val="auto"/>
                <w:sz w:val="24"/>
                <w:lang w:val="en-US" w:eastAsia="zh-CN"/>
              </w:rPr>
              <w:t>4</w:t>
            </w:r>
          </w:p>
        </w:tc>
        <w:tc>
          <w:tcPr>
            <w:tcW w:w="719" w:type="pct"/>
            <w:tcBorders>
              <w:top w:val="single" w:color="auto" w:sz="4" w:space="0"/>
              <w:left w:val="single" w:color="auto" w:sz="4" w:space="0"/>
              <w:right w:val="single" w:color="auto" w:sz="4" w:space="0"/>
            </w:tcBorders>
            <w:noWrap w:val="0"/>
            <w:vAlign w:val="center"/>
          </w:tcPr>
          <w:p w14:paraId="65599DC5">
            <w:pPr>
              <w:snapToGrid w:val="0"/>
              <w:jc w:val="center"/>
              <w:rPr>
                <w:rFonts w:ascii="Times New Roman" w:hAnsi="Times New Roman" w:eastAsia="仿宋_GB2312"/>
                <w:color w:val="auto"/>
                <w:sz w:val="24"/>
              </w:rPr>
            </w:pPr>
            <w:r>
              <w:rPr>
                <w:rFonts w:hint="default" w:ascii="Times New Roman" w:hAnsi="Times New Roman" w:eastAsia="仿宋_GB2312"/>
                <w:color w:val="auto"/>
                <w:sz w:val="24"/>
              </w:rPr>
              <w:t>项目</w:t>
            </w:r>
            <w:r>
              <w:rPr>
                <w:rFonts w:ascii="Times New Roman" w:hAnsi="Times New Roman" w:eastAsia="仿宋_GB2312"/>
                <w:color w:val="auto"/>
                <w:sz w:val="24"/>
              </w:rPr>
              <w:t>负责人实力</w:t>
            </w:r>
          </w:p>
        </w:tc>
        <w:tc>
          <w:tcPr>
            <w:tcW w:w="583" w:type="pct"/>
            <w:tcBorders>
              <w:top w:val="single" w:color="auto" w:sz="4" w:space="0"/>
              <w:left w:val="single" w:color="auto" w:sz="4" w:space="0"/>
              <w:right w:val="single" w:color="auto" w:sz="4" w:space="0"/>
            </w:tcBorders>
            <w:noWrap w:val="0"/>
            <w:vAlign w:val="center"/>
          </w:tcPr>
          <w:p w14:paraId="3C4A0DA6">
            <w:pPr>
              <w:snapToGrid w:val="0"/>
              <w:jc w:val="center"/>
              <w:rPr>
                <w:rFonts w:hint="eastAsia" w:ascii="Times New Roman" w:hAnsi="Times New Roman" w:eastAsia="仿宋_GB2312"/>
                <w:color w:val="auto"/>
                <w:sz w:val="24"/>
              </w:rPr>
            </w:pPr>
            <w:r>
              <w:rPr>
                <w:rFonts w:hint="default" w:ascii="Times New Roman" w:hAnsi="Times New Roman" w:eastAsia="仿宋_GB2312"/>
                <w:color w:val="auto"/>
                <w:sz w:val="24"/>
                <w:lang w:val="en-US" w:eastAsia="zh-CN"/>
              </w:rPr>
              <w:t>10</w:t>
            </w:r>
            <w:r>
              <w:rPr>
                <w:rFonts w:ascii="Times New Roman" w:hAnsi="Times New Roman" w:eastAsia="仿宋_GB2312"/>
                <w:color w:val="auto"/>
                <w:sz w:val="24"/>
              </w:rPr>
              <w:t>分</w:t>
            </w:r>
          </w:p>
        </w:tc>
        <w:tc>
          <w:tcPr>
            <w:tcW w:w="3304" w:type="pct"/>
            <w:tcBorders>
              <w:top w:val="single" w:color="auto" w:sz="4" w:space="0"/>
              <w:left w:val="single" w:color="auto" w:sz="4" w:space="0"/>
              <w:right w:val="single" w:color="auto" w:sz="4" w:space="0"/>
            </w:tcBorders>
            <w:noWrap w:val="0"/>
            <w:vAlign w:val="center"/>
          </w:tcPr>
          <w:p w14:paraId="769DA1E0">
            <w:pPr>
              <w:snapToGrid w:val="0"/>
              <w:jc w:val="both"/>
              <w:rPr>
                <w:rFonts w:ascii="Times New Roman" w:hAnsi="Times New Roman" w:eastAsia="仿宋_GB2312"/>
                <w:color w:val="auto"/>
                <w:sz w:val="24"/>
              </w:rPr>
            </w:pPr>
            <w:r>
              <w:rPr>
                <w:rFonts w:hint="default" w:ascii="Times New Roman" w:hAnsi="Times New Roman" w:eastAsia="仿宋_GB2312"/>
                <w:color w:val="auto"/>
                <w:sz w:val="24"/>
              </w:rPr>
              <w:t>拟委派的项目负责人，具有环境类相关专业副高级（或以上）技术职称的，得</w:t>
            </w:r>
            <w:r>
              <w:rPr>
                <w:rFonts w:hint="default" w:ascii="Times New Roman" w:hAnsi="Times New Roman" w:eastAsia="仿宋_GB2312"/>
                <w:color w:val="auto"/>
                <w:sz w:val="24"/>
                <w:lang w:val="en-US" w:eastAsia="zh-CN"/>
              </w:rPr>
              <w:t>10</w:t>
            </w:r>
            <w:r>
              <w:rPr>
                <w:rFonts w:hint="default" w:ascii="Times New Roman" w:hAnsi="Times New Roman" w:eastAsia="仿宋_GB2312"/>
                <w:color w:val="auto"/>
                <w:sz w:val="24"/>
              </w:rPr>
              <w:t>分；具有环境类相关专业中级技术职称的，得</w:t>
            </w:r>
            <w:r>
              <w:rPr>
                <w:rFonts w:hint="default" w:ascii="Times New Roman" w:hAnsi="Times New Roman" w:eastAsia="仿宋_GB2312"/>
                <w:color w:val="auto"/>
                <w:sz w:val="24"/>
                <w:lang w:val="en-US" w:eastAsia="zh-CN"/>
              </w:rPr>
              <w:t>7</w:t>
            </w:r>
            <w:r>
              <w:rPr>
                <w:rFonts w:hint="default" w:ascii="Times New Roman" w:hAnsi="Times New Roman" w:eastAsia="仿宋_GB2312"/>
                <w:color w:val="auto"/>
                <w:sz w:val="24"/>
              </w:rPr>
              <w:t>分。其余不得分。</w:t>
            </w:r>
          </w:p>
          <w:p w14:paraId="17EB3AA2">
            <w:pPr>
              <w:snapToGrid w:val="0"/>
              <w:jc w:val="both"/>
              <w:rPr>
                <w:rFonts w:ascii="Times New Roman" w:hAnsi="Times New Roman" w:eastAsia="仿宋_GB2312"/>
                <w:color w:val="auto"/>
                <w:sz w:val="24"/>
              </w:rPr>
            </w:pPr>
            <w:r>
              <w:rPr>
                <w:rFonts w:ascii="Times New Roman" w:hAnsi="Times New Roman" w:eastAsia="仿宋_GB2312"/>
                <w:color w:val="auto"/>
                <w:sz w:val="24"/>
              </w:rPr>
              <w:t>【</w:t>
            </w:r>
            <w:r>
              <w:rPr>
                <w:rFonts w:hint="default" w:ascii="Times New Roman" w:hAnsi="Times New Roman" w:eastAsia="仿宋_GB2312"/>
                <w:color w:val="auto"/>
                <w:sz w:val="24"/>
              </w:rPr>
              <w:t>注：须提供上述人员相关职称证书复印件、以及上述人员与供应商签订的劳务合同复印件或由社保机构或税务部门出具的在本项目投标截止日前6个月内任意1个月的由供应商为其购买的社保证明加盖供应商公章，无或缺项或未按要求递交证明材料的不得分。</w:t>
            </w:r>
            <w:r>
              <w:rPr>
                <w:rFonts w:ascii="Times New Roman" w:hAnsi="Times New Roman" w:eastAsia="仿宋_GB2312"/>
                <w:color w:val="auto"/>
                <w:sz w:val="24"/>
              </w:rPr>
              <w:t>】</w:t>
            </w:r>
          </w:p>
        </w:tc>
      </w:tr>
      <w:tr w14:paraId="6A70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8" w:hRule="atLeast"/>
          <w:jc w:val="center"/>
        </w:trPr>
        <w:tc>
          <w:tcPr>
            <w:tcW w:w="393" w:type="pct"/>
            <w:tcBorders>
              <w:top w:val="single" w:color="auto" w:sz="4" w:space="0"/>
              <w:left w:val="single" w:color="auto" w:sz="4" w:space="0"/>
              <w:right w:val="single" w:color="auto" w:sz="4" w:space="0"/>
            </w:tcBorders>
            <w:noWrap w:val="0"/>
            <w:vAlign w:val="center"/>
          </w:tcPr>
          <w:p w14:paraId="3D96512C">
            <w:pPr>
              <w:snapToGrid w:val="0"/>
              <w:jc w:val="center"/>
              <w:rPr>
                <w:rFonts w:hint="default" w:ascii="Times New Roman" w:hAnsi="Times New Roman" w:eastAsia="仿宋_GB2312"/>
                <w:color w:val="auto"/>
                <w:sz w:val="24"/>
                <w:lang w:eastAsia="zh-CN"/>
              </w:rPr>
            </w:pPr>
            <w:r>
              <w:rPr>
                <w:rFonts w:hint="default" w:ascii="Times New Roman" w:hAnsi="Times New Roman" w:eastAsia="仿宋_GB2312"/>
                <w:color w:val="auto"/>
                <w:sz w:val="24"/>
                <w:lang w:val="en-US" w:eastAsia="zh-CN"/>
              </w:rPr>
              <w:t>5</w:t>
            </w:r>
          </w:p>
        </w:tc>
        <w:tc>
          <w:tcPr>
            <w:tcW w:w="719" w:type="pct"/>
            <w:tcBorders>
              <w:top w:val="single" w:color="auto" w:sz="4" w:space="0"/>
              <w:left w:val="single" w:color="auto" w:sz="4" w:space="0"/>
              <w:right w:val="single" w:color="auto" w:sz="4" w:space="0"/>
            </w:tcBorders>
            <w:noWrap w:val="0"/>
            <w:vAlign w:val="center"/>
          </w:tcPr>
          <w:p w14:paraId="3178EC96">
            <w:pPr>
              <w:snapToGrid w:val="0"/>
              <w:jc w:val="center"/>
              <w:rPr>
                <w:rFonts w:ascii="Times New Roman" w:hAnsi="Times New Roman" w:eastAsia="仿宋_GB2312"/>
                <w:color w:val="auto"/>
                <w:sz w:val="24"/>
              </w:rPr>
            </w:pPr>
            <w:r>
              <w:rPr>
                <w:rFonts w:hint="eastAsia" w:ascii="Times New Roman" w:hAnsi="Times New Roman" w:eastAsia="仿宋_GB2312"/>
                <w:color w:val="auto"/>
                <w:sz w:val="24"/>
              </w:rPr>
              <w:t>团队</w:t>
            </w:r>
            <w:r>
              <w:rPr>
                <w:rFonts w:ascii="Times New Roman" w:hAnsi="Times New Roman" w:eastAsia="仿宋_GB2312"/>
                <w:color w:val="auto"/>
                <w:sz w:val="24"/>
              </w:rPr>
              <w:t>实力</w:t>
            </w:r>
          </w:p>
        </w:tc>
        <w:tc>
          <w:tcPr>
            <w:tcW w:w="583" w:type="pct"/>
            <w:tcBorders>
              <w:top w:val="single" w:color="auto" w:sz="4" w:space="0"/>
              <w:left w:val="single" w:color="auto" w:sz="4" w:space="0"/>
              <w:right w:val="single" w:color="auto" w:sz="4" w:space="0"/>
            </w:tcBorders>
            <w:noWrap w:val="0"/>
            <w:vAlign w:val="center"/>
          </w:tcPr>
          <w:p w14:paraId="29BD9F24">
            <w:pPr>
              <w:snapToGrid w:val="0"/>
              <w:jc w:val="center"/>
              <w:rPr>
                <w:rFonts w:ascii="Times New Roman" w:hAnsi="Times New Roman" w:eastAsia="仿宋_GB2312"/>
                <w:color w:val="auto"/>
                <w:sz w:val="24"/>
              </w:rPr>
            </w:pPr>
            <w:r>
              <w:rPr>
                <w:rFonts w:hint="default" w:ascii="Times New Roman" w:hAnsi="Times New Roman" w:eastAsia="仿宋_GB2312"/>
                <w:color w:val="auto"/>
                <w:sz w:val="24"/>
              </w:rPr>
              <w:t>2</w:t>
            </w:r>
            <w:r>
              <w:rPr>
                <w:rFonts w:hint="default" w:ascii="Times New Roman" w:hAnsi="Times New Roman" w:eastAsia="仿宋_GB2312"/>
                <w:color w:val="auto"/>
                <w:sz w:val="24"/>
                <w:lang w:val="en-US" w:eastAsia="zh-CN"/>
              </w:rPr>
              <w:t>5</w:t>
            </w:r>
            <w:r>
              <w:rPr>
                <w:rFonts w:hint="default" w:ascii="Times New Roman" w:hAnsi="Times New Roman" w:eastAsia="仿宋_GB2312"/>
                <w:color w:val="auto"/>
                <w:sz w:val="24"/>
              </w:rPr>
              <w:t>分</w:t>
            </w:r>
          </w:p>
        </w:tc>
        <w:tc>
          <w:tcPr>
            <w:tcW w:w="3304" w:type="pct"/>
            <w:tcBorders>
              <w:top w:val="single" w:color="auto" w:sz="4" w:space="0"/>
              <w:left w:val="single" w:color="auto" w:sz="4" w:space="0"/>
              <w:right w:val="single" w:color="auto" w:sz="4" w:space="0"/>
            </w:tcBorders>
            <w:noWrap w:val="0"/>
            <w:vAlign w:val="center"/>
          </w:tcPr>
          <w:p w14:paraId="008832CD">
            <w:pPr>
              <w:snapToGrid w:val="0"/>
              <w:jc w:val="left"/>
              <w:rPr>
                <w:rFonts w:hint="default" w:ascii="Times New Roman" w:hAnsi="Times New Roman" w:eastAsia="仿宋_GB2312"/>
                <w:color w:val="auto"/>
                <w:sz w:val="24"/>
              </w:rPr>
            </w:pPr>
            <w:r>
              <w:rPr>
                <w:rFonts w:hint="default" w:ascii="Times New Roman" w:hAnsi="Times New Roman" w:eastAsia="仿宋_GB2312"/>
                <w:color w:val="auto"/>
                <w:sz w:val="24"/>
              </w:rPr>
              <w:t>拟委派的技术人员（不含项目负责人），具有环境类相关专业副高级（或以上）技术职称的，每人得4分；具有环境类相关专业中级技术职称的，每人得</w:t>
            </w:r>
            <w:r>
              <w:rPr>
                <w:rFonts w:hint="default" w:ascii="Times New Roman" w:hAnsi="Times New Roman" w:eastAsia="仿宋_GB2312"/>
                <w:color w:val="auto"/>
                <w:sz w:val="24"/>
                <w:lang w:val="en-US" w:eastAsia="zh-CN"/>
              </w:rPr>
              <w:t>3</w:t>
            </w:r>
            <w:r>
              <w:rPr>
                <w:rFonts w:hint="default" w:ascii="Times New Roman" w:hAnsi="Times New Roman" w:eastAsia="仿宋_GB2312"/>
                <w:color w:val="auto"/>
                <w:sz w:val="24"/>
              </w:rPr>
              <w:t>分；否则不得分。同一人员不重复计分</w:t>
            </w:r>
            <w:r>
              <w:rPr>
                <w:rFonts w:hint="default" w:ascii="Times New Roman" w:hAnsi="Times New Roman" w:eastAsia="仿宋_GB2312"/>
                <w:color w:val="auto"/>
                <w:sz w:val="24"/>
                <w:lang w:eastAsia="zh-CN"/>
              </w:rPr>
              <w:t>，</w:t>
            </w:r>
            <w:r>
              <w:rPr>
                <w:rFonts w:hint="default" w:ascii="Times New Roman" w:hAnsi="Times New Roman" w:eastAsia="仿宋_GB2312"/>
                <w:color w:val="auto"/>
                <w:sz w:val="24"/>
              </w:rPr>
              <w:t>本项最高得20分。</w:t>
            </w:r>
          </w:p>
          <w:p w14:paraId="7C2D0E8D">
            <w:pPr>
              <w:snapToGrid w:val="0"/>
              <w:jc w:val="left"/>
              <w:rPr>
                <w:rFonts w:hint="default" w:ascii="Times New Roman" w:hAnsi="Times New Roman" w:eastAsia="仿宋_GB2312"/>
                <w:color w:val="auto"/>
                <w:sz w:val="24"/>
              </w:rPr>
            </w:pPr>
            <w:r>
              <w:rPr>
                <w:rFonts w:hint="default" w:ascii="Times New Roman" w:hAnsi="Times New Roman" w:eastAsia="仿宋_GB2312"/>
                <w:color w:val="auto"/>
                <w:sz w:val="24"/>
              </w:rPr>
              <w:t>供应商应投入航拍设备</w:t>
            </w:r>
            <w:r>
              <w:rPr>
                <w:rFonts w:hint="default" w:ascii="Times New Roman" w:hAnsi="Times New Roman" w:eastAsia="仿宋_GB2312"/>
                <w:color w:val="auto"/>
                <w:sz w:val="24"/>
                <w:lang w:eastAsia="zh-CN"/>
              </w:rPr>
              <w:t>以及航拍人员</w:t>
            </w:r>
            <w:r>
              <w:rPr>
                <w:rFonts w:hint="default" w:ascii="Times New Roman" w:hAnsi="Times New Roman" w:eastAsia="仿宋_GB2312"/>
                <w:color w:val="auto"/>
                <w:sz w:val="24"/>
              </w:rPr>
              <w:t>，具备</w:t>
            </w:r>
            <w:r>
              <w:rPr>
                <w:rFonts w:hint="default" w:ascii="Times New Roman" w:hAnsi="Times New Roman" w:eastAsia="仿宋_GB2312"/>
                <w:color w:val="auto"/>
                <w:sz w:val="24"/>
                <w:lang w:eastAsia="zh-CN"/>
              </w:rPr>
              <w:t>不少于</w:t>
            </w:r>
            <w:r>
              <w:rPr>
                <w:rFonts w:hint="default" w:ascii="Times New Roman" w:hAnsi="Times New Roman" w:eastAsia="仿宋_GB2312"/>
                <w:color w:val="auto"/>
                <w:sz w:val="24"/>
              </w:rPr>
              <w:t>1台无人机航拍器</w:t>
            </w:r>
            <w:r>
              <w:rPr>
                <w:rFonts w:hint="default" w:ascii="Times New Roman" w:hAnsi="Times New Roman" w:eastAsia="仿宋_GB2312"/>
                <w:color w:val="auto"/>
                <w:sz w:val="24"/>
                <w:lang w:eastAsia="zh-CN"/>
              </w:rPr>
              <w:t>且航拍人员</w:t>
            </w:r>
            <w:r>
              <w:rPr>
                <w:rFonts w:hint="default" w:ascii="Times New Roman" w:hAnsi="Times New Roman" w:eastAsia="仿宋_GB2312"/>
                <w:color w:val="auto"/>
                <w:sz w:val="24"/>
              </w:rPr>
              <w:t>具备无人机驾驶证（AOPA）的，得</w:t>
            </w:r>
            <w:r>
              <w:rPr>
                <w:rFonts w:hint="default" w:ascii="Times New Roman" w:hAnsi="Times New Roman" w:eastAsia="仿宋_GB2312"/>
                <w:color w:val="auto"/>
                <w:sz w:val="24"/>
                <w:lang w:val="en-US" w:eastAsia="zh-CN"/>
              </w:rPr>
              <w:t>5</w:t>
            </w:r>
            <w:r>
              <w:rPr>
                <w:rFonts w:hint="default" w:ascii="Times New Roman" w:hAnsi="Times New Roman" w:eastAsia="仿宋_GB2312"/>
                <w:color w:val="auto"/>
                <w:sz w:val="24"/>
              </w:rPr>
              <w:t>分；否则，得0分。本项最高得</w:t>
            </w:r>
            <w:r>
              <w:rPr>
                <w:rFonts w:hint="default" w:ascii="Times New Roman" w:hAnsi="Times New Roman" w:eastAsia="仿宋_GB2312"/>
                <w:color w:val="auto"/>
                <w:sz w:val="24"/>
                <w:lang w:val="en-US" w:eastAsia="zh-CN"/>
              </w:rPr>
              <w:t>5</w:t>
            </w:r>
            <w:r>
              <w:rPr>
                <w:rFonts w:hint="default" w:ascii="Times New Roman" w:hAnsi="Times New Roman" w:eastAsia="仿宋_GB2312"/>
                <w:color w:val="auto"/>
                <w:sz w:val="24"/>
              </w:rPr>
              <w:t>分。</w:t>
            </w:r>
          </w:p>
          <w:p w14:paraId="361B0A40">
            <w:pPr>
              <w:snapToGrid w:val="0"/>
              <w:jc w:val="left"/>
              <w:rPr>
                <w:rFonts w:ascii="Times New Roman" w:hAnsi="Times New Roman" w:eastAsia="仿宋_GB2312"/>
                <w:color w:val="auto"/>
                <w:sz w:val="24"/>
              </w:rPr>
            </w:pPr>
            <w:r>
              <w:rPr>
                <w:rFonts w:hint="default" w:ascii="Times New Roman" w:hAnsi="Times New Roman" w:eastAsia="仿宋_GB2312"/>
                <w:color w:val="auto"/>
                <w:sz w:val="24"/>
              </w:rPr>
              <w:t>【注：上述合计最高得2</w:t>
            </w:r>
            <w:r>
              <w:rPr>
                <w:rFonts w:hint="default" w:ascii="Times New Roman" w:hAnsi="Times New Roman" w:eastAsia="仿宋_GB2312"/>
                <w:color w:val="auto"/>
                <w:sz w:val="24"/>
                <w:lang w:val="en-US" w:eastAsia="zh-CN"/>
              </w:rPr>
              <w:t>5</w:t>
            </w:r>
            <w:r>
              <w:rPr>
                <w:rFonts w:hint="default" w:ascii="Times New Roman" w:hAnsi="Times New Roman" w:eastAsia="仿宋_GB2312"/>
                <w:color w:val="auto"/>
                <w:sz w:val="24"/>
              </w:rPr>
              <w:t>分，同一人员具备多个不同等级职称的，不重复计算得分。须提供上述人员相关职称证书复印件、无人机驾驶证（AOPA）复印件、以及上述人员与供应商签订的劳务合同复印件或由社保机构或税务部门出具的在本项目投标截止日前6个月内任意1个月的由供应商为其购买的社保证明加盖供应商公章，无或缺项或未按要求递交证明材料的不得分。需要提供供应商购买无人机航拍器的发票，否则不得分。】</w:t>
            </w:r>
          </w:p>
        </w:tc>
      </w:tr>
      <w:tr w14:paraId="07FA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393" w:type="pct"/>
            <w:tcBorders>
              <w:top w:val="single" w:color="auto" w:sz="4" w:space="0"/>
              <w:left w:val="single" w:color="auto" w:sz="4" w:space="0"/>
              <w:right w:val="single" w:color="auto" w:sz="4" w:space="0"/>
            </w:tcBorders>
            <w:noWrap w:val="0"/>
            <w:vAlign w:val="center"/>
          </w:tcPr>
          <w:p w14:paraId="6630555F">
            <w:pPr>
              <w:snapToGrid w:val="0"/>
              <w:jc w:val="center"/>
              <w:rPr>
                <w:rFonts w:hint="eastAsia" w:ascii="Times New Roman" w:hAnsi="Times New Roman" w:eastAsia="仿宋_GB2312"/>
                <w:color w:val="auto"/>
                <w:sz w:val="24"/>
                <w:lang w:eastAsia="zh-CN"/>
              </w:rPr>
            </w:pPr>
            <w:r>
              <w:rPr>
                <w:rFonts w:hint="default" w:ascii="Times New Roman" w:hAnsi="Times New Roman" w:eastAsia="仿宋_GB2312"/>
                <w:color w:val="auto"/>
                <w:sz w:val="24"/>
                <w:lang w:val="en-US" w:eastAsia="zh-CN"/>
              </w:rPr>
              <w:t>6</w:t>
            </w:r>
          </w:p>
        </w:tc>
        <w:tc>
          <w:tcPr>
            <w:tcW w:w="719" w:type="pct"/>
            <w:tcBorders>
              <w:top w:val="single" w:color="auto" w:sz="4" w:space="0"/>
              <w:left w:val="single" w:color="auto" w:sz="4" w:space="0"/>
              <w:right w:val="single" w:color="auto" w:sz="4" w:space="0"/>
            </w:tcBorders>
            <w:noWrap w:val="0"/>
            <w:vAlign w:val="center"/>
          </w:tcPr>
          <w:p w14:paraId="1278CE16">
            <w:pPr>
              <w:snapToGrid w:val="0"/>
              <w:jc w:val="center"/>
              <w:rPr>
                <w:rFonts w:ascii="Times New Roman" w:hAnsi="Times New Roman" w:eastAsia="仿宋_GB2312"/>
                <w:color w:val="auto"/>
                <w:sz w:val="24"/>
              </w:rPr>
            </w:pPr>
            <w:r>
              <w:rPr>
                <w:rFonts w:ascii="Times New Roman" w:hAnsi="Times New Roman" w:eastAsia="仿宋_GB2312"/>
                <w:color w:val="auto"/>
                <w:sz w:val="24"/>
              </w:rPr>
              <w:t>价格评分</w:t>
            </w:r>
          </w:p>
        </w:tc>
        <w:tc>
          <w:tcPr>
            <w:tcW w:w="583" w:type="pct"/>
            <w:tcBorders>
              <w:top w:val="single" w:color="auto" w:sz="4" w:space="0"/>
              <w:left w:val="single" w:color="auto" w:sz="4" w:space="0"/>
              <w:right w:val="single" w:color="auto" w:sz="4" w:space="0"/>
            </w:tcBorders>
            <w:noWrap w:val="0"/>
            <w:vAlign w:val="center"/>
          </w:tcPr>
          <w:p w14:paraId="1D946959">
            <w:pPr>
              <w:snapToGrid w:val="0"/>
              <w:jc w:val="center"/>
              <w:rPr>
                <w:rFonts w:ascii="Times New Roman" w:hAnsi="Times New Roman" w:eastAsia="仿宋_GB2312"/>
                <w:color w:val="auto"/>
                <w:sz w:val="24"/>
              </w:rPr>
            </w:pPr>
            <w:r>
              <w:rPr>
                <w:rFonts w:ascii="Times New Roman" w:hAnsi="Times New Roman" w:eastAsia="仿宋_GB2312"/>
                <w:color w:val="auto"/>
                <w:sz w:val="24"/>
              </w:rPr>
              <w:t>1</w:t>
            </w:r>
            <w:r>
              <w:rPr>
                <w:rFonts w:hint="default" w:ascii="Times New Roman" w:hAnsi="Times New Roman" w:eastAsia="仿宋_GB2312"/>
                <w:color w:val="auto"/>
                <w:sz w:val="24"/>
                <w:lang w:val="en-US" w:eastAsia="zh-CN"/>
              </w:rPr>
              <w:t>5</w:t>
            </w:r>
            <w:r>
              <w:rPr>
                <w:rFonts w:ascii="Times New Roman" w:hAnsi="Times New Roman" w:eastAsia="仿宋_GB2312"/>
                <w:color w:val="auto"/>
                <w:sz w:val="24"/>
              </w:rPr>
              <w:t>分</w:t>
            </w:r>
          </w:p>
        </w:tc>
        <w:tc>
          <w:tcPr>
            <w:tcW w:w="3304" w:type="pct"/>
            <w:tcBorders>
              <w:top w:val="single" w:color="auto" w:sz="4" w:space="0"/>
              <w:left w:val="single" w:color="auto" w:sz="4" w:space="0"/>
              <w:right w:val="single" w:color="auto" w:sz="4" w:space="0"/>
            </w:tcBorders>
            <w:noWrap w:val="0"/>
            <w:vAlign w:val="center"/>
          </w:tcPr>
          <w:p w14:paraId="7B042710">
            <w:pPr>
              <w:snapToGrid w:val="0"/>
              <w:jc w:val="both"/>
              <w:rPr>
                <w:rFonts w:hint="eastAsia" w:ascii="Times New Roman" w:hAnsi="Times New Roman" w:eastAsia="仿宋_GB2312"/>
                <w:color w:val="auto"/>
                <w:sz w:val="24"/>
              </w:rPr>
            </w:pPr>
            <w:r>
              <w:rPr>
                <w:rFonts w:ascii="Times New Roman" w:hAnsi="Times New Roman" w:eastAsia="仿宋_GB2312"/>
                <w:color w:val="auto"/>
                <w:sz w:val="24"/>
              </w:rPr>
              <w:t>取满足采购文件要求且价格扣除后的最低投标报价作为评标基准价，其价格分为满分。其他供应商的价格分统一按照下列公式计算：价格扣除后的投标报价得分=（评标基准价/价格扣除后的投标报价）×1</w:t>
            </w:r>
            <w:r>
              <w:rPr>
                <w:rFonts w:hint="default" w:ascii="Times New Roman" w:hAnsi="Times New Roman" w:eastAsia="仿宋_GB2312"/>
                <w:color w:val="auto"/>
                <w:sz w:val="24"/>
              </w:rPr>
              <w:t>0</w:t>
            </w:r>
          </w:p>
          <w:p w14:paraId="13A643DD">
            <w:pPr>
              <w:snapToGrid w:val="0"/>
              <w:jc w:val="both"/>
              <w:rPr>
                <w:rFonts w:ascii="Times New Roman" w:hAnsi="Times New Roman"/>
                <w:color w:val="auto"/>
                <w:sz w:val="24"/>
              </w:rPr>
            </w:pPr>
            <w:r>
              <w:rPr>
                <w:rFonts w:hint="default" w:ascii="Times New Roman" w:hAnsi="Times New Roman" w:eastAsia="仿宋_GB2312"/>
                <w:color w:val="auto"/>
                <w:sz w:val="24"/>
              </w:rPr>
              <w:t>【</w:t>
            </w:r>
            <w:r>
              <w:rPr>
                <w:rFonts w:ascii="Times New Roman" w:hAnsi="Times New Roman" w:eastAsia="仿宋_GB2312"/>
                <w:color w:val="auto"/>
                <w:sz w:val="24"/>
              </w:rPr>
              <w:t>注：对符合规定的小型和微型企业（监狱企业、残疾人福利单位视同小型、微型企业）报价给予15%的价格扣除</w:t>
            </w:r>
            <w:r>
              <w:rPr>
                <w:rFonts w:hint="default" w:ascii="Times New Roman" w:hAnsi="Times New Roman" w:eastAsia="仿宋_GB2312"/>
                <w:color w:val="auto"/>
                <w:sz w:val="24"/>
              </w:rPr>
              <w:t>】</w:t>
            </w:r>
          </w:p>
        </w:tc>
      </w:tr>
    </w:tbl>
    <w:p w14:paraId="313FEE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方正大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4378B"/>
    <w:rsid w:val="1CA43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2025-06-23T09:42:00Z</dcterms:created>
  <dc:creator>李耀明</dc:creator>
  <cp:lastModifiedBy>李耀明</cp:lastModifiedBy>
  <dcterms:modified xsi:type="dcterms:W3CDTF">2025-06-23T09:42:39Z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1778CAA1510847A98B14A7C3EA35E472_11</vt:lpwstr>
  </property>
  <property fmtid="{D5CDD505-2E9C-101B-9397-08002B2CF9AE}" pid="4" name="KSOTemplateDocerSaveRecord">
    <vt:lpwstr>eyJoZGlkIjoiMDM3NGU3YmU1ODYyYjdmN2E3ZWRhMmM0MjY3M2IwZTIifQ==</vt:lpwstr>
  </property>
</Properties>
</file>