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eastAsia="方正小标宋简体"/>
          <w:b/>
          <w:sz w:val="36"/>
          <w:szCs w:val="36"/>
        </w:rPr>
      </w:pPr>
      <w:r>
        <w:rPr>
          <w:rFonts w:hint="eastAsia" w:ascii="方正小标宋简体" w:hAnsi="华文仿宋" w:eastAsia="方正小标宋简体"/>
          <w:b/>
          <w:sz w:val="36"/>
          <w:szCs w:val="36"/>
        </w:rPr>
        <w:t>江门市公路事务中心采购公务用车定点维修和保养服务供应商综合评分标准</w:t>
      </w:r>
    </w:p>
    <w:p>
      <w:pPr>
        <w:pStyle w:val="3"/>
        <w:rPr>
          <w:rFonts w:hAnsi="宋体" w:cs="宋体"/>
        </w:rPr>
      </w:pPr>
    </w:p>
    <w:p>
      <w:pPr>
        <w:spacing w:line="360" w:lineRule="auto"/>
        <w:ind w:firstLine="480" w:firstLineChars="200"/>
        <w:rPr>
          <w:rFonts w:ascii="宋体" w:hAnsi="宋体" w:eastAsia="宋体" w:cs="宋体"/>
          <w:sz w:val="24"/>
        </w:rPr>
      </w:pPr>
      <w:r>
        <w:rPr>
          <w:rFonts w:hint="eastAsia" w:ascii="宋体" w:hAnsi="宋体" w:eastAsia="宋体" w:cs="宋体"/>
          <w:sz w:val="24"/>
        </w:rPr>
        <w:t>一、评分选取方式</w:t>
      </w:r>
    </w:p>
    <w:p>
      <w:pPr>
        <w:spacing w:line="360" w:lineRule="auto"/>
        <w:ind w:firstLine="480" w:firstLineChars="200"/>
        <w:rPr>
          <w:rFonts w:ascii="宋体" w:hAnsi="宋体" w:eastAsia="宋体" w:cs="宋体"/>
          <w:sz w:val="24"/>
        </w:rPr>
      </w:pPr>
      <w:r>
        <w:rPr>
          <w:rFonts w:hint="eastAsia" w:ascii="宋体" w:hAnsi="宋体" w:eastAsia="宋体" w:cs="宋体"/>
          <w:sz w:val="24"/>
        </w:rPr>
        <w:t>本次采购公务用车定点维修和保养服务供应商采用【综合选取】的方式确定中选机构。评分小组先对报名的服务供应商进行初步评审；然后对满足初步评审要求的服务供应商，按照详细评审规定的评分标准进行打分。</w:t>
      </w:r>
    </w:p>
    <w:p>
      <w:pPr>
        <w:spacing w:line="360" w:lineRule="auto"/>
        <w:ind w:firstLine="480" w:firstLineChars="200"/>
        <w:rPr>
          <w:rFonts w:ascii="宋体" w:hAnsi="宋体" w:eastAsia="宋体" w:cs="宋体"/>
          <w:sz w:val="24"/>
        </w:rPr>
      </w:pPr>
      <w:r>
        <w:rPr>
          <w:rFonts w:hint="eastAsia" w:ascii="宋体" w:hAnsi="宋体" w:eastAsia="宋体" w:cs="宋体"/>
          <w:sz w:val="24"/>
        </w:rPr>
        <w:t>评分小组成员对服务供应商的详细评审各评审因素进行评分，计算出各评审因素的算术平均值后合计总和作为该服务供应商的得分，并按得分由高到低顺序推荐服务供应商。</w:t>
      </w:r>
    </w:p>
    <w:p>
      <w:pPr>
        <w:spacing w:line="360" w:lineRule="auto"/>
        <w:ind w:firstLine="480" w:firstLineChars="200"/>
        <w:rPr>
          <w:rFonts w:ascii="宋体" w:hAnsi="宋体" w:eastAsia="宋体" w:cs="宋体"/>
          <w:sz w:val="24"/>
        </w:rPr>
      </w:pPr>
      <w:r>
        <w:rPr>
          <w:rFonts w:hint="eastAsia" w:ascii="宋体" w:hAnsi="宋体" w:eastAsia="宋体"/>
          <w:sz w:val="24"/>
        </w:rPr>
        <w:t>如有两家或以上服务供应商的综合得分相同且得分均为最高，</w:t>
      </w:r>
      <w:r>
        <w:rPr>
          <w:rFonts w:hint="eastAsia" w:ascii="宋体" w:hAnsi="宋体" w:eastAsia="宋体" w:cs="宋体"/>
          <w:sz w:val="24"/>
        </w:rPr>
        <w:t>评分小组视服务供应商的情况综合比较，投票确定其名次。</w:t>
      </w:r>
    </w:p>
    <w:p>
      <w:pPr>
        <w:spacing w:line="360" w:lineRule="auto"/>
        <w:ind w:firstLine="480" w:firstLineChars="200"/>
        <w:rPr>
          <w:rFonts w:ascii="宋体" w:hAnsi="宋体" w:eastAsia="宋体"/>
          <w:sz w:val="24"/>
        </w:rPr>
      </w:pPr>
      <w:r>
        <w:rPr>
          <w:rFonts w:hint="eastAsia" w:ascii="宋体" w:hAnsi="宋体" w:eastAsia="宋体" w:cs="宋体"/>
          <w:sz w:val="24"/>
        </w:rPr>
        <w:t>二、初步评审</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809" w:type="dxa"/>
            <w:shd w:val="clear" w:color="auto" w:fill="auto"/>
            <w:vAlign w:val="center"/>
          </w:tcPr>
          <w:p>
            <w:pPr>
              <w:spacing w:line="360" w:lineRule="auto"/>
              <w:jc w:val="center"/>
              <w:rPr>
                <w:rFonts w:ascii="宋体" w:hAnsi="宋体" w:eastAsia="宋体" w:cs="宋体"/>
                <w:b/>
                <w:sz w:val="24"/>
              </w:rPr>
            </w:pPr>
            <w:r>
              <w:rPr>
                <w:rFonts w:hint="eastAsia" w:ascii="宋体" w:hAnsi="宋体" w:eastAsia="宋体" w:cs="宋体"/>
                <w:b/>
                <w:sz w:val="24"/>
              </w:rPr>
              <w:t>评审因素</w:t>
            </w:r>
          </w:p>
        </w:tc>
        <w:tc>
          <w:tcPr>
            <w:tcW w:w="6713" w:type="dxa"/>
            <w:shd w:val="clear" w:color="auto" w:fill="auto"/>
            <w:vAlign w:val="center"/>
          </w:tcPr>
          <w:p>
            <w:pPr>
              <w:spacing w:line="360" w:lineRule="auto"/>
              <w:jc w:val="center"/>
              <w:rPr>
                <w:rFonts w:ascii="宋体" w:hAnsi="宋体" w:eastAsia="宋体" w:cs="宋体"/>
                <w:b/>
                <w:sz w:val="24"/>
              </w:rPr>
            </w:pPr>
            <w:r>
              <w:rPr>
                <w:rFonts w:hint="eastAsia" w:ascii="宋体" w:hAnsi="宋体" w:eastAsia="宋体" w:cs="宋体"/>
                <w:b/>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809" w:type="dxa"/>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rPr>
              <w:t>资质</w:t>
            </w:r>
          </w:p>
        </w:tc>
        <w:tc>
          <w:tcPr>
            <w:tcW w:w="6713" w:type="dxa"/>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rPr>
              <w:t>（1）在中华人民共和国境内依法注册的具有合法经营资格的独立法人；</w:t>
            </w:r>
          </w:p>
          <w:p>
            <w:pPr>
              <w:spacing w:line="360" w:lineRule="auto"/>
              <w:rPr>
                <w:rFonts w:ascii="宋体" w:hAnsi="宋体" w:eastAsia="宋体" w:cs="宋体"/>
                <w:sz w:val="24"/>
              </w:rPr>
            </w:pPr>
            <w:r>
              <w:rPr>
                <w:rFonts w:hint="eastAsia" w:ascii="宋体" w:hAnsi="宋体" w:eastAsia="宋体" w:cs="宋体"/>
                <w:sz w:val="24"/>
              </w:rPr>
              <w:t>（2）具备相应行业资质；</w:t>
            </w:r>
          </w:p>
          <w:p>
            <w:pPr>
              <w:spacing w:line="360" w:lineRule="auto"/>
              <w:rPr>
                <w:rFonts w:ascii="宋体" w:hAnsi="宋体" w:eastAsia="宋体" w:cs="宋体"/>
                <w:sz w:val="24"/>
              </w:rPr>
            </w:pPr>
            <w:r>
              <w:rPr>
                <w:rFonts w:hint="eastAsia" w:ascii="宋体" w:hAnsi="宋体" w:eastAsia="宋体" w:cs="宋体"/>
                <w:sz w:val="24"/>
              </w:rPr>
              <w:t>（3）不属于回避单位。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1809" w:type="dxa"/>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rPr>
              <w:t>信用</w:t>
            </w:r>
          </w:p>
        </w:tc>
        <w:tc>
          <w:tcPr>
            <w:tcW w:w="6713" w:type="dxa"/>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rPr>
              <w:t>（1）服务供应商在国家企业信用信息公示系统中未被列入严重违法失信企业名单；</w:t>
            </w:r>
          </w:p>
          <w:p>
            <w:pPr>
              <w:spacing w:line="360" w:lineRule="auto"/>
              <w:rPr>
                <w:rFonts w:ascii="宋体" w:hAnsi="宋体" w:eastAsia="宋体" w:cs="宋体"/>
                <w:sz w:val="24"/>
              </w:rPr>
            </w:pPr>
            <w:r>
              <w:rPr>
                <w:rFonts w:hint="eastAsia" w:ascii="宋体" w:hAnsi="宋体" w:eastAsia="宋体" w:cs="宋体"/>
                <w:sz w:val="24"/>
              </w:rPr>
              <w:t>（2）在“信用中国”网站或地方信用网站的信用信息报告无不良记录。</w:t>
            </w:r>
          </w:p>
          <w:p>
            <w:pPr>
              <w:spacing w:line="360" w:lineRule="auto"/>
              <w:rPr>
                <w:rFonts w:ascii="宋体" w:hAnsi="宋体" w:eastAsia="宋体"/>
                <w:sz w:val="24"/>
              </w:rPr>
            </w:pPr>
            <w:r>
              <w:rPr>
                <w:rFonts w:hint="eastAsia" w:ascii="宋体" w:hAnsi="宋体" w:eastAsia="宋体" w:cs="宋体"/>
                <w:sz w:val="24"/>
              </w:rPr>
              <w:t>注：如服务供应商未提交上述证明材料，则由评选小组核查；如服务供应商为事业单位，无法提供国家企业信用信息公示系统截图，则视作通过。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809" w:type="dxa"/>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rPr>
              <w:t>报价</w:t>
            </w:r>
          </w:p>
        </w:tc>
        <w:tc>
          <w:tcPr>
            <w:tcW w:w="6713" w:type="dxa"/>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rPr>
              <w:t>工时费</w:t>
            </w:r>
            <w:r>
              <w:rPr>
                <w:rFonts w:ascii="宋体" w:hAnsi="宋体" w:eastAsia="宋体" w:cs="宋体"/>
                <w:sz w:val="24"/>
              </w:rPr>
              <w:t>报价</w:t>
            </w:r>
            <w:r>
              <w:rPr>
                <w:rFonts w:hint="eastAsia" w:ascii="宋体" w:hAnsi="宋体" w:eastAsia="宋体" w:cs="宋体"/>
                <w:sz w:val="24"/>
              </w:rPr>
              <w:t>金额须在江门市交通运输行业协会公布价格范围内</w:t>
            </w:r>
            <w:r>
              <w:rPr>
                <w:rFonts w:ascii="宋体" w:hAnsi="宋体" w:eastAsia="宋体" w:cs="宋体"/>
                <w:sz w:val="24"/>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rPr>
      </w:pPr>
      <w:r>
        <w:rPr>
          <w:rFonts w:hint="eastAsia" w:ascii="宋体" w:hAnsi="宋体" w:eastAsia="宋体" w:cs="宋体"/>
          <w:sz w:val="24"/>
        </w:rPr>
        <w:t>三、详细评审</w:t>
      </w:r>
    </w:p>
    <w:tbl>
      <w:tblPr>
        <w:tblStyle w:val="7"/>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551"/>
        <w:gridCol w:w="5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171" w:type="dxa"/>
            <w:gridSpan w:val="2"/>
            <w:vAlign w:val="center"/>
          </w:tcPr>
          <w:p>
            <w:pPr>
              <w:spacing w:line="276" w:lineRule="auto"/>
              <w:jc w:val="center"/>
              <w:rPr>
                <w:rFonts w:ascii="宋体" w:hAnsi="宋体" w:eastAsia="宋体" w:cs="宋体"/>
                <w:b/>
                <w:sz w:val="24"/>
              </w:rPr>
            </w:pPr>
            <w:r>
              <w:rPr>
                <w:rFonts w:ascii="宋体" w:hAnsi="宋体" w:eastAsia="宋体"/>
                <w:sz w:val="24"/>
              </w:rPr>
              <w:br w:type="page"/>
            </w:r>
            <w:r>
              <w:rPr>
                <w:rFonts w:hint="eastAsia" w:ascii="宋体" w:hAnsi="宋体" w:eastAsia="宋体" w:cs="宋体"/>
                <w:b/>
                <w:sz w:val="24"/>
              </w:rPr>
              <w:t>评审因素与评分值</w:t>
            </w:r>
          </w:p>
        </w:tc>
        <w:tc>
          <w:tcPr>
            <w:tcW w:w="5389" w:type="dxa"/>
            <w:vMerge w:val="restart"/>
            <w:vAlign w:val="center"/>
          </w:tcPr>
          <w:p>
            <w:pPr>
              <w:spacing w:line="276" w:lineRule="auto"/>
              <w:jc w:val="center"/>
              <w:rPr>
                <w:rFonts w:ascii="宋体" w:hAnsi="宋体" w:eastAsia="宋体" w:cs="宋体"/>
                <w:sz w:val="24"/>
              </w:rPr>
            </w:pPr>
            <w:r>
              <w:rPr>
                <w:rFonts w:hint="eastAsia" w:ascii="宋体" w:hAnsi="宋体" w:eastAsia="宋体" w:cs="宋体"/>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20" w:type="dxa"/>
            <w:vAlign w:val="center"/>
          </w:tcPr>
          <w:p>
            <w:pPr>
              <w:spacing w:line="276" w:lineRule="auto"/>
              <w:jc w:val="center"/>
              <w:rPr>
                <w:rFonts w:ascii="宋体" w:hAnsi="宋体" w:eastAsia="宋体" w:cs="宋体"/>
                <w:sz w:val="24"/>
              </w:rPr>
            </w:pPr>
            <w:r>
              <w:rPr>
                <w:rFonts w:hint="eastAsia" w:ascii="宋体" w:hAnsi="宋体" w:eastAsia="宋体" w:cs="宋体"/>
                <w:b/>
                <w:sz w:val="24"/>
              </w:rPr>
              <w:t>评审因素</w:t>
            </w:r>
          </w:p>
        </w:tc>
        <w:tc>
          <w:tcPr>
            <w:tcW w:w="2551" w:type="dxa"/>
            <w:vAlign w:val="center"/>
          </w:tcPr>
          <w:p>
            <w:pPr>
              <w:spacing w:line="276" w:lineRule="auto"/>
              <w:jc w:val="center"/>
              <w:rPr>
                <w:rFonts w:ascii="宋体" w:hAnsi="宋体" w:eastAsia="宋体" w:cs="宋体"/>
                <w:sz w:val="24"/>
              </w:rPr>
            </w:pPr>
            <w:r>
              <w:rPr>
                <w:rFonts w:hint="eastAsia" w:ascii="宋体" w:hAnsi="宋体" w:eastAsia="宋体" w:cs="宋体"/>
                <w:b/>
                <w:sz w:val="24"/>
              </w:rPr>
              <w:t>分值</w:t>
            </w:r>
          </w:p>
        </w:tc>
        <w:tc>
          <w:tcPr>
            <w:tcW w:w="5389" w:type="dxa"/>
            <w:vMerge w:val="continue"/>
            <w:vAlign w:val="center"/>
          </w:tcPr>
          <w:p>
            <w:pPr>
              <w:spacing w:line="276"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1620" w:type="dxa"/>
            <w:vAlign w:val="center"/>
          </w:tcPr>
          <w:p>
            <w:pPr>
              <w:spacing w:line="276" w:lineRule="auto"/>
              <w:jc w:val="center"/>
              <w:rPr>
                <w:rFonts w:cs="宋体"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2551" w:type="dxa"/>
            <w:vAlign w:val="center"/>
          </w:tcPr>
          <w:p>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5389"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投标人具有一类汽车维修经营许可得10分；具有二类汽车维修经营许可得8分；（提供有效</w:t>
            </w:r>
            <w:r>
              <w:rPr>
                <w:rFonts w:hint="eastAsia" w:asciiTheme="minorEastAsia" w:hAnsiTheme="minorEastAsia" w:eastAsiaTheme="minorEastAsia"/>
                <w:bCs/>
                <w:sz w:val="24"/>
              </w:rPr>
              <w:t>道路运输经营许可证</w:t>
            </w:r>
            <w:r>
              <w:rPr>
                <w:rFonts w:hint="eastAsia" w:asciiTheme="minorEastAsia" w:hAnsiTheme="minorEastAsia" w:eastAsiaTheme="minorEastAsia"/>
                <w:sz w:val="24"/>
              </w:rPr>
              <w:t>或有效的机动车维修备案证明扫描件加盖公章）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1620" w:type="dxa"/>
            <w:vAlign w:val="center"/>
          </w:tcPr>
          <w:p>
            <w:pPr>
              <w:spacing w:line="276" w:lineRule="auto"/>
              <w:jc w:val="center"/>
              <w:rPr>
                <w:rFonts w:cs="宋体" w:asciiTheme="minorEastAsia" w:hAnsiTheme="minorEastAsia" w:eastAsiaTheme="minorEastAsia"/>
                <w:sz w:val="24"/>
              </w:rPr>
            </w:pPr>
            <w:r>
              <w:rPr>
                <w:rFonts w:hint="eastAsia" w:cs="仿宋_GB2312" w:asciiTheme="minorEastAsia" w:hAnsiTheme="minorEastAsia" w:eastAsiaTheme="minorEastAsia"/>
                <w:sz w:val="24"/>
              </w:rPr>
              <w:t>服务承诺</w:t>
            </w:r>
          </w:p>
        </w:tc>
        <w:tc>
          <w:tcPr>
            <w:tcW w:w="2551" w:type="dxa"/>
            <w:vAlign w:val="center"/>
          </w:tcPr>
          <w:p>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5389"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提供招标单位车辆24小时免费施救服务</w:t>
            </w:r>
            <w:r>
              <w:rPr>
                <w:rFonts w:hint="eastAsia" w:ascii="宋体" w:hAnsi="宋体" w:cs="Helvetica"/>
                <w:color w:val="000000"/>
                <w:kern w:val="0"/>
                <w:sz w:val="24"/>
              </w:rPr>
              <w:t>且响应时间迅速，0.5小时内响应可得10分，1小时内响应可得8分，1.5小时内响应可得6分，2小时内响应可得4分，超2小时响应不得分</w:t>
            </w:r>
            <w:r>
              <w:rPr>
                <w:rFonts w:hint="eastAsia" w:asciiTheme="minorEastAsia" w:hAnsiTheme="minorEastAsia" w:eastAsiaTheme="minorEastAsia"/>
                <w:sz w:val="24"/>
              </w:rPr>
              <w:t>；（1.免费对来厂维修车辆提供清洗服务；2.对来厂保养维修的车辆提供免费车况性能检查服务；3.需提供书面服务承诺并加盖公章）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1620" w:type="dxa"/>
            <w:vAlign w:val="center"/>
          </w:tcPr>
          <w:p>
            <w:pPr>
              <w:spacing w:line="276" w:lineRule="auto"/>
              <w:jc w:val="center"/>
              <w:rPr>
                <w:rFonts w:cs="宋体" w:asciiTheme="minorEastAsia" w:hAnsiTheme="minorEastAsia" w:eastAsiaTheme="minorEastAsia"/>
                <w:sz w:val="24"/>
              </w:rPr>
            </w:pPr>
            <w:r>
              <w:rPr>
                <w:rFonts w:hint="eastAsia" w:cs="仿宋" w:asciiTheme="minorEastAsia" w:hAnsiTheme="minorEastAsia" w:eastAsiaTheme="minorEastAsia"/>
                <w:sz w:val="24"/>
              </w:rPr>
              <w:t>维修人员资质情况</w:t>
            </w:r>
          </w:p>
        </w:tc>
        <w:tc>
          <w:tcPr>
            <w:tcW w:w="2551" w:type="dxa"/>
            <w:vAlign w:val="center"/>
          </w:tcPr>
          <w:p>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20</w:t>
            </w:r>
          </w:p>
        </w:tc>
        <w:tc>
          <w:tcPr>
            <w:tcW w:w="5389"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1.维修人员资质具有车辆维修高级技师证书的，每具有一名得5分，最高可得5分；2.具有车辆维修技师的，每具有一名得2分，最高可得10分；3.具有高级修理工的，每具有一名得1分，最高可得5分。同一人不累计加分，本项满分20分，最高得20分。项目组维修成员必须为投标企业在职职工（不包括离退休返聘人员），须提供近3个月的投标人注册地所属社保机构养老保险交纳清单或证明为准（缴费单位和投标人名称必须一致，并加盖投标人注册地社保机构缴费证明专用章的原件）</w:t>
            </w:r>
          </w:p>
          <w:p>
            <w:pPr>
              <w:rPr>
                <w:rFonts w:asciiTheme="minorEastAsia" w:hAnsiTheme="minorEastAsia" w:eastAsiaTheme="minorEastAsia"/>
                <w:sz w:val="24"/>
              </w:rPr>
            </w:pPr>
            <w:r>
              <w:rPr>
                <w:rFonts w:hint="eastAsia" w:cs="仿宋_GB2312" w:asciiTheme="minorEastAsia" w:hAnsiTheme="minorEastAsia" w:eastAsiaTheme="minorEastAsia"/>
                <w:sz w:val="24"/>
              </w:rPr>
              <w:t>需要递交的证明资料：须提供项目组维修成员证书复印件加盖公章、社保证明原件的电子扫描件。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620" w:type="dxa"/>
            <w:vAlign w:val="center"/>
          </w:tcPr>
          <w:p>
            <w:pPr>
              <w:spacing w:line="276" w:lineRule="auto"/>
              <w:jc w:val="center"/>
              <w:rPr>
                <w:rFonts w:cs="宋体" w:asciiTheme="minorEastAsia" w:hAnsiTheme="minorEastAsia" w:eastAsiaTheme="minorEastAsia"/>
                <w:sz w:val="24"/>
              </w:rPr>
            </w:pPr>
            <w:r>
              <w:rPr>
                <w:rFonts w:hint="eastAsia" w:cs="仿宋" w:asciiTheme="minorEastAsia" w:hAnsiTheme="minorEastAsia" w:eastAsiaTheme="minorEastAsia"/>
                <w:sz w:val="24"/>
              </w:rPr>
              <w:t>场地设施条件</w:t>
            </w:r>
          </w:p>
        </w:tc>
        <w:tc>
          <w:tcPr>
            <w:tcW w:w="2551" w:type="dxa"/>
            <w:vAlign w:val="center"/>
          </w:tcPr>
          <w:p>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5389" w:type="dxa"/>
            <w:vAlign w:val="center"/>
          </w:tcPr>
          <w:p>
            <w:pPr>
              <w:rPr>
                <w:rFonts w:cs="仿宋" w:asciiTheme="minorEastAsia" w:hAnsiTheme="minorEastAsia" w:eastAsiaTheme="minorEastAsia"/>
                <w:sz w:val="24"/>
                <w:lang w:val="zh-CN"/>
              </w:rPr>
            </w:pPr>
            <w:r>
              <w:rPr>
                <w:rFonts w:hint="eastAsia" w:cs="仿宋_GB2312" w:asciiTheme="minorEastAsia" w:hAnsiTheme="minorEastAsia" w:eastAsiaTheme="minorEastAsia"/>
                <w:sz w:val="24"/>
              </w:rPr>
              <w:t>投标人具有自有或租赁房产作为维修场所，由评分员对维修用房、办公用房面积等进行综合评分,投标人使用场所面积最大可得5分，面积第二可得4分，面积第三可得3分，如此类推。（投标文件中提供房产证或租房合同复印件、并需提供营业场所真实照片等相关证明材料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jc w:val="center"/>
        </w:trPr>
        <w:tc>
          <w:tcPr>
            <w:tcW w:w="1620" w:type="dxa"/>
            <w:vAlign w:val="center"/>
          </w:tcPr>
          <w:p>
            <w:pPr>
              <w:spacing w:line="276" w:lineRule="auto"/>
              <w:jc w:val="center"/>
              <w:rPr>
                <w:rFonts w:cs="宋体" w:asciiTheme="minorEastAsia" w:hAnsiTheme="minorEastAsia" w:eastAsiaTheme="minorEastAsia"/>
                <w:sz w:val="24"/>
              </w:rPr>
            </w:pPr>
            <w:r>
              <w:rPr>
                <w:rFonts w:hint="eastAsia" w:cs="仿宋_GB2312" w:asciiTheme="minorEastAsia" w:hAnsiTheme="minorEastAsia" w:eastAsiaTheme="minorEastAsia"/>
                <w:sz w:val="24"/>
              </w:rPr>
              <w:t>企业业绩</w:t>
            </w:r>
          </w:p>
        </w:tc>
        <w:tc>
          <w:tcPr>
            <w:tcW w:w="2551" w:type="dxa"/>
            <w:vAlign w:val="center"/>
          </w:tcPr>
          <w:p>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5389" w:type="dxa"/>
            <w:vAlign w:val="center"/>
          </w:tcPr>
          <w:p>
            <w:pPr>
              <w:rPr>
                <w:rFonts w:asciiTheme="minorEastAsia" w:hAnsiTheme="minorEastAsia" w:eastAsiaTheme="minorEastAsia"/>
                <w:sz w:val="24"/>
                <w:lang w:val="zh-CN"/>
              </w:rPr>
            </w:pPr>
            <w:r>
              <w:rPr>
                <w:rFonts w:cs="仿宋_GB2312" w:asciiTheme="minorEastAsia" w:hAnsiTheme="minorEastAsia" w:eastAsiaTheme="minorEastAsia"/>
                <w:sz w:val="24"/>
              </w:rPr>
              <w:t>投标人自20</w:t>
            </w:r>
            <w:r>
              <w:rPr>
                <w:rFonts w:hint="eastAsia" w:cs="仿宋_GB2312" w:asciiTheme="minorEastAsia" w:hAnsiTheme="minorEastAsia" w:eastAsiaTheme="minorEastAsia"/>
                <w:sz w:val="24"/>
              </w:rPr>
              <w:t>2</w:t>
            </w:r>
            <w:r>
              <w:rPr>
                <w:rFonts w:hint="eastAsia" w:cs="仿宋_GB2312" w:asciiTheme="minorEastAsia" w:hAnsiTheme="minorEastAsia" w:eastAsiaTheme="minorEastAsia"/>
                <w:sz w:val="24"/>
                <w:lang w:val="en-US" w:eastAsia="zh-CN"/>
              </w:rPr>
              <w:t>2</w:t>
            </w:r>
            <w:r>
              <w:rPr>
                <w:rFonts w:cs="仿宋_GB2312" w:asciiTheme="minorEastAsia" w:hAnsiTheme="minorEastAsia" w:eastAsiaTheme="minorEastAsia"/>
                <w:sz w:val="24"/>
              </w:rPr>
              <w:t>年1月1日起至今（以签订合同日期为准），承担过机关单位或事业单位或国企单位同类项目的业绩，每提供一个得</w:t>
            </w:r>
            <w:r>
              <w:rPr>
                <w:rFonts w:hint="eastAsia" w:cs="仿宋_GB2312" w:asciiTheme="minorEastAsia" w:hAnsiTheme="minorEastAsia" w:eastAsiaTheme="minorEastAsia"/>
                <w:sz w:val="24"/>
              </w:rPr>
              <w:t>1</w:t>
            </w:r>
            <w:r>
              <w:rPr>
                <w:rFonts w:cs="仿宋_GB2312" w:asciiTheme="minorEastAsia" w:hAnsiTheme="minorEastAsia" w:eastAsiaTheme="minorEastAsia"/>
                <w:sz w:val="24"/>
              </w:rPr>
              <w:t>分，最多得</w:t>
            </w:r>
            <w:r>
              <w:rPr>
                <w:rFonts w:hint="eastAsia" w:cs="仿宋_GB2312" w:asciiTheme="minorEastAsia" w:hAnsiTheme="minorEastAsia" w:eastAsiaTheme="minorEastAsia"/>
                <w:sz w:val="24"/>
              </w:rPr>
              <w:t>5</w:t>
            </w:r>
            <w:r>
              <w:rPr>
                <w:rFonts w:cs="仿宋_GB2312" w:asciiTheme="minorEastAsia" w:hAnsiTheme="minorEastAsia" w:eastAsiaTheme="minorEastAsia"/>
                <w:sz w:val="24"/>
              </w:rPr>
              <w:t>分。（提供合同复印件并加盖单位公章）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620" w:type="dxa"/>
            <w:vAlign w:val="center"/>
          </w:tcPr>
          <w:p>
            <w:pPr>
              <w:spacing w:line="276" w:lineRule="auto"/>
              <w:jc w:val="center"/>
              <w:rPr>
                <w:rFonts w:cs="宋体" w:asciiTheme="minorEastAsia" w:hAnsiTheme="minorEastAsia" w:eastAsiaTheme="minorEastAsia"/>
                <w:sz w:val="24"/>
              </w:rPr>
            </w:pPr>
            <w:r>
              <w:rPr>
                <w:rFonts w:hint="eastAsia" w:cs="仿宋" w:asciiTheme="minorEastAsia" w:hAnsiTheme="minorEastAsia" w:eastAsiaTheme="minorEastAsia"/>
                <w:sz w:val="24"/>
                <w:lang w:val="zh-CN"/>
              </w:rPr>
              <w:t>工时单价</w:t>
            </w:r>
          </w:p>
        </w:tc>
        <w:tc>
          <w:tcPr>
            <w:tcW w:w="2551" w:type="dxa"/>
            <w:vAlign w:val="center"/>
          </w:tcPr>
          <w:p>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40</w:t>
            </w:r>
          </w:p>
        </w:tc>
        <w:tc>
          <w:tcPr>
            <w:tcW w:w="5389" w:type="dxa"/>
            <w:vAlign w:val="center"/>
          </w:tcPr>
          <w:p>
            <w:pPr>
              <w:rPr>
                <w:rFonts w:cs="宋体" w:asciiTheme="minorEastAsia" w:hAnsiTheme="minorEastAsia" w:eastAsiaTheme="minorEastAsia"/>
                <w:sz w:val="24"/>
                <w:lang w:val="zh-CN"/>
              </w:rPr>
            </w:pPr>
            <w:r>
              <w:rPr>
                <w:rFonts w:hint="eastAsia" w:cs="仿宋" w:asciiTheme="minorEastAsia" w:hAnsiTheme="minorEastAsia" w:eastAsiaTheme="minorEastAsia"/>
                <w:sz w:val="24"/>
                <w:lang w:val="zh-CN"/>
              </w:rPr>
              <w:t>工时费报价得分，以投标价格最低的投标工时费为评标基准价,其价格分为满分</w:t>
            </w:r>
            <w:r>
              <w:rPr>
                <w:rFonts w:hint="eastAsia" w:cs="仿宋" w:asciiTheme="minorEastAsia" w:hAnsiTheme="minorEastAsia" w:eastAsiaTheme="minorEastAsia"/>
                <w:sz w:val="24"/>
              </w:rPr>
              <w:t>40</w:t>
            </w:r>
            <w:r>
              <w:rPr>
                <w:rFonts w:hint="eastAsia" w:cs="仿宋" w:asciiTheme="minorEastAsia" w:hAnsiTheme="minorEastAsia" w:eastAsiaTheme="minorEastAsia"/>
                <w:sz w:val="24"/>
                <w:lang w:val="zh-CN"/>
              </w:rPr>
              <w:t>分，</w:t>
            </w:r>
            <w:r>
              <w:rPr>
                <w:rFonts w:hint="eastAsia" w:cs="宋体" w:asciiTheme="minorEastAsia" w:hAnsiTheme="minorEastAsia" w:eastAsiaTheme="minorEastAsia"/>
                <w:spacing w:val="-12"/>
                <w:sz w:val="24"/>
              </w:rPr>
              <w:t>其它投标报价得分采用公式：报价得分=最低报价/投标报价*40，按此计算得出所有报价分值。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620" w:type="dxa"/>
            <w:vAlign w:val="center"/>
          </w:tcPr>
          <w:p>
            <w:pPr>
              <w:spacing w:line="276" w:lineRule="auto"/>
              <w:jc w:val="center"/>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附加管理费收费比率</w:t>
            </w:r>
          </w:p>
        </w:tc>
        <w:tc>
          <w:tcPr>
            <w:tcW w:w="2551" w:type="dxa"/>
            <w:vAlign w:val="center"/>
          </w:tcPr>
          <w:p>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5389" w:type="dxa"/>
            <w:vAlign w:val="center"/>
          </w:tcPr>
          <w:p>
            <w:pPr>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附加管理费报价得分，以投标价格最低的投标附加管理费为评标基准价,其价格分为满分</w:t>
            </w:r>
            <w:r>
              <w:rPr>
                <w:rFonts w:hint="eastAsia" w:cs="仿宋" w:asciiTheme="minorEastAsia" w:hAnsiTheme="minorEastAsia" w:eastAsiaTheme="minorEastAsia"/>
                <w:sz w:val="24"/>
              </w:rPr>
              <w:t>10</w:t>
            </w:r>
            <w:r>
              <w:rPr>
                <w:rFonts w:hint="eastAsia" w:cs="仿宋" w:asciiTheme="minorEastAsia" w:hAnsiTheme="minorEastAsia" w:eastAsiaTheme="minorEastAsia"/>
                <w:sz w:val="24"/>
                <w:lang w:val="zh-CN"/>
              </w:rPr>
              <w:t>分，</w:t>
            </w:r>
            <w:r>
              <w:rPr>
                <w:rFonts w:hint="eastAsia" w:cs="宋体" w:asciiTheme="minorEastAsia" w:hAnsiTheme="minorEastAsia" w:eastAsiaTheme="minorEastAsia"/>
                <w:spacing w:val="-12"/>
                <w:sz w:val="24"/>
              </w:rPr>
              <w:t>其它投标报价得分采用公式：报价得分=最低报价/投标报价*10，按此计算得出所有报价分值。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620" w:type="dxa"/>
            <w:vAlign w:val="center"/>
          </w:tcPr>
          <w:p>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合计</w:t>
            </w:r>
          </w:p>
        </w:tc>
        <w:tc>
          <w:tcPr>
            <w:tcW w:w="2551" w:type="dxa"/>
            <w:vAlign w:val="center"/>
          </w:tcPr>
          <w:p>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100</w:t>
            </w:r>
          </w:p>
        </w:tc>
        <w:tc>
          <w:tcPr>
            <w:tcW w:w="5389" w:type="dxa"/>
            <w:vAlign w:val="center"/>
          </w:tcPr>
          <w:p>
            <w:pPr>
              <w:spacing w:line="276" w:lineRule="auto"/>
              <w:rPr>
                <w:rFonts w:cs="宋体" w:asciiTheme="minorEastAsia" w:hAnsiTheme="minorEastAsia" w:eastAsiaTheme="minorEastAsia"/>
                <w:sz w:val="24"/>
                <w:lang w:val="zh-CN"/>
              </w:rPr>
            </w:pPr>
          </w:p>
        </w:tc>
      </w:tr>
    </w:tbl>
    <w:p>
      <w:pPr>
        <w:spacing w:line="500" w:lineRule="exact"/>
        <w:rPr>
          <w:rFonts w:asciiTheme="minorEastAsia" w:hAnsiTheme="minorEastAsia" w:eastAsiaTheme="minorEastAsia"/>
          <w:sz w:val="36"/>
          <w:szCs w:val="36"/>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470229"/>
    <w:rsid w:val="000265AB"/>
    <w:rsid w:val="00123BCF"/>
    <w:rsid w:val="0013246A"/>
    <w:rsid w:val="001677BA"/>
    <w:rsid w:val="001C7F5A"/>
    <w:rsid w:val="002A2B40"/>
    <w:rsid w:val="002B1176"/>
    <w:rsid w:val="002E7E52"/>
    <w:rsid w:val="00335720"/>
    <w:rsid w:val="00345C61"/>
    <w:rsid w:val="003714F7"/>
    <w:rsid w:val="003C5840"/>
    <w:rsid w:val="003C7167"/>
    <w:rsid w:val="003E0468"/>
    <w:rsid w:val="003E1BBD"/>
    <w:rsid w:val="004015EE"/>
    <w:rsid w:val="004100D0"/>
    <w:rsid w:val="00453422"/>
    <w:rsid w:val="00461DC9"/>
    <w:rsid w:val="00470229"/>
    <w:rsid w:val="00475426"/>
    <w:rsid w:val="00493BEE"/>
    <w:rsid w:val="004A1AA5"/>
    <w:rsid w:val="004E00FB"/>
    <w:rsid w:val="005019A2"/>
    <w:rsid w:val="00570FB9"/>
    <w:rsid w:val="005A53EA"/>
    <w:rsid w:val="00643C61"/>
    <w:rsid w:val="006C046D"/>
    <w:rsid w:val="006E3029"/>
    <w:rsid w:val="00717C9D"/>
    <w:rsid w:val="007607E7"/>
    <w:rsid w:val="0078489F"/>
    <w:rsid w:val="0082077C"/>
    <w:rsid w:val="008B4E78"/>
    <w:rsid w:val="008B60BD"/>
    <w:rsid w:val="008E0764"/>
    <w:rsid w:val="00937072"/>
    <w:rsid w:val="009441DA"/>
    <w:rsid w:val="00981447"/>
    <w:rsid w:val="00A07CBE"/>
    <w:rsid w:val="00A6282C"/>
    <w:rsid w:val="00B66194"/>
    <w:rsid w:val="00C01A5B"/>
    <w:rsid w:val="00C3771E"/>
    <w:rsid w:val="00CB098E"/>
    <w:rsid w:val="00CD261A"/>
    <w:rsid w:val="00CD51FD"/>
    <w:rsid w:val="00CE1485"/>
    <w:rsid w:val="00D25E62"/>
    <w:rsid w:val="00D3477B"/>
    <w:rsid w:val="00D83786"/>
    <w:rsid w:val="00D90599"/>
    <w:rsid w:val="00E01CF8"/>
    <w:rsid w:val="00E04518"/>
    <w:rsid w:val="00E436BB"/>
    <w:rsid w:val="00E51CC3"/>
    <w:rsid w:val="00E76782"/>
    <w:rsid w:val="00E96C49"/>
    <w:rsid w:val="00EC49C6"/>
    <w:rsid w:val="00EF6414"/>
    <w:rsid w:val="00F609B0"/>
    <w:rsid w:val="00FB5321"/>
    <w:rsid w:val="00FE11DE"/>
    <w:rsid w:val="5BE9F2F7"/>
    <w:rsid w:val="7FFFA5DA"/>
    <w:rsid w:val="CED5E937"/>
    <w:rsid w:val="FFE77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imes New Roman" w:hAnsi="Times New Roman" w:eastAsia="仿宋_GB2312" w:cs="Times New Roman"/>
      <w:kern w:val="2"/>
      <w:sz w:val="32"/>
      <w:szCs w:val="24"/>
      <w:lang w:val="en-US" w:eastAsia="zh-CN" w:bidi="ar-SA"/>
    </w:rPr>
  </w:style>
  <w:style w:type="paragraph" w:styleId="2">
    <w:name w:val="heading 6"/>
    <w:basedOn w:val="1"/>
    <w:next w:val="1"/>
    <w:link w:val="12"/>
    <w:qFormat/>
    <w:uiPriority w:val="0"/>
    <w:pPr>
      <w:keepNext/>
      <w:keepLines/>
      <w:tabs>
        <w:tab w:val="left" w:pos="1152"/>
      </w:tabs>
      <w:adjustRightInd w:val="0"/>
      <w:spacing w:before="240" w:after="64" w:line="320" w:lineRule="auto"/>
      <w:ind w:left="1152" w:hanging="1152"/>
      <w:outlineLvl w:val="5"/>
    </w:pPr>
    <w:rPr>
      <w:rFonts w:ascii="Arial" w:hAnsi="Arial" w:eastAsia="黑体"/>
      <w:b/>
      <w:bCs/>
      <w:sz w:val="24"/>
      <w:lang w:val="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qFormat/>
    <w:uiPriority w:val="0"/>
    <w:pPr>
      <w:adjustRightInd w:val="0"/>
      <w:spacing w:line="360" w:lineRule="atLeast"/>
      <w:jc w:val="left"/>
      <w:textAlignment w:val="baseline"/>
    </w:pPr>
    <w:rPr>
      <w:rFonts w:ascii="宋体" w:hAnsi="Courier New" w:eastAsia="宋体"/>
      <w:kern w:val="0"/>
      <w:sz w:val="20"/>
      <w:szCs w:val="20"/>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0"/>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纯文本 Char"/>
    <w:basedOn w:val="8"/>
    <w:link w:val="3"/>
    <w:qFormat/>
    <w:uiPriority w:val="0"/>
    <w:rPr>
      <w:rFonts w:ascii="宋体" w:hAnsi="Courier New" w:eastAsia="宋体" w:cs="Times New Roman"/>
      <w:kern w:val="0"/>
      <w:sz w:val="20"/>
      <w:szCs w:val="20"/>
    </w:rPr>
  </w:style>
  <w:style w:type="character" w:customStyle="1" w:styleId="12">
    <w:name w:val="标题 6 Char"/>
    <w:basedOn w:val="8"/>
    <w:link w:val="2"/>
    <w:qFormat/>
    <w:uiPriority w:val="0"/>
    <w:rPr>
      <w:rFonts w:ascii="Arial" w:hAnsi="Arial" w:eastAsia="黑体" w:cs="Times New Roman"/>
      <w:b/>
      <w:bCs/>
      <w:sz w:val="24"/>
      <w:szCs w:val="24"/>
      <w:lang w:val="zh-CN" w:eastAsia="zh-CN"/>
    </w:rPr>
  </w:style>
  <w:style w:type="paragraph" w:styleId="13">
    <w:name w:val="No Spacing"/>
    <w:qFormat/>
    <w:uiPriority w:val="1"/>
    <w:pPr>
      <w:widowControl w:val="0"/>
      <w:jc w:val="both"/>
    </w:pPr>
    <w:rPr>
      <w:rFonts w:ascii="Times New Roman" w:hAnsi="Times New Roman" w:eastAsia="仿宋_GB2312" w:cs="Times New Roman"/>
      <w:kern w:val="2"/>
      <w:sz w:val="32"/>
      <w:szCs w:val="24"/>
      <w:lang w:val="en-US" w:eastAsia="zh-CN" w:bidi="ar-SA"/>
    </w:rPr>
  </w:style>
  <w:style w:type="character" w:customStyle="1" w:styleId="14">
    <w:name w:val="批注框文本 Char"/>
    <w:basedOn w:val="8"/>
    <w:link w:val="4"/>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225</Words>
  <Characters>1289</Characters>
  <Lines>10</Lines>
  <Paragraphs>3</Paragraphs>
  <TotalTime>10</TotalTime>
  <ScaleCrop>false</ScaleCrop>
  <LinksUpToDate>false</LinksUpToDate>
  <CharactersWithSpaces>1511</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2024-07-11T10:02:00Z</dcterms:created>
  <dc:creator>何观凤</dc:creator>
  <cp:lastModifiedBy>uos</cp:lastModifiedBy>
  <cp:lastPrinted>2024-05-14T02:24:00Z</cp:lastPrinted>
  <dcterms:modified xsi:type="dcterms:W3CDTF">2025-07-04T10:27:06Z</dcterms:modified>
  <dc:title>江门市公路事务中心采购公务用车定点维修和保养服务供应商综合评分标准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84CEDE574FD8A82E9F3A6768F5933998_43</vt:lpwstr>
  </property>
</Properties>
</file>