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rPr>
          <w:rFonts w:hint="eastAsia" w:ascii="黑体" w:hAnsi="黑体" w:eastAsia="黑体" w:cs="黑体"/>
          <w:sz w:val="44"/>
          <w:szCs w:val="44"/>
          <w:lang w:val="en-US" w:eastAsia="zh-CN"/>
        </w:rPr>
      </w:pPr>
    </w:p>
    <w:p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0"/>
        <w:jc w:val="center"/>
        <w:rPr>
          <w:rFonts w:hint="eastAsia" w:ascii="方正小标宋简体" w:hAnsi="方正小标宋简体" w:eastAsia="方正小标宋简体" w:cs="方正小标宋简体"/>
          <w:i w:val="0"/>
          <w:iCs w:val="0"/>
          <w:caps w:val="0"/>
          <w:color w:val="auto"/>
          <w:spacing w:val="0"/>
          <w:sz w:val="36"/>
          <w:szCs w:val="36"/>
          <w:shd w:val="clear" w:color="auto" w:fill="FFFFFF"/>
        </w:rPr>
      </w:pPr>
      <w:r>
        <w:rPr>
          <w:rFonts w:hint="eastAsia" w:ascii="方正小标宋简体" w:hAnsi="方正小标宋简体" w:eastAsia="方正小标宋简体" w:cs="方正小标宋简体"/>
          <w:i w:val="0"/>
          <w:iCs w:val="0"/>
          <w:caps w:val="0"/>
          <w:color w:val="auto"/>
          <w:spacing w:val="0"/>
          <w:sz w:val="36"/>
          <w:szCs w:val="36"/>
          <w:shd w:val="clear" w:color="auto" w:fill="FFFFFF"/>
        </w:rPr>
        <w:t>江门市工业园区应急消防服务站建设项目综合评分表</w:t>
      </w:r>
    </w:p>
    <w:p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0"/>
        <w:jc w:val="center"/>
        <w:rPr>
          <w:rFonts w:hint="eastAsia" w:ascii="方正小标宋简体" w:hAnsi="方正小标宋简体" w:eastAsia="方正小标宋简体" w:cs="方正小标宋简体"/>
          <w:i w:val="0"/>
          <w:iCs w:val="0"/>
          <w:caps w:val="0"/>
          <w:color w:val="auto"/>
          <w:spacing w:val="0"/>
          <w:sz w:val="36"/>
          <w:szCs w:val="36"/>
          <w:shd w:val="clear" w:color="auto" w:fill="FFFFFF"/>
        </w:rPr>
      </w:pPr>
    </w:p>
    <w:tbl>
      <w:tblPr>
        <w:tblStyle w:val="9"/>
        <w:tblW w:w="15193" w:type="dxa"/>
        <w:tblInd w:w="-476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84"/>
        <w:gridCol w:w="1101"/>
        <w:gridCol w:w="795"/>
        <w:gridCol w:w="9875"/>
        <w:gridCol w:w="1838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8" w:hRule="atLeast"/>
          <w:tblHeader/>
        </w:trPr>
        <w:tc>
          <w:tcPr>
            <w:tcW w:w="2685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400" w:lineRule="exact"/>
              <w:ind w:left="0" w:right="0" w:firstLine="0"/>
              <w:jc w:val="center"/>
              <w:textAlignment w:val="auto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</w:rPr>
              <w:t>评审项目分值</w:t>
            </w:r>
          </w:p>
        </w:tc>
        <w:tc>
          <w:tcPr>
            <w:tcW w:w="7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400" w:lineRule="exact"/>
              <w:ind w:left="0" w:right="0" w:firstLine="0"/>
              <w:jc w:val="center"/>
              <w:textAlignment w:val="auto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</w:rPr>
              <w:t>分值</w:t>
            </w:r>
          </w:p>
        </w:tc>
        <w:tc>
          <w:tcPr>
            <w:tcW w:w="98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400" w:lineRule="exact"/>
              <w:ind w:left="0" w:right="0" w:firstLine="0"/>
              <w:jc w:val="center"/>
              <w:textAlignment w:val="auto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</w:rPr>
              <w:t>评审标准分值</w:t>
            </w:r>
          </w:p>
        </w:tc>
        <w:tc>
          <w:tcPr>
            <w:tcW w:w="183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400" w:lineRule="exact"/>
              <w:ind w:left="0" w:right="0" w:firstLine="0"/>
              <w:jc w:val="center"/>
              <w:textAlignment w:val="auto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</w:rPr>
              <w:t>得分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73" w:hRule="atLeast"/>
        </w:trPr>
        <w:tc>
          <w:tcPr>
            <w:tcW w:w="2685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left="-53" w:leftChars="-25" w:right="-53" w:rightChars="-25"/>
              <w:jc w:val="center"/>
              <w:textAlignment w:val="auto"/>
              <w:rPr>
                <w:rFonts w:hint="eastAsia" w:ascii="微软雅黑" w:hAnsi="微软雅黑" w:eastAsia="微软雅黑" w:cs="微软雅黑"/>
                <w:bCs/>
                <w:color w:val="auto"/>
                <w:sz w:val="24"/>
                <w:szCs w:val="24"/>
                <w:highlight w:val="none"/>
                <w:lang w:bidi="ar"/>
              </w:rPr>
            </w:pPr>
            <w:r>
              <w:rPr>
                <w:rFonts w:hint="eastAsia" w:ascii="微软雅黑" w:hAnsi="微软雅黑" w:eastAsia="微软雅黑" w:cs="微软雅黑"/>
                <w:bCs/>
                <w:color w:val="auto"/>
                <w:sz w:val="24"/>
                <w:szCs w:val="24"/>
                <w:highlight w:val="none"/>
                <w:lang w:bidi="ar"/>
              </w:rPr>
              <w:t>报价部分（权重</w:t>
            </w:r>
            <w:r>
              <w:rPr>
                <w:rFonts w:hint="eastAsia" w:ascii="微软雅黑" w:hAnsi="微软雅黑" w:eastAsia="微软雅黑" w:cs="微软雅黑"/>
                <w:bCs/>
                <w:color w:val="auto"/>
                <w:sz w:val="24"/>
                <w:szCs w:val="24"/>
                <w:highlight w:val="none"/>
                <w:lang w:val="en-US" w:eastAsia="zh-CN" w:bidi="ar"/>
              </w:rPr>
              <w:t>10</w:t>
            </w:r>
            <w:r>
              <w:rPr>
                <w:rFonts w:hint="eastAsia" w:ascii="微软雅黑" w:hAnsi="微软雅黑" w:eastAsia="微软雅黑" w:cs="微软雅黑"/>
                <w:bCs/>
                <w:color w:val="auto"/>
                <w:sz w:val="24"/>
                <w:szCs w:val="24"/>
                <w:highlight w:val="none"/>
                <w:lang w:bidi="ar"/>
              </w:rPr>
              <w:t>%）</w:t>
            </w:r>
          </w:p>
        </w:tc>
        <w:tc>
          <w:tcPr>
            <w:tcW w:w="7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left="-53" w:leftChars="-25" w:right="-53" w:rightChars="-25"/>
              <w:jc w:val="center"/>
              <w:textAlignment w:val="auto"/>
              <w:rPr>
                <w:rFonts w:hint="eastAsia" w:ascii="微软雅黑" w:hAnsi="微软雅黑" w:eastAsia="微软雅黑" w:cs="微软雅黑"/>
                <w:bCs/>
                <w:color w:val="auto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bCs/>
                <w:color w:val="auto"/>
                <w:sz w:val="24"/>
                <w:szCs w:val="24"/>
                <w:highlight w:val="none"/>
                <w:lang w:val="en-US" w:eastAsia="zh-CN" w:bidi="ar"/>
              </w:rPr>
              <w:t>10分</w:t>
            </w:r>
          </w:p>
        </w:tc>
        <w:tc>
          <w:tcPr>
            <w:tcW w:w="98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left="-53" w:leftChars="-25" w:right="-53" w:rightChars="-25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  <w:highlight w:val="none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  <w:highlight w:val="none"/>
                <w:lang w:bidi="ar"/>
              </w:rPr>
              <w:t>响应报价得分＝（评审基准价/响应报价）×价格分值【注：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  <w:highlight w:val="none"/>
                <w:lang w:val="en-US" w:eastAsia="zh-CN" w:bidi="ar"/>
              </w:rPr>
              <w:t>1.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  <w:highlight w:val="none"/>
                <w:lang w:bidi="ar"/>
              </w:rPr>
              <w:t>满足磋商文件要求且响应价格最低的响应报价为评审基准价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  <w:highlight w:val="none"/>
                <w:lang w:eastAsia="zh-CN" w:bidi="ar"/>
              </w:rPr>
              <w:t>；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  <w:highlight w:val="none"/>
                <w:lang w:val="en-US" w:eastAsia="zh-CN" w:bidi="ar"/>
              </w:rPr>
              <w:t>2.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  <w:highlight w:val="none"/>
                <w:lang w:bidi="ar"/>
              </w:rPr>
              <w:t>最低报价不是成交的唯一依据。】</w:t>
            </w:r>
          </w:p>
        </w:tc>
        <w:tc>
          <w:tcPr>
            <w:tcW w:w="183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79" w:hRule="atLeast"/>
        </w:trPr>
        <w:tc>
          <w:tcPr>
            <w:tcW w:w="1584" w:type="dxa"/>
            <w:vMerge w:val="restart"/>
            <w:tcBorders>
              <w:left w:val="single" w:color="000000" w:sz="6" w:space="0"/>
              <w:right w:val="single" w:color="000000" w:sz="6" w:space="0"/>
            </w:tcBorders>
            <w:noWrap w:val="0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400" w:lineRule="exact"/>
              <w:ind w:left="0" w:right="0" w:firstLine="0"/>
              <w:jc w:val="center"/>
              <w:textAlignment w:val="auto"/>
              <w:rPr>
                <w:rFonts w:hint="eastAsia" w:ascii="微软雅黑" w:hAnsi="微软雅黑" w:eastAsia="微软雅黑" w:cs="微软雅黑"/>
                <w:sz w:val="24"/>
                <w:szCs w:val="24"/>
                <w:highlight w:val="none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highlight w:val="none"/>
              </w:rPr>
              <w:t>技术部分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400" w:lineRule="exact"/>
              <w:ind w:left="0" w:right="0" w:firstLine="0"/>
              <w:jc w:val="both"/>
              <w:textAlignment w:val="auto"/>
              <w:rPr>
                <w:rFonts w:hint="eastAsia" w:ascii="微软雅黑" w:hAnsi="微软雅黑" w:eastAsia="微软雅黑" w:cs="微软雅黑"/>
                <w:sz w:val="24"/>
                <w:szCs w:val="24"/>
                <w:highlight w:val="none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highlight w:val="none"/>
              </w:rPr>
              <w:t>（权重</w:t>
            </w:r>
            <w:r>
              <w:rPr>
                <w:rFonts w:hint="eastAsia" w:ascii="微软雅黑" w:hAnsi="微软雅黑" w:eastAsia="微软雅黑" w:cs="微软雅黑"/>
                <w:sz w:val="24"/>
                <w:szCs w:val="24"/>
                <w:highlight w:val="none"/>
                <w:lang w:val="en-US" w:eastAsia="zh-CN"/>
              </w:rPr>
              <w:t>60</w:t>
            </w:r>
            <w:r>
              <w:rPr>
                <w:rFonts w:hint="eastAsia" w:ascii="微软雅黑" w:hAnsi="微软雅黑" w:eastAsia="微软雅黑" w:cs="微软雅黑"/>
                <w:sz w:val="24"/>
                <w:szCs w:val="24"/>
                <w:highlight w:val="none"/>
              </w:rPr>
              <w:t>%）</w:t>
            </w:r>
          </w:p>
        </w:tc>
        <w:tc>
          <w:tcPr>
            <w:tcW w:w="11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 w:val="0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left="-53" w:leftChars="-25" w:right="-53" w:rightChars="-25"/>
              <w:jc w:val="center"/>
              <w:textAlignment w:val="auto"/>
              <w:rPr>
                <w:rFonts w:hint="eastAsia" w:ascii="微软雅黑" w:hAnsi="微软雅黑" w:eastAsia="微软雅黑" w:cs="微软雅黑"/>
                <w:bCs/>
                <w:color w:val="auto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bCs/>
                <w:color w:val="auto"/>
                <w:sz w:val="24"/>
                <w:szCs w:val="24"/>
                <w:highlight w:val="none"/>
                <w:lang w:bidi="ar"/>
              </w:rPr>
              <w:t>功能布局规划优化设计效果</w:t>
            </w:r>
          </w:p>
        </w:tc>
        <w:tc>
          <w:tcPr>
            <w:tcW w:w="7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 w:val="0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left="-53" w:leftChars="-25" w:right="-53" w:rightChars="-25"/>
              <w:jc w:val="center"/>
              <w:textAlignment w:val="auto"/>
              <w:rPr>
                <w:rFonts w:hint="eastAsia" w:ascii="微软雅黑" w:hAnsi="微软雅黑" w:eastAsia="微软雅黑" w:cs="微软雅黑"/>
                <w:bCs/>
                <w:color w:val="auto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bCs/>
                <w:color w:val="auto"/>
                <w:sz w:val="24"/>
                <w:szCs w:val="24"/>
                <w:highlight w:val="none"/>
                <w:lang w:val="en-US" w:eastAsia="zh-CN" w:bidi="ar"/>
              </w:rPr>
              <w:t>45分</w:t>
            </w:r>
          </w:p>
        </w:tc>
        <w:tc>
          <w:tcPr>
            <w:tcW w:w="98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 w:val="0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right="-73" w:rightChars="-35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  <w:highlight w:val="none"/>
                <w:lang w:eastAsia="zh-CN"/>
              </w:rPr>
              <w:t>对供应商的设计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  <w:highlight w:val="none"/>
              </w:rPr>
              <w:t>方案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  <w:highlight w:val="none"/>
                <w:lang w:eastAsia="zh-CN"/>
              </w:rPr>
              <w:t>进行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  <w:highlight w:val="none"/>
              </w:rPr>
              <w:t>评审。包括但不限于对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3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  <w:highlight w:val="none"/>
                <w:lang w:eastAsia="zh-CN"/>
              </w:rPr>
              <w:t>个应急消防服务站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  <w:highlight w:val="none"/>
              </w:rPr>
              <w:t>理念提炼及优化、VI视觉系统设计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  <w:highlight w:val="none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  <w:highlight w:val="none"/>
              </w:rPr>
              <w:t>涵盖形象标识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  <w:highlight w:val="none"/>
                <w:lang w:eastAsia="zh-CN"/>
              </w:rPr>
              <w:t>设计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  <w:highlight w:val="none"/>
              </w:rPr>
              <w:t>、应用场景设计（门头造型、形象墙布局、标语墙内容、制度牌样式等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  <w:highlight w:val="none"/>
                <w:lang w:eastAsia="zh-CN"/>
              </w:rPr>
              <w:t>）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  <w:highlight w:val="none"/>
              </w:rPr>
              <w:t xml:space="preserve">）的方案 ：  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right="-73" w:rightChars="-35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1.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  <w:highlight w:val="none"/>
              </w:rPr>
              <w:t>充分结合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  <w:highlight w:val="none"/>
                <w:lang w:eastAsia="zh-CN"/>
              </w:rPr>
              <w:t>服务站的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  <w:highlight w:val="none"/>
              </w:rPr>
              <w:t>建筑特点、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  <w:highlight w:val="none"/>
                <w:lang w:eastAsia="zh-CN"/>
              </w:rPr>
              <w:t>实际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  <w:highlight w:val="none"/>
              </w:rPr>
              <w:t>场地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  <w:highlight w:val="none"/>
                <w:lang w:eastAsia="zh-CN"/>
              </w:rPr>
              <w:t>情况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  <w:highlight w:val="none"/>
              </w:rPr>
              <w:t>、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  <w:highlight w:val="none"/>
                <w:lang w:eastAsia="zh-CN"/>
              </w:rPr>
              <w:t>应急消防服务理念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  <w:highlight w:val="none"/>
              </w:rPr>
              <w:t>、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  <w:highlight w:val="none"/>
                <w:lang w:eastAsia="zh-CN"/>
              </w:rPr>
              <w:t>设计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  <w:highlight w:val="none"/>
              </w:rPr>
              <w:t>创新等特征，投标方案内容全面，条理清晰，有完善优秀的设计理念，每个站点方案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  <w:highlight w:val="none"/>
                <w:lang w:eastAsia="zh-CN"/>
              </w:rPr>
              <w:t>的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  <w:highlight w:val="none"/>
              </w:rPr>
              <w:t>空间建模效果图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  <w:highlight w:val="none"/>
                <w:lang w:eastAsia="zh-CN"/>
              </w:rPr>
              <w:t>提供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  <w:highlight w:val="none"/>
              </w:rPr>
              <w:t>不少于2张得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45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  <w:highlight w:val="none"/>
              </w:rPr>
              <w:t xml:space="preserve">分；   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right="-73" w:rightChars="-35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2.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  <w:highlight w:val="none"/>
              </w:rPr>
              <w:t>较充分的结合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  <w:highlight w:val="none"/>
                <w:lang w:eastAsia="zh-CN"/>
              </w:rPr>
              <w:t>服务站的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  <w:highlight w:val="none"/>
              </w:rPr>
              <w:t>建筑特点、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  <w:highlight w:val="none"/>
                <w:lang w:eastAsia="zh-CN"/>
              </w:rPr>
              <w:t>实际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  <w:highlight w:val="none"/>
              </w:rPr>
              <w:t>场地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  <w:highlight w:val="none"/>
                <w:lang w:eastAsia="zh-CN"/>
              </w:rPr>
              <w:t>情况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  <w:highlight w:val="none"/>
              </w:rPr>
              <w:t>、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  <w:highlight w:val="none"/>
                <w:lang w:eastAsia="zh-CN"/>
              </w:rPr>
              <w:t>应急消防服务理念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  <w:highlight w:val="none"/>
              </w:rPr>
              <w:t>、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  <w:highlight w:val="none"/>
                <w:lang w:eastAsia="zh-CN"/>
              </w:rPr>
              <w:t>设计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  <w:highlight w:val="none"/>
              </w:rPr>
              <w:t>创新等特征，投标方案内容较全面，条理较清晰，有较完善的设计理念，每个站点方案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  <w:highlight w:val="none"/>
                <w:lang w:eastAsia="zh-CN"/>
              </w:rPr>
              <w:t>的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  <w:highlight w:val="none"/>
              </w:rPr>
              <w:t>空间建模效果图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  <w:highlight w:val="none"/>
                <w:lang w:eastAsia="zh-CN"/>
              </w:rPr>
              <w:t>提供了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1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  <w:highlight w:val="none"/>
              </w:rPr>
              <w:t>张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  <w:highlight w:val="none"/>
                <w:lang w:eastAsia="zh-CN"/>
              </w:rPr>
              <w:t>，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  <w:highlight w:val="none"/>
              </w:rPr>
              <w:t>得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30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  <w:highlight w:val="none"/>
              </w:rPr>
              <w:t xml:space="preserve">分；  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right="-73" w:rightChars="-35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3.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  <w:highlight w:val="none"/>
              </w:rPr>
              <w:t>基本结合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  <w:highlight w:val="none"/>
                <w:lang w:eastAsia="zh-CN"/>
              </w:rPr>
              <w:t>服务站的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  <w:highlight w:val="none"/>
              </w:rPr>
              <w:t>建筑特点、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  <w:highlight w:val="none"/>
                <w:lang w:eastAsia="zh-CN"/>
              </w:rPr>
              <w:t>实际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  <w:highlight w:val="none"/>
              </w:rPr>
              <w:t>场地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  <w:highlight w:val="none"/>
                <w:lang w:eastAsia="zh-CN"/>
              </w:rPr>
              <w:t>情况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  <w:highlight w:val="none"/>
              </w:rPr>
              <w:t>、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  <w:highlight w:val="none"/>
                <w:lang w:eastAsia="zh-CN"/>
              </w:rPr>
              <w:t>应急消防服务理念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  <w:highlight w:val="none"/>
              </w:rPr>
              <w:t>、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  <w:highlight w:val="none"/>
                <w:lang w:eastAsia="zh-CN"/>
              </w:rPr>
              <w:t>设计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  <w:highlight w:val="none"/>
              </w:rPr>
              <w:t>创新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  <w:highlight w:val="none"/>
                <w:lang w:eastAsia="zh-CN"/>
              </w:rPr>
              <w:t>等特征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  <w:highlight w:val="none"/>
              </w:rPr>
              <w:t>，投标方案内容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  <w:highlight w:val="none"/>
                <w:lang w:eastAsia="zh-CN"/>
              </w:rPr>
              <w:t>不够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  <w:highlight w:val="none"/>
              </w:rPr>
              <w:t>全面，条理一般清晰，设计理念不完善，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  <w:highlight w:val="none"/>
                <w:lang w:eastAsia="zh-CN"/>
              </w:rPr>
              <w:t>没有提供站点的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  <w:highlight w:val="none"/>
              </w:rPr>
              <w:t>空间建模效果图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  <w:highlight w:val="none"/>
                <w:lang w:eastAsia="zh-CN"/>
              </w:rPr>
              <w:t>，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  <w:highlight w:val="none"/>
              </w:rPr>
              <w:t>得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15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  <w:highlight w:val="none"/>
              </w:rPr>
              <w:t xml:space="preserve">分； 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right="-73" w:rightChars="-35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4. 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  <w:highlight w:val="none"/>
              </w:rPr>
              <w:t>没有投标方案设计，得0分。</w:t>
            </w:r>
          </w:p>
        </w:tc>
        <w:tc>
          <w:tcPr>
            <w:tcW w:w="183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0" w:hRule="atLeast"/>
        </w:trPr>
        <w:tc>
          <w:tcPr>
            <w:tcW w:w="1584" w:type="dxa"/>
            <w:vMerge w:val="continue"/>
            <w:tcBorders>
              <w:left w:val="single" w:color="000000" w:sz="6" w:space="0"/>
              <w:right w:val="single" w:color="000000" w:sz="6" w:space="0"/>
            </w:tcBorders>
            <w:noWrap w:val="0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sz w:val="24"/>
                <w:szCs w:val="24"/>
                <w:highlight w:val="none"/>
              </w:rPr>
            </w:pPr>
          </w:p>
        </w:tc>
        <w:tc>
          <w:tcPr>
            <w:tcW w:w="11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 w:val="0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left="-53" w:leftChars="-25" w:right="-53" w:rightChars="-25"/>
              <w:jc w:val="center"/>
              <w:textAlignment w:val="auto"/>
              <w:rPr>
                <w:rFonts w:hint="eastAsia" w:ascii="微软雅黑" w:hAnsi="微软雅黑" w:eastAsia="微软雅黑" w:cs="微软雅黑"/>
                <w:bCs/>
                <w:color w:val="auto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bCs/>
                <w:color w:val="auto"/>
                <w:sz w:val="24"/>
                <w:szCs w:val="24"/>
                <w:highlight w:val="none"/>
                <w:lang w:bidi="ar"/>
              </w:rPr>
              <w:t>施工组织方案</w:t>
            </w:r>
          </w:p>
        </w:tc>
        <w:tc>
          <w:tcPr>
            <w:tcW w:w="7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 w:val="0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left="-53" w:leftChars="-25" w:right="-53" w:rightChars="-25"/>
              <w:jc w:val="center"/>
              <w:textAlignment w:val="auto"/>
              <w:rPr>
                <w:rFonts w:hint="eastAsia" w:ascii="微软雅黑" w:hAnsi="微软雅黑" w:eastAsia="微软雅黑" w:cs="微软雅黑"/>
                <w:bCs/>
                <w:color w:val="auto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bCs/>
                <w:color w:val="auto"/>
                <w:sz w:val="24"/>
                <w:szCs w:val="24"/>
                <w:highlight w:val="none"/>
                <w:lang w:bidi="ar"/>
              </w:rPr>
              <w:t>1</w:t>
            </w:r>
            <w:r>
              <w:rPr>
                <w:rFonts w:hint="eastAsia" w:ascii="微软雅黑" w:hAnsi="微软雅黑" w:eastAsia="微软雅黑" w:cs="微软雅黑"/>
                <w:bCs/>
                <w:color w:val="auto"/>
                <w:sz w:val="24"/>
                <w:szCs w:val="24"/>
                <w:highlight w:val="none"/>
                <w:lang w:val="en-US" w:eastAsia="zh-CN" w:bidi="ar"/>
              </w:rPr>
              <w:t>5分</w:t>
            </w:r>
          </w:p>
        </w:tc>
        <w:tc>
          <w:tcPr>
            <w:tcW w:w="98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 w:val="0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left="-53" w:leftChars="-25" w:right="-53" w:rightChars="-25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  <w:highlight w:val="none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  <w:highlight w:val="none"/>
                <w:lang w:eastAsia="zh-CN" w:bidi="ar"/>
              </w:rPr>
              <w:t>对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  <w:highlight w:val="none"/>
                <w:lang w:bidi="ar"/>
              </w:rPr>
              <w:t>供应商的施工组织方案及实施进度计划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  <w:highlight w:val="none"/>
                <w:lang w:eastAsia="zh-CN" w:bidi="ar"/>
              </w:rPr>
              <w:t>（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  <w:highlight w:val="none"/>
                <w:lang w:bidi="ar"/>
              </w:rPr>
              <w:t>含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  <w:highlight w:val="none"/>
                <w:lang w:eastAsia="zh-CN" w:bidi="ar"/>
              </w:rPr>
              <w:t>设备设施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  <w:highlight w:val="none"/>
                <w:lang w:bidi="ar"/>
              </w:rPr>
              <w:t>安装调试、施工垃圾清运、竣工清洁维护等配套工程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  <w:highlight w:val="none"/>
                <w:lang w:eastAsia="zh-CN" w:bidi="ar"/>
              </w:rPr>
              <w:t>）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  <w:highlight w:val="none"/>
                <w:lang w:bidi="ar"/>
              </w:rPr>
              <w:t xml:space="preserve">详尽可行，人员配备齐全，分工合理，能满足项目实施要求进行综合评价。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left="-53" w:leftChars="-25" w:right="-53" w:rightChars="-25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  <w:highlight w:val="none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  <w:highlight w:val="none"/>
                <w:lang w:bidi="ar"/>
              </w:rPr>
              <w:t>1.施工组织方案及施工方法详尽可行，工程重点难点、施工关键技术工艺把握准确，技术措施可以充分保障工程质量、工期和施工安全生产，得1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  <w:highlight w:val="none"/>
                <w:lang w:val="en-US" w:eastAsia="zh-CN" w:bidi="ar"/>
              </w:rPr>
              <w:t>5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  <w:highlight w:val="none"/>
                <w:lang w:bidi="ar"/>
              </w:rPr>
              <w:t>分；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left="-53" w:leftChars="-25" w:right="-53" w:rightChars="-25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  <w:highlight w:val="none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  <w:highlight w:val="none"/>
                <w:lang w:bidi="ar"/>
              </w:rPr>
              <w:t>2.施工组织方案及施工方法较可行，工程重点难点、施工关键技术工艺把握较准确，技术措施可以保障工程质量、工期和施工安全生产，得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  <w:highlight w:val="none"/>
                <w:lang w:val="en-US" w:eastAsia="zh-CN" w:bidi="ar"/>
              </w:rPr>
              <w:t>10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  <w:highlight w:val="none"/>
                <w:lang w:bidi="ar"/>
              </w:rPr>
              <w:t>分；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left="-53" w:leftChars="-25" w:right="-53" w:rightChars="-25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  <w:highlight w:val="none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  <w:highlight w:val="none"/>
                <w:lang w:bidi="ar"/>
              </w:rPr>
              <w:t>3.施工组织方案及施工方法普通，工程重点难点、施工关键技术工艺把握较准确，技术措施可以基本保障工程质量、工期和施工安全生产，得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  <w:highlight w:val="none"/>
                <w:lang w:val="en-US" w:eastAsia="zh-CN" w:bidi="ar"/>
              </w:rPr>
              <w:t>5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  <w:highlight w:val="none"/>
                <w:lang w:bidi="ar"/>
              </w:rPr>
              <w:t xml:space="preserve">分；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left="-53" w:leftChars="-25" w:right="-53" w:rightChars="-25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  <w:highlight w:val="none"/>
                <w:lang w:bidi="ar"/>
              </w:rPr>
              <w:t>4.无对应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  <w:highlight w:val="none"/>
                <w:lang w:eastAsia="zh-CN" w:bidi="ar"/>
              </w:rPr>
              <w:t>施工组织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  <w:highlight w:val="none"/>
                <w:lang w:bidi="ar"/>
              </w:rPr>
              <w:t>方案不得分。</w:t>
            </w:r>
          </w:p>
        </w:tc>
        <w:tc>
          <w:tcPr>
            <w:tcW w:w="183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4" w:hRule="atLeast"/>
        </w:trPr>
        <w:tc>
          <w:tcPr>
            <w:tcW w:w="1584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400" w:lineRule="exact"/>
              <w:ind w:left="0" w:right="0" w:firstLine="0"/>
              <w:jc w:val="center"/>
              <w:textAlignment w:val="auto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</w:rPr>
              <w:t>商务部分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400" w:lineRule="exact"/>
              <w:ind w:left="0" w:right="0" w:firstLine="0"/>
              <w:jc w:val="center"/>
              <w:textAlignment w:val="auto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</w:rPr>
              <w:t>（权重</w:t>
            </w:r>
            <w:r>
              <w:rPr>
                <w:rFonts w:hint="eastAsia" w:ascii="微软雅黑" w:hAnsi="微软雅黑" w:eastAsia="微软雅黑" w:cs="微软雅黑"/>
                <w:sz w:val="24"/>
                <w:szCs w:val="24"/>
                <w:lang w:val="en-US" w:eastAsia="zh-CN"/>
              </w:rPr>
              <w:t>30</w:t>
            </w:r>
            <w:r>
              <w:rPr>
                <w:rFonts w:hint="eastAsia" w:ascii="微软雅黑" w:hAnsi="微软雅黑" w:eastAsia="微软雅黑" w:cs="微软雅黑"/>
                <w:sz w:val="24"/>
                <w:szCs w:val="24"/>
              </w:rPr>
              <w:t>%）</w:t>
            </w:r>
          </w:p>
        </w:tc>
        <w:tc>
          <w:tcPr>
            <w:tcW w:w="11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 w:val="0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left="-53" w:leftChars="-25" w:right="-53" w:rightChars="-25"/>
              <w:jc w:val="center"/>
              <w:textAlignment w:val="auto"/>
              <w:rPr>
                <w:rFonts w:hint="eastAsia" w:ascii="微软雅黑" w:hAnsi="微软雅黑" w:eastAsia="微软雅黑" w:cs="微软雅黑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bCs/>
                <w:color w:val="auto"/>
                <w:sz w:val="24"/>
                <w:szCs w:val="24"/>
                <w:highlight w:val="none"/>
                <w:lang w:val="en-US" w:eastAsia="zh-CN" w:bidi="ar"/>
              </w:rPr>
              <w:t>同类业绩</w:t>
            </w:r>
          </w:p>
        </w:tc>
        <w:tc>
          <w:tcPr>
            <w:tcW w:w="7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 w:val="0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left="-53" w:leftChars="-25" w:right="-53" w:rightChars="-25"/>
              <w:jc w:val="center"/>
              <w:textAlignment w:val="auto"/>
              <w:rPr>
                <w:rFonts w:hint="eastAsia" w:ascii="微软雅黑" w:hAnsi="微软雅黑" w:eastAsia="微软雅黑" w:cs="微软雅黑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bCs/>
                <w:color w:val="auto"/>
                <w:sz w:val="24"/>
                <w:szCs w:val="24"/>
                <w:highlight w:val="none"/>
                <w:lang w:val="en-US" w:eastAsia="zh-CN" w:bidi="ar"/>
              </w:rPr>
              <w:t>2</w:t>
            </w:r>
            <w:r>
              <w:rPr>
                <w:rFonts w:hint="eastAsia" w:ascii="微软雅黑" w:hAnsi="微软雅黑" w:eastAsia="微软雅黑" w:cs="微软雅黑"/>
                <w:bCs/>
                <w:color w:val="auto"/>
                <w:sz w:val="24"/>
                <w:szCs w:val="24"/>
                <w:highlight w:val="none"/>
                <w:lang w:eastAsia="zh-CN" w:bidi="ar"/>
              </w:rPr>
              <w:t>0分</w:t>
            </w:r>
          </w:p>
        </w:tc>
        <w:tc>
          <w:tcPr>
            <w:tcW w:w="98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 w:val="0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left="-53" w:leftChars="-25" w:right="-53" w:rightChars="-25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  <w:highlight w:val="none"/>
                <w:lang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  <w:highlight w:val="none"/>
                <w:lang w:eastAsia="zh-CN" w:bidi="ar"/>
              </w:rPr>
              <w:t>根据供应商提供自202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  <w:highlight w:val="none"/>
                <w:lang w:val="en-US" w:eastAsia="zh-CN" w:bidi="ar"/>
              </w:rPr>
              <w:t>2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  <w:highlight w:val="none"/>
                <w:lang w:eastAsia="zh-CN" w:bidi="ar"/>
              </w:rPr>
              <w:t>年1月1日起至今（以合同签订时间为准）的同类项目业绩进行评审，每提供一个得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  <w:highlight w:val="none"/>
                <w:lang w:val="en-US" w:eastAsia="zh-CN" w:bidi="ar"/>
              </w:rPr>
              <w:t>5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  <w:highlight w:val="none"/>
                <w:lang w:eastAsia="zh-CN" w:bidi="ar"/>
              </w:rPr>
              <w:t>分，最高得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  <w:highlight w:val="none"/>
                <w:lang w:val="en-US" w:eastAsia="zh-CN" w:bidi="ar"/>
              </w:rPr>
              <w:t>2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  <w:highlight w:val="none"/>
                <w:lang w:eastAsia="zh-CN" w:bidi="ar"/>
              </w:rPr>
              <w:t xml:space="preserve">0分。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left="-53" w:leftChars="-25" w:right="-53" w:rightChars="-25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  <w:highlight w:val="none"/>
                <w:lang w:eastAsia="zh-CN" w:bidi="ar"/>
              </w:rPr>
              <w:t>注：响应文件中需提供合同关键页（含签订合同双方的名称、合同项目名称、项目内容、双方签字盖章页、签订日期）的复印件并加盖供应商公章，不按要求提供不得分。</w:t>
            </w:r>
          </w:p>
        </w:tc>
        <w:tc>
          <w:tcPr>
            <w:tcW w:w="183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0" w:hRule="atLeast"/>
        </w:trPr>
        <w:tc>
          <w:tcPr>
            <w:tcW w:w="1584" w:type="dxa"/>
            <w:vMerge w:val="continue"/>
            <w:tcBorders>
              <w:left w:val="single" w:color="000000" w:sz="6" w:space="0"/>
              <w:right w:val="single" w:color="000000" w:sz="6" w:space="0"/>
            </w:tcBorders>
            <w:noWrap w:val="0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400" w:lineRule="exact"/>
              <w:ind w:left="0" w:right="0" w:firstLine="0"/>
              <w:jc w:val="center"/>
              <w:textAlignment w:val="auto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11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 w:val="0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left="-53" w:leftChars="-25" w:right="-53" w:rightChars="-25"/>
              <w:jc w:val="center"/>
              <w:textAlignment w:val="auto"/>
              <w:rPr>
                <w:rFonts w:hint="eastAsia" w:ascii="微软雅黑" w:hAnsi="微软雅黑" w:eastAsia="微软雅黑" w:cs="微软雅黑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bCs/>
                <w:color w:val="auto"/>
                <w:sz w:val="24"/>
                <w:szCs w:val="24"/>
                <w:highlight w:val="none"/>
                <w:lang w:val="en-US" w:eastAsia="zh-CN" w:bidi="ar"/>
              </w:rPr>
              <w:t>售后服务</w:t>
            </w:r>
          </w:p>
        </w:tc>
        <w:tc>
          <w:tcPr>
            <w:tcW w:w="7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 w:val="0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left="-53" w:leftChars="-25" w:right="-53" w:rightChars="-25"/>
              <w:jc w:val="center"/>
              <w:textAlignment w:val="auto"/>
              <w:rPr>
                <w:rFonts w:hint="eastAsia" w:ascii="微软雅黑" w:hAnsi="微软雅黑" w:eastAsia="微软雅黑" w:cs="微软雅黑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bCs/>
                <w:color w:val="auto"/>
                <w:sz w:val="24"/>
                <w:szCs w:val="24"/>
                <w:highlight w:val="none"/>
                <w:lang w:val="en-US" w:eastAsia="zh-CN" w:bidi="ar"/>
              </w:rPr>
              <w:t>10分</w:t>
            </w:r>
          </w:p>
        </w:tc>
        <w:tc>
          <w:tcPr>
            <w:tcW w:w="98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 w:val="0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ind w:left="-53" w:leftChars="-25" w:right="-53" w:rightChars="-25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  <w:highlight w:val="none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  <w:highlight w:val="none"/>
                <w:lang w:bidi="ar"/>
              </w:rPr>
              <w:t>1.售后服务保证措施完善，承诺全面具体、可操作性强，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24"/>
                <w:szCs w:val="24"/>
                <w:lang w:eastAsia="zh-CN"/>
              </w:rPr>
              <w:t>应急响应时间快，响应处理能力强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  <w:highlight w:val="none"/>
                <w:lang w:bidi="ar"/>
              </w:rPr>
              <w:t>，得1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  <w:highlight w:val="none"/>
                <w:lang w:val="en-US" w:eastAsia="zh-CN" w:bidi="ar"/>
              </w:rPr>
              <w:t>0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  <w:highlight w:val="none"/>
                <w:lang w:bidi="ar"/>
              </w:rPr>
              <w:t xml:space="preserve">分；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ind w:left="-53" w:leftChars="-25" w:right="-53" w:rightChars="-25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  <w:highlight w:val="none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  <w:highlight w:val="none"/>
                <w:lang w:bidi="ar"/>
              </w:rPr>
              <w:t>2.售后服务保证措施较完善，承诺较具体、可操作性较强，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24"/>
                <w:szCs w:val="24"/>
                <w:lang w:eastAsia="zh-CN"/>
              </w:rPr>
              <w:t>应急响应时间较快，响应处理能力较强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  <w:highlight w:val="none"/>
                <w:lang w:bidi="ar"/>
              </w:rPr>
              <w:t>，得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  <w:highlight w:val="none"/>
                <w:lang w:val="en-US" w:eastAsia="zh-CN" w:bidi="ar"/>
              </w:rPr>
              <w:t>7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  <w:highlight w:val="none"/>
                <w:lang w:bidi="ar"/>
              </w:rPr>
              <w:t>分；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ind w:left="-53" w:leftChars="-25" w:right="-53" w:rightChars="-25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  <w:highlight w:val="none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  <w:highlight w:val="none"/>
                <w:lang w:bidi="ar"/>
              </w:rPr>
              <w:t>3.售后服务保证措施一般，承诺较具体、可操作性一般，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24"/>
                <w:szCs w:val="24"/>
                <w:lang w:eastAsia="zh-CN"/>
              </w:rPr>
              <w:t>应急响应时间较快，响应处理能力一般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  <w:highlight w:val="none"/>
                <w:lang w:bidi="ar"/>
              </w:rPr>
              <w:t>，得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  <w:highlight w:val="none"/>
                <w:lang w:val="en-US" w:eastAsia="zh-CN" w:bidi="ar"/>
              </w:rPr>
              <w:t>4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  <w:highlight w:val="none"/>
                <w:lang w:bidi="ar"/>
              </w:rPr>
              <w:t>分；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ind w:left="-53" w:leftChars="-25" w:right="-53" w:rightChars="-25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  <w:highlight w:val="none"/>
                <w:lang w:bidi="ar"/>
              </w:rPr>
              <w:t>4.无对应售后服务方案不得分。</w:t>
            </w:r>
          </w:p>
        </w:tc>
        <w:tc>
          <w:tcPr>
            <w:tcW w:w="183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3355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</w:pPr>
            <w:r>
              <w:rPr>
                <w:rFonts w:hint="default" w:ascii="微软雅黑" w:hAnsi="微软雅黑" w:eastAsia="微软雅黑" w:cs="微软雅黑"/>
                <w:color w:val="000000"/>
              </w:rPr>
              <w:t>合计</w:t>
            </w:r>
          </w:p>
        </w:tc>
        <w:tc>
          <w:tcPr>
            <w:tcW w:w="183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</w:pPr>
          </w:p>
        </w:tc>
      </w:tr>
    </w:tbl>
    <w:p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left="0" w:right="0" w:firstLine="210"/>
        <w:jc w:val="left"/>
        <w:textAlignment w:val="auto"/>
        <w:rPr>
          <w:rFonts w:hint="default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2"/>
          <w:szCs w:val="22"/>
          <w:shd w:val="clear" w:color="auto" w:fill="FFFFFF"/>
        </w:rPr>
        <w:t>　</w:t>
      </w:r>
      <w:bookmarkStart w:id="0" w:name="_GoBack"/>
      <w:bookmarkEnd w:id="0"/>
    </w:p>
    <w:sectPr>
      <w:footerReference r:id="rId3" w:type="default"/>
      <w:pgSz w:w="16838" w:h="11906" w:orient="landscape"/>
      <w:pgMar w:top="1212" w:right="1440" w:bottom="992" w:left="1440" w:header="851" w:footer="992" w:gutter="0"/>
      <w:cols w:space="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微软雅黑">
    <w:altName w:val="黑体"/>
    <w:panose1 w:val="020B0503020204020204"/>
    <w:charset w:val="86"/>
    <w:family w:val="auto"/>
    <w:pitch w:val="default"/>
    <w:sig w:usb0="00000000" w:usb1="00000000" w:usb2="00000016" w:usb3="00000000" w:csb0="0004001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9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IxNWE1ODNjMjg4N2MzNTU1ZjViYjlkM2Y2OWMyZjEifQ=="/>
  </w:docVars>
  <w:rsids>
    <w:rsidRoot w:val="417E6F2A"/>
    <w:rsid w:val="00F705B3"/>
    <w:rsid w:val="024E0ADE"/>
    <w:rsid w:val="0B4030D8"/>
    <w:rsid w:val="129437D7"/>
    <w:rsid w:val="137F02FC"/>
    <w:rsid w:val="1BCA1370"/>
    <w:rsid w:val="23533489"/>
    <w:rsid w:val="28EE2D15"/>
    <w:rsid w:val="2A473AAA"/>
    <w:rsid w:val="2A754FB7"/>
    <w:rsid w:val="2C0D5456"/>
    <w:rsid w:val="2D776A21"/>
    <w:rsid w:val="31437CF7"/>
    <w:rsid w:val="348B2558"/>
    <w:rsid w:val="3FDA1FEC"/>
    <w:rsid w:val="417E6F2A"/>
    <w:rsid w:val="42C13FA2"/>
    <w:rsid w:val="48990868"/>
    <w:rsid w:val="4B660619"/>
    <w:rsid w:val="4D3C5DCF"/>
    <w:rsid w:val="54231E19"/>
    <w:rsid w:val="54FFE38A"/>
    <w:rsid w:val="55DEAEC6"/>
    <w:rsid w:val="55FD210E"/>
    <w:rsid w:val="56160ACB"/>
    <w:rsid w:val="5ADD1A49"/>
    <w:rsid w:val="5C045833"/>
    <w:rsid w:val="5E3FFEC0"/>
    <w:rsid w:val="5E6E7449"/>
    <w:rsid w:val="5F9E6FD4"/>
    <w:rsid w:val="5FFD90F9"/>
    <w:rsid w:val="63D6EEDE"/>
    <w:rsid w:val="6587972C"/>
    <w:rsid w:val="67BB4BF8"/>
    <w:rsid w:val="6BFD044E"/>
    <w:rsid w:val="6EE66CB2"/>
    <w:rsid w:val="6FAF8929"/>
    <w:rsid w:val="77FCEA5E"/>
    <w:rsid w:val="799A53DF"/>
    <w:rsid w:val="7BAE2A7F"/>
    <w:rsid w:val="7FFBBC6D"/>
    <w:rsid w:val="9ED53970"/>
    <w:rsid w:val="A77FF08E"/>
    <w:rsid w:val="BBDA90C9"/>
    <w:rsid w:val="D7EFEEA7"/>
    <w:rsid w:val="DDF3B05C"/>
    <w:rsid w:val="DF4AD60E"/>
    <w:rsid w:val="EFBC7E66"/>
    <w:rsid w:val="F3BDAB7F"/>
    <w:rsid w:val="F5BFCBD4"/>
    <w:rsid w:val="F6FEEDF8"/>
    <w:rsid w:val="F7FE3327"/>
    <w:rsid w:val="F9AA2C37"/>
    <w:rsid w:val="FB7CDD88"/>
    <w:rsid w:val="FBA34685"/>
    <w:rsid w:val="FBB91375"/>
    <w:rsid w:val="FDDF77A4"/>
    <w:rsid w:val="FDEE9147"/>
    <w:rsid w:val="FEFDC4AC"/>
    <w:rsid w:val="FF3B2B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3"/>
    <w:qFormat/>
    <w:uiPriority w:val="0"/>
    <w:pPr>
      <w:keepNext/>
      <w:keepLines/>
      <w:adjustRightInd w:val="0"/>
      <w:snapToGrid w:val="0"/>
      <w:spacing w:before="120" w:beforeLines="50" w:after="120" w:afterLines="50" w:line="360" w:lineRule="exact"/>
      <w:jc w:val="center"/>
      <w:outlineLvl w:val="1"/>
    </w:pPr>
    <w:rPr>
      <w:rFonts w:ascii="宋体" w:hAnsi="Arial" w:cs="Arial"/>
      <w:b/>
      <w:sz w:val="28"/>
      <w:szCs w:val="28"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ind w:left="720"/>
    </w:pPr>
  </w:style>
  <w:style w:type="paragraph" w:styleId="4">
    <w:name w:val="Body Text Indent"/>
    <w:basedOn w:val="1"/>
    <w:qFormat/>
    <w:uiPriority w:val="0"/>
    <w:pPr>
      <w:spacing w:after="120" w:afterLines="0" w:afterAutospacing="0"/>
      <w:ind w:left="420" w:leftChars="200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8">
    <w:name w:val="Body Text First Indent 2"/>
    <w:basedOn w:val="4"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1161</Words>
  <Characters>1196</Characters>
  <Lines>0</Lines>
  <Paragraphs>0</Paragraphs>
  <TotalTime>2</TotalTime>
  <ScaleCrop>false</ScaleCrop>
  <LinksUpToDate>false</LinksUpToDate>
  <CharactersWithSpaces>1267</CharactersWithSpaces>
  <Application>WPS Office_11.8.2.11961_F1E327BC-269C-435d-A152-05C5408002CA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2023-11-19T17:32:00Z</dcterms:created>
  <dc:creator>greatwall</dc:creator>
  <cp:lastModifiedBy>左龙慰</cp:lastModifiedBy>
  <dcterms:modified xsi:type="dcterms:W3CDTF">2025-07-08T15:23:40Z</dcterms:modified>
  <dc:title>附件5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2052-11.8.2.11961</vt:lpwstr>
  </property>
  <property fmtid="{D5CDD505-2E9C-101B-9397-08002B2CF9AE}" pid="3" name="ICV">
    <vt:lpwstr>25ED99CE5AF8A97301201C68A59B60D1</vt:lpwstr>
  </property>
  <property fmtid="{D5CDD505-2E9C-101B-9397-08002B2CF9AE}" pid="4" name="KSOTemplateDocerSaveRecord">
    <vt:lpwstr>eyJoZGlkIjoiNTViNmY0NzU1MTcyNDMxMWZlNjlkY2ZiODE0NzFmMWIiLCJ1c2VySWQiOiIzMzc4NDk0NjQifQ==</vt:lpwstr>
  </property>
</Properties>
</file>