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仿宋_GB2312" w:cs="仿宋_GB2312"/>
          <w:szCs w:val="30"/>
        </w:rPr>
      </w:pPr>
      <w:bookmarkStart w:id="0" w:name="_GoBack"/>
      <w:bookmarkEnd w:id="0"/>
      <w:r>
        <w:rPr>
          <w:rFonts w:hint="eastAsia" w:ascii="仿宋_GB2312" w:hAnsi="仿宋_GB2312" w:cs="仿宋_GB2312"/>
          <w:szCs w:val="30"/>
        </w:rPr>
        <w:t>附件3</w:t>
      </w:r>
    </w:p>
    <w:p>
      <w:pPr>
        <w:spacing w:line="480" w:lineRule="exact"/>
        <w:jc w:val="center"/>
        <w:rPr>
          <w:rFonts w:ascii="宋体" w:hAnsi="宋体" w:eastAsia="宋体" w:cs="宋体"/>
          <w:b/>
          <w:bCs/>
          <w:sz w:val="44"/>
          <w:szCs w:val="44"/>
        </w:rPr>
      </w:pP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2025年食品安全（餐饮环节高风险单位）</w:t>
      </w:r>
    </w:p>
    <w:p>
      <w:pPr>
        <w:spacing w:line="480" w:lineRule="exact"/>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sz w:val="44"/>
          <w:szCs w:val="44"/>
        </w:rPr>
        <w:t>风险研判项目</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合同</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460" w:lineRule="exact"/>
        <w:rPr>
          <w:rFonts w:ascii="仿宋_GB2312" w:hAnsi="仿宋_GB2312" w:cs="仿宋_GB2312"/>
          <w:b/>
          <w:color w:val="000000"/>
          <w:sz w:val="28"/>
          <w:szCs w:val="28"/>
          <w:u w:val="single"/>
        </w:rPr>
      </w:pPr>
      <w:r>
        <w:rPr>
          <w:rFonts w:hint="eastAsia" w:ascii="仿宋_GB2312" w:hAnsi="仿宋_GB2312" w:cs="仿宋_GB2312"/>
          <w:b/>
          <w:bCs/>
          <w:color w:val="000000"/>
          <w:sz w:val="28"/>
          <w:szCs w:val="28"/>
        </w:rPr>
        <w:t>甲方</w:t>
      </w:r>
      <w:r>
        <w:rPr>
          <w:rFonts w:hint="eastAsia" w:ascii="仿宋_GB2312" w:hAnsi="仿宋_GB2312" w:cs="仿宋_GB2312"/>
          <w:color w:val="000000"/>
          <w:sz w:val="28"/>
          <w:szCs w:val="28"/>
        </w:rPr>
        <w:t>：</w:t>
      </w:r>
      <w:r>
        <w:rPr>
          <w:rFonts w:hint="eastAsia" w:ascii="仿宋_GB2312" w:hAnsi="仿宋_GB2312" w:cs="仿宋_GB2312"/>
          <w:bCs/>
          <w:sz w:val="28"/>
          <w:szCs w:val="28"/>
        </w:rPr>
        <w:t>江门市市场监督管理局</w:t>
      </w:r>
    </w:p>
    <w:p>
      <w:pPr>
        <w:spacing w:line="460" w:lineRule="exact"/>
        <w:rPr>
          <w:rFonts w:ascii="仿宋_GB2312" w:hAnsi="仿宋_GB2312" w:cs="仿宋_GB2312"/>
          <w:color w:val="000000"/>
          <w:sz w:val="28"/>
          <w:szCs w:val="28"/>
          <w:u w:val="single"/>
        </w:rPr>
      </w:pPr>
      <w:r>
        <w:rPr>
          <w:rFonts w:hint="eastAsia" w:ascii="仿宋_GB2312" w:hAnsi="仿宋_GB2312" w:cs="仿宋_GB2312"/>
          <w:color w:val="000000"/>
          <w:sz w:val="28"/>
          <w:szCs w:val="28"/>
        </w:rPr>
        <w:t>地址：江门市东华二路7号</w:t>
      </w:r>
    </w:p>
    <w:p>
      <w:pPr>
        <w:spacing w:line="460" w:lineRule="exact"/>
        <w:rPr>
          <w:rFonts w:ascii="仿宋_GB2312" w:hAnsi="仿宋_GB2312" w:cs="仿宋_GB2312"/>
          <w:sz w:val="28"/>
          <w:szCs w:val="28"/>
        </w:rPr>
      </w:pPr>
      <w:r>
        <w:rPr>
          <w:rFonts w:hint="eastAsia" w:ascii="仿宋_GB2312" w:hAnsi="仿宋_GB2312" w:cs="仿宋_GB2312"/>
          <w:sz w:val="28"/>
          <w:szCs w:val="28"/>
        </w:rPr>
        <w:t>联系人：</w:t>
      </w:r>
    </w:p>
    <w:p>
      <w:pPr>
        <w:spacing w:line="460" w:lineRule="exact"/>
        <w:rPr>
          <w:rFonts w:ascii="仿宋_GB2312" w:hAnsi="仿宋_GB2312" w:cs="仿宋_GB2312"/>
          <w:sz w:val="28"/>
          <w:szCs w:val="28"/>
        </w:rPr>
      </w:pPr>
      <w:r>
        <w:rPr>
          <w:rFonts w:hint="eastAsia" w:ascii="仿宋_GB2312" w:hAnsi="仿宋_GB2312" w:cs="仿宋_GB2312"/>
          <w:sz w:val="28"/>
          <w:szCs w:val="28"/>
        </w:rPr>
        <w:t xml:space="preserve">电话： </w:t>
      </w:r>
    </w:p>
    <w:p>
      <w:pPr>
        <w:spacing w:line="460" w:lineRule="exact"/>
        <w:rPr>
          <w:rFonts w:ascii="仿宋_GB2312" w:hAnsi="仿宋_GB2312" w:cs="仿宋_GB2312"/>
          <w:b/>
          <w:sz w:val="28"/>
          <w:szCs w:val="28"/>
          <w:u w:val="single"/>
        </w:rPr>
      </w:pPr>
      <w:r>
        <w:rPr>
          <w:rFonts w:hint="eastAsia" w:ascii="仿宋_GB2312" w:hAnsi="仿宋_GB2312" w:cs="仿宋_GB2312"/>
          <w:b/>
          <w:bCs/>
          <w:sz w:val="28"/>
          <w:szCs w:val="28"/>
        </w:rPr>
        <w:t>乙方</w:t>
      </w:r>
      <w:r>
        <w:rPr>
          <w:rFonts w:hint="eastAsia" w:ascii="仿宋_GB2312" w:hAnsi="仿宋_GB2312" w:cs="仿宋_GB2312"/>
          <w:sz w:val="28"/>
          <w:szCs w:val="28"/>
        </w:rPr>
        <w:t xml:space="preserve">： </w:t>
      </w:r>
    </w:p>
    <w:p>
      <w:pPr>
        <w:spacing w:line="460" w:lineRule="exact"/>
        <w:rPr>
          <w:rFonts w:ascii="仿宋_GB2312" w:hAnsi="仿宋_GB2312" w:cs="仿宋_GB2312"/>
          <w:sz w:val="28"/>
          <w:szCs w:val="28"/>
        </w:rPr>
      </w:pPr>
      <w:r>
        <w:rPr>
          <w:rFonts w:hint="eastAsia" w:ascii="仿宋_GB2312" w:hAnsi="仿宋_GB2312" w:cs="仿宋_GB2312"/>
          <w:sz w:val="28"/>
          <w:szCs w:val="28"/>
        </w:rPr>
        <w:t>地址：</w:t>
      </w:r>
    </w:p>
    <w:p>
      <w:pPr>
        <w:spacing w:line="460" w:lineRule="exact"/>
        <w:rPr>
          <w:rFonts w:ascii="仿宋_GB2312" w:hAnsi="仿宋_GB2312" w:cs="仿宋_GB2312"/>
          <w:sz w:val="28"/>
          <w:szCs w:val="28"/>
        </w:rPr>
      </w:pPr>
      <w:r>
        <w:rPr>
          <w:rFonts w:hint="eastAsia" w:ascii="仿宋_GB2312" w:hAnsi="仿宋_GB2312" w:cs="仿宋_GB2312"/>
          <w:sz w:val="28"/>
          <w:szCs w:val="28"/>
        </w:rPr>
        <w:t>联系人：</w:t>
      </w:r>
    </w:p>
    <w:p>
      <w:pPr>
        <w:spacing w:line="460" w:lineRule="exact"/>
        <w:rPr>
          <w:rFonts w:ascii="仿宋_GB2312" w:hAnsi="仿宋_GB2312" w:cs="仿宋_GB2312"/>
          <w:sz w:val="28"/>
          <w:szCs w:val="28"/>
        </w:rPr>
      </w:pPr>
      <w:r>
        <w:rPr>
          <w:rFonts w:hint="eastAsia" w:ascii="仿宋_GB2312" w:hAnsi="仿宋_GB2312" w:cs="仿宋_GB2312"/>
          <w:sz w:val="28"/>
          <w:szCs w:val="28"/>
        </w:rPr>
        <w:t>电话：</w:t>
      </w:r>
    </w:p>
    <w:p>
      <w:pPr>
        <w:pStyle w:val="2"/>
        <w:ind w:firstLine="0" w:firstLineChars="0"/>
        <w:rPr>
          <w:rFonts w:ascii="仿宋_GB2312" w:hAnsi="仿宋_GB2312" w:cs="仿宋_GB2312"/>
          <w:sz w:val="28"/>
          <w:szCs w:val="28"/>
        </w:rPr>
      </w:pPr>
    </w:p>
    <w:p>
      <w:pPr>
        <w:widowControl/>
        <w:spacing w:line="480" w:lineRule="exact"/>
        <w:ind w:firstLine="618" w:firstLineChars="221"/>
        <w:rPr>
          <w:rFonts w:ascii="仿宋_GB2312" w:hAnsi="仿宋_GB2312" w:cs="仿宋_GB2312"/>
          <w:b/>
          <w:bCs/>
          <w:sz w:val="28"/>
          <w:szCs w:val="28"/>
        </w:rPr>
      </w:pPr>
      <w:r>
        <w:rPr>
          <w:rFonts w:hint="eastAsia" w:ascii="仿宋_GB2312" w:hAnsi="仿宋_GB2312" w:cs="仿宋_GB2312"/>
          <w:sz w:val="28"/>
          <w:szCs w:val="28"/>
        </w:rPr>
        <w:t>甲、乙双方根据“2025年食品安全（餐饮环节高风险单位）风险研判项目”（项目编号：</w:t>
      </w:r>
      <w:r>
        <w:rPr>
          <w:rFonts w:hint="eastAsia" w:ascii="仿宋_GB2312" w:hAnsi="仿宋_GB2312" w:cs="仿宋_GB2312"/>
          <w:sz w:val="28"/>
          <w:szCs w:val="28"/>
          <w:lang w:val="en-US" w:eastAsia="zh-CN"/>
        </w:rPr>
        <w:t>2025031</w:t>
      </w:r>
      <w:r>
        <w:rPr>
          <w:rFonts w:hint="eastAsia" w:ascii="仿宋_GB2312" w:hAnsi="仿宋_GB2312" w:cs="仿宋_GB2312"/>
          <w:sz w:val="28"/>
          <w:szCs w:val="28"/>
        </w:rPr>
        <w:t>）（以下简称项目）的采购公告、项目采购结果公告的要求，依据《中华人民共和国民法典》《中华人民共和国政府采购法》及其实施条例等相关法律法规的规定，经双方协商，本着平等、自愿、公平和诚实信用的原则，一致同意签订本合同如下</w:t>
      </w:r>
      <w:r>
        <w:rPr>
          <w:rFonts w:hint="eastAsia" w:ascii="仿宋_GB2312" w:hAnsi="仿宋_GB2312" w:cs="仿宋_GB2312"/>
          <w:color w:val="000000"/>
          <w:sz w:val="28"/>
          <w:szCs w:val="28"/>
        </w:rPr>
        <w:t xml:space="preserve">： </w:t>
      </w:r>
    </w:p>
    <w:p>
      <w:pPr>
        <w:spacing w:line="480" w:lineRule="exact"/>
        <w:rPr>
          <w:rFonts w:ascii="仿宋_GB2312" w:hAnsi="仿宋_GB2312" w:cs="仿宋_GB2312"/>
          <w:b/>
          <w:bCs/>
          <w:sz w:val="28"/>
          <w:szCs w:val="28"/>
        </w:rPr>
      </w:pPr>
      <w:r>
        <w:rPr>
          <w:rFonts w:hint="eastAsia" w:ascii="仿宋_GB2312" w:hAnsi="仿宋_GB2312" w:cs="仿宋_GB2312"/>
          <w:b/>
          <w:bCs/>
          <w:sz w:val="28"/>
          <w:szCs w:val="28"/>
        </w:rPr>
        <w:t xml:space="preserve">第一条  项目内容 </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甲方委托乙方就“2025年食品安全（餐饮环节高风险单位）风险研判项目”提供技术服务工作，乙方应</w:t>
      </w:r>
      <w:r>
        <w:rPr>
          <w:rFonts w:hint="eastAsia" w:ascii="仿宋_GB2312" w:hAnsi="仿宋_GB2312" w:cs="仿宋_GB2312"/>
          <w:color w:val="000000"/>
          <w:sz w:val="28"/>
          <w:szCs w:val="28"/>
        </w:rPr>
        <w:t>采取“专家</w:t>
      </w:r>
      <w:r>
        <w:rPr>
          <w:rFonts w:ascii="仿宋_GB2312" w:hAnsi="仿宋_GB2312" w:cs="仿宋_GB2312"/>
          <w:color w:val="000000"/>
          <w:sz w:val="28"/>
          <w:szCs w:val="28"/>
        </w:rPr>
        <w:t>+执法人员”的模式，</w:t>
      </w:r>
      <w:r>
        <w:rPr>
          <w:rFonts w:hint="eastAsia" w:ascii="仿宋_GB2312" w:hAnsi="仿宋_GB2312" w:cs="仿宋_GB2312"/>
          <w:color w:val="000000"/>
          <w:sz w:val="28"/>
          <w:szCs w:val="28"/>
        </w:rPr>
        <w:t>对照《餐饮服务通用卫生规范 GB31654-2021》《第十五届全国运动会和第十二届残疾人运动会暨第九届特殊奥林匹克运动会广东赛区接待酒店食品安全评估指引》等要求，在全市学校食堂、养老机构食堂、中央厨房、集体用餐配送单位、大型餐馆、十五运会和残特奥会接待酒店等业态中抽取37家高风险单位开展风险研判，要求每一个检查点出具</w:t>
      </w:r>
      <w:r>
        <w:rPr>
          <w:rFonts w:ascii="仿宋_GB2312" w:hAnsi="仿宋_GB2312" w:cs="仿宋_GB2312"/>
          <w:color w:val="000000"/>
          <w:sz w:val="28"/>
          <w:szCs w:val="28"/>
        </w:rPr>
        <w:t>1份风险问题清单，每个餐饮业态出具1份分析</w:t>
      </w:r>
      <w:r>
        <w:rPr>
          <w:rFonts w:hint="eastAsia" w:ascii="仿宋_GB2312" w:hAnsi="仿宋_GB2312" w:cs="仿宋_GB2312"/>
          <w:color w:val="000000"/>
          <w:sz w:val="28"/>
          <w:szCs w:val="28"/>
        </w:rPr>
        <w:t>研判报告</w:t>
      </w:r>
      <w:r>
        <w:rPr>
          <w:rFonts w:hint="eastAsia" w:ascii="仿宋_GB2312" w:hAnsi="仿宋_GB2312" w:cs="仿宋_GB2312"/>
          <w:sz w:val="28"/>
          <w:szCs w:val="28"/>
        </w:rPr>
        <w:t>。</w:t>
      </w:r>
    </w:p>
    <w:p>
      <w:pPr>
        <w:spacing w:line="480" w:lineRule="exact"/>
        <w:rPr>
          <w:rFonts w:ascii="仿宋_GB2312" w:hAnsi="仿宋_GB2312" w:cs="仿宋_GB2312"/>
          <w:b/>
          <w:bCs/>
          <w:sz w:val="28"/>
          <w:szCs w:val="28"/>
        </w:rPr>
      </w:pPr>
      <w:r>
        <w:rPr>
          <w:rFonts w:hint="eastAsia" w:ascii="仿宋_GB2312" w:hAnsi="仿宋_GB2312" w:cs="仿宋_GB2312"/>
          <w:b/>
          <w:bCs/>
          <w:sz w:val="28"/>
          <w:szCs w:val="28"/>
        </w:rPr>
        <w:t>第二条  合同期限、项目费用及支付方式</w:t>
      </w:r>
    </w:p>
    <w:p>
      <w:pPr>
        <w:numPr>
          <w:ilvl w:val="0"/>
          <w:numId w:val="1"/>
        </w:numPr>
        <w:spacing w:line="480" w:lineRule="exact"/>
        <w:rPr>
          <w:rFonts w:ascii="仿宋_GB2312" w:hAnsi="仿宋_GB2312" w:cs="仿宋_GB2312"/>
          <w:bCs/>
          <w:sz w:val="28"/>
          <w:szCs w:val="28"/>
        </w:rPr>
      </w:pPr>
      <w:r>
        <w:rPr>
          <w:rFonts w:hint="eastAsia" w:ascii="仿宋_GB2312" w:hAnsi="仿宋_GB2312" w:cs="仿宋_GB2312"/>
          <w:color w:val="000000"/>
          <w:sz w:val="28"/>
          <w:szCs w:val="28"/>
        </w:rPr>
        <w:t>乙方向甲方提供服务的合同期限为1个月，自本合同签署生效之日起算。</w:t>
      </w:r>
    </w:p>
    <w:p>
      <w:pPr>
        <w:numPr>
          <w:ilvl w:val="0"/>
          <w:numId w:val="1"/>
        </w:numPr>
        <w:spacing w:line="480" w:lineRule="exact"/>
        <w:rPr>
          <w:rFonts w:ascii="仿宋_GB2312" w:hAnsi="仿宋_GB2312" w:cs="仿宋_GB2312"/>
          <w:bCs/>
          <w:sz w:val="28"/>
          <w:szCs w:val="28"/>
        </w:rPr>
      </w:pPr>
      <w:r>
        <w:rPr>
          <w:rFonts w:hint="eastAsia" w:ascii="仿宋_GB2312" w:hAnsi="仿宋_GB2312" w:cs="仿宋_GB2312"/>
          <w:sz w:val="28"/>
          <w:szCs w:val="28"/>
        </w:rPr>
        <w:t>乙方向甲方提供服务可获得的项目技术服</w:t>
      </w:r>
      <w:r>
        <w:rPr>
          <w:rFonts w:hint="eastAsia" w:ascii="仿宋_GB2312" w:hAnsi="仿宋_GB2312" w:cs="仿宋_GB2312"/>
          <w:color w:val="000000"/>
          <w:sz w:val="28"/>
          <w:szCs w:val="28"/>
        </w:rPr>
        <w:t>务总费用（即项目总</w:t>
      </w:r>
      <w:r>
        <w:rPr>
          <w:rFonts w:hint="eastAsia" w:ascii="仿宋_GB2312" w:hAnsi="仿宋_GB2312" w:cs="仿宋_GB2312"/>
          <w:sz w:val="28"/>
          <w:szCs w:val="28"/>
        </w:rPr>
        <w:t>费用）为人民币陆万零肆佰元整（¥60400元）</w:t>
      </w:r>
      <w:r>
        <w:rPr>
          <w:rFonts w:hint="eastAsia" w:ascii="仿宋_GB2312" w:hAnsi="仿宋_GB2312" w:cs="仿宋_GB2312"/>
          <w:bCs/>
          <w:sz w:val="28"/>
          <w:szCs w:val="28"/>
          <w:shd w:val="clear" w:color="auto" w:fill="FFFFFF"/>
        </w:rPr>
        <w:t>。</w:t>
      </w:r>
      <w:r>
        <w:rPr>
          <w:rFonts w:hint="eastAsia" w:ascii="仿宋_GB2312" w:hAnsi="仿宋_GB2312" w:cs="仿宋_GB2312"/>
          <w:sz w:val="28"/>
          <w:szCs w:val="28"/>
        </w:rPr>
        <w:t>项目总费用为含税价，且已包含甲方应付所有费用，甲方无需另外支付其他费用。</w:t>
      </w:r>
    </w:p>
    <w:p>
      <w:pPr>
        <w:numPr>
          <w:ilvl w:val="0"/>
          <w:numId w:val="1"/>
        </w:numPr>
        <w:spacing w:line="480" w:lineRule="exact"/>
        <w:rPr>
          <w:rFonts w:ascii="仿宋_GB2312" w:hAnsi="仿宋_GB2312" w:cs="仿宋_GB2312"/>
          <w:sz w:val="28"/>
          <w:szCs w:val="28"/>
        </w:rPr>
      </w:pPr>
      <w:r>
        <w:rPr>
          <w:rFonts w:hint="eastAsia" w:ascii="仿宋_GB2312" w:hAnsi="仿宋_GB2312" w:cs="仿宋_GB2312"/>
          <w:sz w:val="28"/>
          <w:szCs w:val="28"/>
        </w:rPr>
        <w:t>付款时间、方式。</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双方签署合同后，甲方分两期支付相应的款项给乙方：</w:t>
      </w:r>
    </w:p>
    <w:p>
      <w:pPr>
        <w:numPr>
          <w:ilvl w:val="0"/>
          <w:numId w:val="2"/>
        </w:num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第一期：甲、乙双方签订本合同后，甲方收到乙方开具的相对应金额发票之日起60日内，向乙方支付项目总费用的50%，即人民币叁万零贰佰元整（</w:t>
      </w:r>
      <w:r>
        <w:rPr>
          <w:rFonts w:hint="eastAsia" w:ascii="仿宋_GB2312" w:hAnsi="仿宋_GB2312" w:cs="仿宋_GB2312"/>
          <w:bCs/>
          <w:sz w:val="28"/>
          <w:szCs w:val="28"/>
        </w:rPr>
        <w:t>￥30200.00元</w:t>
      </w:r>
      <w:r>
        <w:rPr>
          <w:rFonts w:hint="eastAsia" w:ascii="仿宋_GB2312" w:hAnsi="仿宋_GB2312" w:cs="仿宋_GB2312"/>
          <w:sz w:val="28"/>
          <w:szCs w:val="28"/>
        </w:rPr>
        <w:t>）；</w:t>
      </w:r>
    </w:p>
    <w:p>
      <w:pPr>
        <w:numPr>
          <w:ilvl w:val="0"/>
          <w:numId w:val="2"/>
        </w:num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第二期：待项目经甲方验收合格后，甲方再次凭收到乙方开具等额有效的发票之日起60日内支付剩余项目费用给乙方，即人民币叁万零贰佰元整（</w:t>
      </w:r>
      <w:r>
        <w:rPr>
          <w:rFonts w:hint="eastAsia" w:ascii="仿宋_GB2312" w:hAnsi="仿宋_GB2312" w:cs="仿宋_GB2312"/>
          <w:bCs/>
          <w:sz w:val="28"/>
          <w:szCs w:val="28"/>
        </w:rPr>
        <w:t>￥30200.00元</w:t>
      </w:r>
      <w:r>
        <w:rPr>
          <w:rFonts w:hint="eastAsia" w:ascii="仿宋_GB2312" w:hAnsi="仿宋_GB2312" w:cs="仿宋_GB2312"/>
          <w:sz w:val="28"/>
          <w:szCs w:val="28"/>
        </w:rPr>
        <w:t>）。</w:t>
      </w:r>
    </w:p>
    <w:p>
      <w:pPr>
        <w:numPr>
          <w:ilvl w:val="0"/>
          <w:numId w:val="2"/>
        </w:numPr>
        <w:spacing w:line="480" w:lineRule="exact"/>
        <w:ind w:firstLine="562" w:firstLineChars="200"/>
        <w:rPr>
          <w:rFonts w:ascii="仿宋_GB2312" w:hAnsi="仿宋_GB2312" w:cs="仿宋_GB2312"/>
          <w:b/>
          <w:sz w:val="28"/>
          <w:szCs w:val="28"/>
        </w:rPr>
      </w:pPr>
      <w:r>
        <w:rPr>
          <w:rFonts w:hint="eastAsia" w:ascii="仿宋_GB2312" w:hAnsi="仿宋_GB2312" w:cs="仿宋_GB2312"/>
          <w:b/>
          <w:color w:val="000000"/>
          <w:sz w:val="28"/>
          <w:szCs w:val="28"/>
        </w:rPr>
        <w:t>乙方确认：因甲方使用的是财政资金，本条约定甲方付款时间为甲方向政府财政支付部门提交办理财政支付申请手续的时间（不含政府财政支付部门审核的时间）；甲方在前款约定的时间内提交支付申请手续后即视为甲方已经按期支付。如因财政资金的下达、拨付问题导致付款延迟的，不视为甲方违约，乙方不能据此追究甲方逾期付款的违约责任</w:t>
      </w:r>
      <w:r>
        <w:rPr>
          <w:rFonts w:hint="eastAsia" w:ascii="仿宋_GB2312" w:hAnsi="仿宋_GB2312" w:cs="仿宋_GB2312"/>
          <w:b/>
          <w:sz w:val="28"/>
          <w:szCs w:val="28"/>
        </w:rPr>
        <w:t>。</w:t>
      </w:r>
    </w:p>
    <w:p>
      <w:pPr>
        <w:numPr>
          <w:ilvl w:val="0"/>
          <w:numId w:val="1"/>
        </w:numPr>
        <w:spacing w:line="480" w:lineRule="exact"/>
        <w:rPr>
          <w:rFonts w:ascii="仿宋_GB2312" w:hAnsi="仿宋_GB2312" w:cs="仿宋_GB2312"/>
          <w:sz w:val="28"/>
          <w:szCs w:val="28"/>
        </w:rPr>
      </w:pPr>
      <w:r>
        <w:rPr>
          <w:rFonts w:hint="eastAsia" w:ascii="仿宋_GB2312" w:hAnsi="仿宋_GB2312" w:cs="仿宋_GB2312"/>
          <w:sz w:val="28"/>
          <w:szCs w:val="28"/>
        </w:rPr>
        <w:t>乙方账户信息如下：</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开户名：</w:t>
      </w:r>
      <w:r>
        <w:rPr>
          <w:rFonts w:hint="eastAsia" w:ascii="仿宋_GB2312" w:hAnsi="仿宋_GB2312" w:cs="仿宋_GB2312"/>
          <w:sz w:val="28"/>
          <w:szCs w:val="28"/>
          <w:u w:val="single"/>
        </w:rPr>
        <w:t xml:space="preserve">                        </w:t>
      </w:r>
    </w:p>
    <w:p>
      <w:pPr>
        <w:spacing w:line="480" w:lineRule="exact"/>
        <w:ind w:firstLine="560" w:firstLineChars="200"/>
        <w:rPr>
          <w:rFonts w:ascii="仿宋_GB2312" w:hAnsi="仿宋_GB2312" w:cs="仿宋_GB2312"/>
          <w:sz w:val="28"/>
          <w:szCs w:val="28"/>
          <w:u w:val="single"/>
        </w:rPr>
      </w:pPr>
      <w:r>
        <w:rPr>
          <w:rFonts w:hint="eastAsia" w:ascii="仿宋_GB2312" w:hAnsi="仿宋_GB2312" w:cs="仿宋_GB2312"/>
          <w:sz w:val="28"/>
          <w:szCs w:val="28"/>
        </w:rPr>
        <w:t>开户行：</w:t>
      </w:r>
      <w:r>
        <w:rPr>
          <w:rFonts w:hint="eastAsia" w:ascii="仿宋_GB2312" w:hAnsi="仿宋_GB2312" w:cs="仿宋_GB2312"/>
          <w:sz w:val="28"/>
          <w:szCs w:val="28"/>
          <w:u w:val="single"/>
        </w:rPr>
        <w:t xml:space="preserve">                        </w:t>
      </w:r>
    </w:p>
    <w:p>
      <w:pPr>
        <w:spacing w:line="480" w:lineRule="exact"/>
        <w:ind w:firstLine="560" w:firstLineChars="200"/>
        <w:rPr>
          <w:rFonts w:ascii="仿宋_GB2312" w:hAnsi="仿宋_GB2312" w:cs="仿宋_GB2312"/>
          <w:sz w:val="28"/>
          <w:szCs w:val="28"/>
          <w:u w:val="single"/>
        </w:rPr>
      </w:pPr>
      <w:r>
        <w:rPr>
          <w:rFonts w:hint="eastAsia" w:ascii="仿宋_GB2312" w:hAnsi="仿宋_GB2312" w:cs="仿宋_GB2312"/>
          <w:sz w:val="28"/>
          <w:szCs w:val="28"/>
        </w:rPr>
        <w:t>账  号：</w:t>
      </w:r>
      <w:r>
        <w:rPr>
          <w:rFonts w:hint="eastAsia" w:ascii="仿宋_GB2312" w:hAnsi="仿宋_GB2312" w:cs="仿宋_GB2312"/>
          <w:sz w:val="28"/>
          <w:szCs w:val="28"/>
          <w:u w:val="single"/>
        </w:rPr>
        <w:t xml:space="preserve">                        </w:t>
      </w:r>
    </w:p>
    <w:p>
      <w:pPr>
        <w:pStyle w:val="8"/>
        <w:numPr>
          <w:ilvl w:val="0"/>
          <w:numId w:val="1"/>
        </w:num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甲方开票信息如下：</w:t>
      </w:r>
    </w:p>
    <w:p>
      <w:pPr>
        <w:pStyle w:val="8"/>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lang w:bidi="ar"/>
        </w:rPr>
        <w:t>单位名称：江门市市场监督管理局</w:t>
      </w:r>
    </w:p>
    <w:p>
      <w:pPr>
        <w:pStyle w:val="8"/>
        <w:ind w:firstLine="560" w:firstLineChars="200"/>
        <w:rPr>
          <w:rFonts w:ascii="仿宋_GB2312" w:hAnsi="仿宋_GB2312" w:cs="仿宋_GB2312"/>
          <w:sz w:val="28"/>
          <w:szCs w:val="28"/>
        </w:rPr>
      </w:pPr>
      <w:r>
        <w:rPr>
          <w:rFonts w:hint="eastAsia" w:ascii="仿宋_GB2312" w:hAnsi="仿宋_GB2312" w:cs="仿宋_GB2312"/>
          <w:sz w:val="28"/>
          <w:szCs w:val="28"/>
          <w:lang w:bidi="ar"/>
        </w:rPr>
        <w:t>统一信用代码：11440700MB2C90725T</w:t>
      </w:r>
    </w:p>
    <w:p>
      <w:pPr>
        <w:spacing w:line="480" w:lineRule="exact"/>
        <w:rPr>
          <w:rFonts w:ascii="仿宋_GB2312" w:hAnsi="仿宋_GB2312" w:cs="仿宋_GB2312"/>
          <w:color w:val="666666"/>
          <w:sz w:val="28"/>
          <w:szCs w:val="28"/>
          <w:shd w:val="clear" w:color="auto" w:fill="FFFFFF"/>
        </w:rPr>
      </w:pPr>
      <w:r>
        <w:rPr>
          <w:rFonts w:hint="eastAsia" w:ascii="仿宋_GB2312" w:hAnsi="仿宋_GB2312" w:cs="仿宋_GB2312"/>
          <w:b/>
          <w:bCs/>
          <w:sz w:val="28"/>
          <w:szCs w:val="28"/>
        </w:rPr>
        <w:t>第三条  验收方式</w:t>
      </w:r>
      <w:r>
        <w:rPr>
          <w:rFonts w:hint="eastAsia" w:ascii="仿宋_GB2312" w:hAnsi="仿宋_GB2312" w:cs="仿宋_GB2312"/>
          <w:color w:val="666666"/>
          <w:sz w:val="28"/>
          <w:szCs w:val="28"/>
          <w:shd w:val="clear" w:color="auto" w:fill="FFFFFF"/>
        </w:rPr>
        <w:t xml:space="preserve"> </w:t>
      </w:r>
    </w:p>
    <w:p>
      <w:pPr>
        <w:numPr>
          <w:ilvl w:val="0"/>
          <w:numId w:val="3"/>
        </w:num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验收时间：本项目结束之日起10个工作日内，乙方应按采购公告、实施方案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w:t>
      </w:r>
    </w:p>
    <w:p>
      <w:pPr>
        <w:numPr>
          <w:ilvl w:val="0"/>
          <w:numId w:val="3"/>
        </w:num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验收标准：由甲方依据国家、省、市制定的法律法规政策、</w:t>
      </w:r>
      <w:r>
        <w:rPr>
          <w:rFonts w:hint="eastAsia" w:ascii="仿宋_GB2312" w:hAnsi="仿宋_GB2312" w:cs="仿宋_GB2312"/>
          <w:bCs/>
          <w:sz w:val="28"/>
          <w:szCs w:val="28"/>
        </w:rPr>
        <w:t>行业规范或标准以及招标公告、本合同约定的技术、服务标准进行验收。</w:t>
      </w:r>
    </w:p>
    <w:p>
      <w:pPr>
        <w:numPr>
          <w:ilvl w:val="0"/>
          <w:numId w:val="3"/>
        </w:numPr>
        <w:spacing w:line="480" w:lineRule="exact"/>
        <w:ind w:firstLine="560" w:firstLineChars="200"/>
        <w:rPr>
          <w:rFonts w:ascii="仿宋_GB2312" w:hAnsi="仿宋_GB2312" w:cs="仿宋_GB2312"/>
          <w:sz w:val="28"/>
          <w:szCs w:val="28"/>
        </w:rPr>
      </w:pPr>
      <w:r>
        <w:rPr>
          <w:rFonts w:hint="eastAsia" w:ascii="仿宋_GB2312" w:hAnsi="仿宋_GB2312" w:cs="仿宋_GB2312"/>
          <w:bCs/>
          <w:sz w:val="28"/>
          <w:szCs w:val="28"/>
        </w:rPr>
        <w:t>经甲方验收不</w:t>
      </w:r>
      <w:r>
        <w:rPr>
          <w:rFonts w:hint="eastAsia" w:ascii="仿宋_GB2312" w:hAnsi="仿宋_GB2312" w:cs="仿宋_GB2312"/>
          <w:sz w:val="28"/>
          <w:szCs w:val="28"/>
        </w:rPr>
        <w:t>合格</w:t>
      </w:r>
      <w:r>
        <w:rPr>
          <w:rFonts w:hint="eastAsia" w:ascii="仿宋_GB2312" w:hAnsi="仿宋_GB2312" w:cs="仿宋_GB2312"/>
          <w:bCs/>
          <w:sz w:val="28"/>
          <w:szCs w:val="28"/>
        </w:rPr>
        <w:t>的，乙方应在甲方指定期限内采取弥补措施并再次提交给甲方验收；验收合格后由甲方和乙方共同签字确认并作为结算及甲方支付第二期款项的依据。</w:t>
      </w:r>
    </w:p>
    <w:p>
      <w:pPr>
        <w:numPr>
          <w:ilvl w:val="0"/>
          <w:numId w:val="3"/>
        </w:num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即不能要求甲方予以承担）。</w:t>
      </w:r>
    </w:p>
    <w:p>
      <w:pPr>
        <w:spacing w:line="480" w:lineRule="exact"/>
        <w:rPr>
          <w:rFonts w:ascii="仿宋_GB2312" w:hAnsi="仿宋_GB2312" w:cs="仿宋_GB2312"/>
          <w:b/>
          <w:bCs/>
          <w:sz w:val="28"/>
          <w:szCs w:val="28"/>
        </w:rPr>
      </w:pPr>
      <w:r>
        <w:rPr>
          <w:rFonts w:hint="eastAsia" w:ascii="仿宋_GB2312" w:hAnsi="仿宋_GB2312" w:cs="仿宋_GB2312"/>
          <w:b/>
          <w:bCs/>
          <w:sz w:val="28"/>
          <w:szCs w:val="28"/>
        </w:rPr>
        <w:t>第四条  甲方的权利和义务</w:t>
      </w:r>
    </w:p>
    <w:p>
      <w:pPr>
        <w:numPr>
          <w:ilvl w:val="0"/>
          <w:numId w:val="4"/>
        </w:num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甲方为乙方提供项目实施中所需的相关协助；</w:t>
      </w:r>
    </w:p>
    <w:p>
      <w:pPr>
        <w:numPr>
          <w:ilvl w:val="0"/>
          <w:numId w:val="4"/>
        </w:num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项目实施期间，甲方有权向乙方提出建议或具体要求；</w:t>
      </w:r>
    </w:p>
    <w:p>
      <w:pPr>
        <w:numPr>
          <w:ilvl w:val="0"/>
          <w:numId w:val="4"/>
        </w:numPr>
        <w:spacing w:line="480" w:lineRule="exact"/>
        <w:ind w:firstLine="560" w:firstLineChars="200"/>
        <w:rPr>
          <w:rFonts w:ascii="仿宋_GB2312" w:hAnsi="仿宋_GB2312" w:cs="仿宋_GB2312"/>
          <w:color w:val="000000"/>
          <w:sz w:val="28"/>
          <w:szCs w:val="28"/>
        </w:rPr>
      </w:pPr>
      <w:r>
        <w:rPr>
          <w:rFonts w:hint="eastAsia" w:ascii="仿宋_GB2312" w:hAnsi="仿宋_GB2312" w:cs="仿宋_GB2312"/>
          <w:sz w:val="28"/>
          <w:szCs w:val="28"/>
        </w:rPr>
        <w:t>根据甲、乙双方确定的项目计划，甲方有权督促乙方的实施情况，了解</w:t>
      </w:r>
      <w:r>
        <w:rPr>
          <w:rFonts w:hint="eastAsia" w:ascii="仿宋_GB2312" w:hAnsi="仿宋_GB2312" w:cs="仿宋_GB2312"/>
          <w:color w:val="000000"/>
          <w:sz w:val="28"/>
          <w:szCs w:val="28"/>
        </w:rPr>
        <w:t>工作进度及开展情况。</w:t>
      </w:r>
    </w:p>
    <w:p>
      <w:pPr>
        <w:numPr>
          <w:ilvl w:val="0"/>
          <w:numId w:val="4"/>
        </w:num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若甲方发现有问题，乙方应当在接到甲方的质疑之日2日内提供相关说明；若甲方认为需要整改的，乙方应当根据甲方要求整改至甲方认为合格为止；若乙方拒绝整改，则视为乙方违约。</w:t>
      </w:r>
    </w:p>
    <w:p>
      <w:pPr>
        <w:numPr>
          <w:ilvl w:val="0"/>
          <w:numId w:val="4"/>
        </w:num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甲方按本合同约定向乙方支付项目费用。</w:t>
      </w:r>
    </w:p>
    <w:p>
      <w:pPr>
        <w:numPr>
          <w:ilvl w:val="0"/>
          <w:numId w:val="4"/>
        </w:num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甲方应及时进行验收以及按约定配合乙方的其他工作。</w:t>
      </w:r>
    </w:p>
    <w:p>
      <w:pPr>
        <w:spacing w:line="480" w:lineRule="exact"/>
        <w:rPr>
          <w:rFonts w:ascii="仿宋_GB2312" w:hAnsi="仿宋_GB2312" w:cs="仿宋_GB2312"/>
          <w:b/>
          <w:bCs/>
          <w:sz w:val="28"/>
          <w:szCs w:val="28"/>
        </w:rPr>
      </w:pPr>
      <w:r>
        <w:rPr>
          <w:rFonts w:hint="eastAsia" w:ascii="仿宋_GB2312" w:hAnsi="仿宋_GB2312" w:cs="仿宋_GB2312"/>
          <w:b/>
          <w:bCs/>
          <w:sz w:val="28"/>
          <w:szCs w:val="28"/>
        </w:rPr>
        <w:t>第五条  乙方的权利和义务</w:t>
      </w:r>
    </w:p>
    <w:p>
      <w:pPr>
        <w:numPr>
          <w:ilvl w:val="0"/>
          <w:numId w:val="5"/>
        </w:numPr>
        <w:adjustRightInd w:val="0"/>
        <w:snapToGrid w:val="0"/>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lang w:bidi="ar"/>
        </w:rPr>
        <w:t>根据甲方要求做出工作实施方案，并完成工作任务以及确保完成任务期间的人身安全、公私财产安全、交通安全等各项安全事宜</w:t>
      </w:r>
      <w:r>
        <w:rPr>
          <w:rFonts w:hint="eastAsia" w:ascii="仿宋" w:hAnsi="仿宋" w:eastAsia="仿宋" w:cs="仿宋"/>
          <w:sz w:val="28"/>
          <w:szCs w:val="28"/>
          <w:lang w:bidi="ar"/>
        </w:rPr>
        <w:t>及承担责任，若因乙方原因导致出现安全事故、安全责任等情况发生的，由乙方承担全部的赔偿责任</w:t>
      </w:r>
      <w:r>
        <w:rPr>
          <w:rFonts w:hint="eastAsia" w:ascii="仿宋_GB2312" w:hAnsi="仿宋_GB2312" w:cs="仿宋_GB2312"/>
          <w:sz w:val="28"/>
          <w:szCs w:val="28"/>
        </w:rPr>
        <w:t>。</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项目在本合同履行过程中，非因乙方原因有可能致使合同全部不能履行或者部分不能履行的，乙方应在知晓该等事项之日起1个工作日内通知甲方，同时采取措施减少损失。</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因乙方原因，致使合同全部或者部分不能履行的，乙方承担合同不能履行的全部风险及责任，甲方不予支付未履行部分的合同价款给乙方</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乙方在项目实施过程中不得侵犯第三人知识产权以及其他权益。需要使用第三人知识产权的，乙方应取得权利人许可或者授权并由乙方承担费用。如因第三方提出其专利权、商标权或其他知识产权的侵权之诉，则一切法律责任由乙方承担（包括但不限于律师费、诉讼费、赔偿款、调查费、差旅费等）。</w:t>
      </w:r>
    </w:p>
    <w:p>
      <w:pPr>
        <w:numPr>
          <w:ilvl w:val="0"/>
          <w:numId w:val="5"/>
        </w:numPr>
        <w:adjustRightInd w:val="0"/>
        <w:snapToGrid w:val="0"/>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pPr>
        <w:spacing w:line="480" w:lineRule="exact"/>
        <w:rPr>
          <w:rFonts w:ascii="仿宋_GB2312" w:hAnsi="仿宋_GB2312" w:cs="仿宋_GB2312"/>
          <w:b/>
          <w:bCs/>
          <w:sz w:val="28"/>
          <w:szCs w:val="28"/>
        </w:rPr>
      </w:pPr>
      <w:r>
        <w:rPr>
          <w:rFonts w:hint="eastAsia" w:ascii="仿宋_GB2312" w:hAnsi="仿宋_GB2312" w:cs="仿宋_GB2312"/>
          <w:b/>
          <w:bCs/>
          <w:sz w:val="28"/>
          <w:szCs w:val="28"/>
        </w:rPr>
        <w:t>第六条  保密条款</w:t>
      </w:r>
    </w:p>
    <w:p>
      <w:pPr>
        <w:spacing w:line="480" w:lineRule="exact"/>
        <w:ind w:firstLine="560" w:firstLineChars="200"/>
        <w:outlineLvl w:val="0"/>
        <w:rPr>
          <w:rFonts w:ascii="仿宋_GB2312" w:hAnsi="仿宋_GB2312" w:cs="仿宋_GB2312"/>
          <w:sz w:val="28"/>
          <w:szCs w:val="28"/>
        </w:rPr>
      </w:pPr>
      <w:r>
        <w:rPr>
          <w:rFonts w:hint="eastAsia" w:ascii="仿宋_GB2312" w:hAnsi="仿宋_GB2312" w:cs="仿宋_GB2312"/>
          <w:color w:val="000000"/>
          <w:sz w:val="28"/>
          <w:szCs w:val="28"/>
        </w:rPr>
        <w:t>乙方承诺严格遵守国家关于保密方面的所有法律法规，对涉及甲方工作秘密的数据及资料保密。所有工作时间内，可能或必须知道的甲方书面资料或其他拷贝资料，在项目完成并在甲方验收后，不得保留书面或其他形式的拷贝资料，并对已知的数据、资料保密，不得泄露，否则，应当依法承担相应的法律责任</w:t>
      </w:r>
      <w:r>
        <w:rPr>
          <w:rFonts w:hint="eastAsia" w:ascii="仿宋_GB2312" w:hAnsi="仿宋_GB2312" w:cs="仿宋_GB2312"/>
          <w:sz w:val="28"/>
          <w:szCs w:val="28"/>
          <w:lang w:bidi="ar"/>
        </w:rPr>
        <w:t>包括但不限于律师费、诉讼费、赔偿款、交通费、调查费等</w:t>
      </w:r>
      <w:r>
        <w:rPr>
          <w:rFonts w:hint="eastAsia" w:ascii="仿宋_GB2312" w:hAnsi="仿宋_GB2312" w:cs="仿宋_GB2312"/>
          <w:sz w:val="28"/>
          <w:szCs w:val="28"/>
        </w:rPr>
        <w:t>。</w:t>
      </w:r>
    </w:p>
    <w:p>
      <w:pPr>
        <w:spacing w:line="480" w:lineRule="exact"/>
        <w:rPr>
          <w:rFonts w:ascii="仿宋_GB2312" w:hAnsi="仿宋_GB2312" w:cs="仿宋_GB2312"/>
          <w:b/>
          <w:bCs/>
          <w:sz w:val="28"/>
          <w:szCs w:val="28"/>
        </w:rPr>
      </w:pPr>
      <w:r>
        <w:rPr>
          <w:rFonts w:hint="eastAsia" w:ascii="仿宋_GB2312" w:hAnsi="仿宋_GB2312" w:cs="仿宋_GB2312"/>
          <w:b/>
          <w:bCs/>
          <w:sz w:val="28"/>
          <w:szCs w:val="28"/>
        </w:rPr>
        <w:t>第七条  不可抗力</w:t>
      </w:r>
    </w:p>
    <w:p>
      <w:pPr>
        <w:numPr>
          <w:ilvl w:val="0"/>
          <w:numId w:val="6"/>
        </w:numPr>
        <w:spacing w:line="480" w:lineRule="exact"/>
        <w:rPr>
          <w:rFonts w:ascii="仿宋_GB2312" w:hAnsi="仿宋_GB2312" w:cs="仿宋_GB2312"/>
          <w:sz w:val="28"/>
          <w:szCs w:val="28"/>
        </w:rPr>
      </w:pPr>
      <w:r>
        <w:rPr>
          <w:rFonts w:hint="eastAsia" w:ascii="仿宋_GB2312" w:hAnsi="仿宋_GB2312" w:cs="仿宋_GB2312"/>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6"/>
        </w:numPr>
        <w:spacing w:line="480" w:lineRule="exact"/>
        <w:rPr>
          <w:rFonts w:ascii="仿宋_GB2312" w:hAnsi="仿宋_GB2312" w:cs="仿宋_GB2312"/>
          <w:sz w:val="28"/>
          <w:szCs w:val="28"/>
        </w:rPr>
      </w:pPr>
      <w:r>
        <w:rPr>
          <w:rFonts w:hint="eastAsia" w:ascii="仿宋_GB2312" w:hAnsi="仿宋_GB2312" w:cs="仿宋_GB2312"/>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6"/>
        </w:numPr>
        <w:spacing w:line="480" w:lineRule="exact"/>
        <w:rPr>
          <w:rFonts w:ascii="仿宋_GB2312" w:hAnsi="仿宋_GB2312" w:cs="仿宋_GB2312"/>
          <w:sz w:val="28"/>
          <w:szCs w:val="28"/>
        </w:rPr>
      </w:pPr>
      <w:r>
        <w:rPr>
          <w:rFonts w:hint="eastAsia" w:ascii="仿宋_GB2312" w:hAnsi="仿宋_GB2312" w:cs="仿宋_GB2312"/>
          <w:sz w:val="28"/>
          <w:szCs w:val="28"/>
        </w:rPr>
        <w:t>一旦不可抗力已经停止，受影响的一方应及时通知另一方，且应恢复履行本合同项下的义务。</w:t>
      </w:r>
    </w:p>
    <w:p>
      <w:pPr>
        <w:spacing w:line="480" w:lineRule="exact"/>
        <w:rPr>
          <w:rFonts w:ascii="仿宋_GB2312" w:hAnsi="仿宋_GB2312" w:cs="仿宋_GB2312"/>
          <w:b/>
          <w:bCs/>
          <w:sz w:val="28"/>
          <w:szCs w:val="28"/>
        </w:rPr>
      </w:pPr>
      <w:r>
        <w:rPr>
          <w:rFonts w:hint="eastAsia" w:ascii="仿宋_GB2312" w:hAnsi="仿宋_GB2312" w:cs="仿宋_GB2312"/>
          <w:b/>
          <w:bCs/>
          <w:sz w:val="28"/>
          <w:szCs w:val="28"/>
        </w:rPr>
        <w:t>第八条  违约责任</w:t>
      </w:r>
    </w:p>
    <w:p>
      <w:pPr>
        <w:numPr>
          <w:ilvl w:val="0"/>
          <w:numId w:val="7"/>
        </w:numPr>
        <w:spacing w:line="480" w:lineRule="exact"/>
        <w:rPr>
          <w:rFonts w:ascii="仿宋_GB2312" w:hAnsi="仿宋_GB2312" w:cs="仿宋_GB2312"/>
          <w:sz w:val="28"/>
          <w:szCs w:val="28"/>
        </w:rPr>
      </w:pPr>
      <w:r>
        <w:rPr>
          <w:rFonts w:hint="eastAsia" w:ascii="仿宋_GB2312" w:hAnsi="仿宋_GB2312" w:cs="仿宋_GB2312"/>
          <w:sz w:val="28"/>
          <w:szCs w:val="28"/>
        </w:rPr>
        <w:t>甲方的违约责任：</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甲方未按本合同约定向乙方支付款项的，乙方有权要求甲方按照逾期支付款项的日万分之一向乙方支付违约金，但因乙方自身原因造成的除外。</w:t>
      </w:r>
    </w:p>
    <w:p>
      <w:pPr>
        <w:numPr>
          <w:ilvl w:val="0"/>
          <w:numId w:val="7"/>
        </w:numPr>
        <w:spacing w:line="480" w:lineRule="exact"/>
        <w:rPr>
          <w:rFonts w:ascii="仿宋_GB2312" w:hAnsi="仿宋_GB2312" w:cs="仿宋_GB2312"/>
          <w:sz w:val="28"/>
          <w:szCs w:val="28"/>
        </w:rPr>
      </w:pPr>
      <w:r>
        <w:rPr>
          <w:rFonts w:hint="eastAsia" w:ascii="仿宋_GB2312" w:hAnsi="仿宋_GB2312" w:cs="仿宋_GB2312"/>
          <w:sz w:val="28"/>
          <w:szCs w:val="28"/>
        </w:rPr>
        <w:t>乙方的违约责任：</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1.乙方未按照合同约定及时提交项目成果性文件或逾期完成项目工作的，从逾期之日起，甲方有权要求乙方按本项目服务总费用的日千分之一向甲方支付违约金直到乙方提交或者完成之日止。</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（1）乙方逾期提交项目成果性文件或者逾期完成项目工作超过15日以上的；</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（2）乙方因自身原因不能提供服务（不包括本条第1点的情形）或提供的服务质量不符合本合同约定以及相关法律法规规定的；</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（3）未经甲方同意，乙方将本合同项目部分或全部技术服务工作转让第三人负责的</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（4）乙方违反保密约定的。</w:t>
      </w:r>
    </w:p>
    <w:p>
      <w:pPr>
        <w:spacing w:line="480" w:lineRule="exact"/>
        <w:rPr>
          <w:rFonts w:ascii="仿宋_GB2312" w:hAnsi="仿宋_GB2312" w:cs="仿宋_GB2312"/>
          <w:sz w:val="28"/>
          <w:szCs w:val="28"/>
        </w:rPr>
      </w:pPr>
      <w:r>
        <w:rPr>
          <w:rFonts w:hint="eastAsia" w:ascii="仿宋_GB2312" w:hAnsi="仿宋_GB2312" w:cs="仿宋_GB2312"/>
          <w:b/>
          <w:bCs/>
          <w:sz w:val="28"/>
          <w:szCs w:val="28"/>
        </w:rPr>
        <w:t>第九条  双方确定，出现下列情形，致使本合同的履行成为不必要或不能的，可以解除本合同：</w:t>
      </w:r>
    </w:p>
    <w:p>
      <w:pPr>
        <w:numPr>
          <w:ilvl w:val="0"/>
          <w:numId w:val="8"/>
        </w:numPr>
        <w:spacing w:line="480" w:lineRule="exact"/>
        <w:rPr>
          <w:rFonts w:ascii="仿宋_GB2312" w:hAnsi="仿宋_GB2312" w:cs="仿宋_GB2312"/>
          <w:sz w:val="28"/>
          <w:szCs w:val="28"/>
        </w:rPr>
      </w:pPr>
      <w:r>
        <w:rPr>
          <w:rFonts w:hint="eastAsia" w:ascii="仿宋_GB2312" w:hAnsi="仿宋_GB2312" w:cs="仿宋_GB2312"/>
          <w:sz w:val="28"/>
          <w:szCs w:val="28"/>
        </w:rPr>
        <w:t>发生不可抗力。</w:t>
      </w:r>
    </w:p>
    <w:p>
      <w:pPr>
        <w:numPr>
          <w:ilvl w:val="0"/>
          <w:numId w:val="8"/>
        </w:numPr>
        <w:spacing w:line="480" w:lineRule="exact"/>
        <w:rPr>
          <w:rFonts w:ascii="仿宋_GB2312" w:hAnsi="仿宋_GB2312" w:cs="仿宋_GB2312"/>
          <w:sz w:val="28"/>
          <w:szCs w:val="28"/>
        </w:rPr>
      </w:pPr>
      <w:r>
        <w:rPr>
          <w:rFonts w:hint="eastAsia" w:ascii="仿宋_GB2312" w:hAnsi="仿宋_GB2312" w:cs="仿宋_GB2312"/>
          <w:sz w:val="28"/>
          <w:szCs w:val="28"/>
        </w:rPr>
        <w:t>因一方违约使合同不能继续履行或没有必要继续履行。</w:t>
      </w:r>
    </w:p>
    <w:p>
      <w:pPr>
        <w:numPr>
          <w:ilvl w:val="0"/>
          <w:numId w:val="8"/>
        </w:numPr>
        <w:spacing w:line="480" w:lineRule="exact"/>
        <w:rPr>
          <w:rFonts w:ascii="仿宋_GB2312" w:hAnsi="仿宋_GB2312" w:cs="仿宋_GB2312"/>
          <w:sz w:val="28"/>
          <w:szCs w:val="28"/>
        </w:rPr>
      </w:pPr>
      <w:r>
        <w:rPr>
          <w:rFonts w:hint="eastAsia" w:ascii="仿宋_GB2312" w:hAnsi="仿宋_GB2312" w:cs="仿宋_GB2312"/>
          <w:sz w:val="28"/>
          <w:szCs w:val="28"/>
        </w:rPr>
        <w:t>出现法律法规或国家政策规定等特定情形导致合同不能继续履行。</w:t>
      </w:r>
    </w:p>
    <w:p>
      <w:pPr>
        <w:spacing w:line="480" w:lineRule="exact"/>
        <w:rPr>
          <w:rFonts w:ascii="仿宋_GB2312" w:hAnsi="仿宋_GB2312" w:cs="仿宋_GB2312"/>
          <w:b/>
          <w:bCs/>
          <w:sz w:val="28"/>
          <w:szCs w:val="28"/>
        </w:rPr>
      </w:pPr>
      <w:r>
        <w:rPr>
          <w:rFonts w:hint="eastAsia" w:ascii="仿宋_GB2312" w:hAnsi="仿宋_GB2312" w:cs="仿宋_GB2312"/>
          <w:b/>
          <w:bCs/>
          <w:sz w:val="28"/>
          <w:szCs w:val="28"/>
        </w:rPr>
        <w:t>第十条  争议的解决办法</w:t>
      </w:r>
    </w:p>
    <w:p>
      <w:pPr>
        <w:numPr>
          <w:ilvl w:val="255"/>
          <w:numId w:val="0"/>
        </w:num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本合同在履行过程中发生的争议，由当事人双方协商解决。协商不成的，合同双方任意一方均可向甲方所在地有管辖权的人民法院提起诉讼处理。</w:t>
      </w:r>
    </w:p>
    <w:p>
      <w:pPr>
        <w:spacing w:line="480" w:lineRule="exact"/>
        <w:jc w:val="left"/>
        <w:rPr>
          <w:rFonts w:ascii="仿宋_GB2312" w:hAnsi="仿宋_GB2312" w:cs="仿宋_GB2312"/>
          <w:b/>
          <w:bCs/>
          <w:sz w:val="28"/>
          <w:szCs w:val="28"/>
        </w:rPr>
      </w:pPr>
      <w:r>
        <w:rPr>
          <w:rFonts w:hint="eastAsia" w:ascii="仿宋_GB2312" w:hAnsi="仿宋_GB2312" w:cs="仿宋_GB2312"/>
          <w:b/>
          <w:bCs/>
          <w:sz w:val="28"/>
          <w:szCs w:val="28"/>
        </w:rPr>
        <w:t>第十一条 其他</w:t>
      </w:r>
    </w:p>
    <w:p>
      <w:pPr>
        <w:numPr>
          <w:ilvl w:val="0"/>
          <w:numId w:val="9"/>
        </w:numPr>
        <w:spacing w:line="480" w:lineRule="exact"/>
        <w:rPr>
          <w:rFonts w:ascii="仿宋_GB2312" w:hAnsi="仿宋_GB2312" w:cs="仿宋_GB2312"/>
          <w:sz w:val="28"/>
          <w:szCs w:val="28"/>
        </w:rPr>
      </w:pPr>
      <w:r>
        <w:rPr>
          <w:rFonts w:hint="eastAsia" w:ascii="仿宋_GB2312" w:hAnsi="仿宋_GB2312" w:cs="仿宋_GB2312"/>
          <w:sz w:val="28"/>
          <w:szCs w:val="28"/>
        </w:rPr>
        <w:t>合同如有未尽事宜，可以经甲、乙双方另行协商形成书面补充协议，书面补充协议经双方签字、盖章后生效。</w:t>
      </w:r>
    </w:p>
    <w:p>
      <w:pPr>
        <w:numPr>
          <w:ilvl w:val="0"/>
          <w:numId w:val="9"/>
        </w:numPr>
        <w:spacing w:line="480" w:lineRule="exact"/>
        <w:rPr>
          <w:rFonts w:ascii="仿宋_GB2312" w:hAnsi="仿宋_GB2312" w:cs="仿宋_GB2312"/>
          <w:sz w:val="28"/>
          <w:szCs w:val="28"/>
        </w:rPr>
      </w:pPr>
      <w:r>
        <w:rPr>
          <w:rFonts w:hint="eastAsia" w:ascii="仿宋" w:hAnsi="仿宋" w:eastAsia="仿宋" w:cs="仿宋"/>
          <w:sz w:val="28"/>
          <w:szCs w:val="28"/>
          <w:lang w:bidi="ar"/>
        </w:rPr>
        <w:t>甲、乙双方在本合同履行过程中提供给对方的任一地址（包括但不限于注册经营地址、身份证户籍地址、实际经营地址、居住地址等）和联系方式（包括但不限于甲、乙双方指定的联系人手机号码、微信号、电子邮件等）为合同对方或者司法机关等文件有效的送达地址，文件一经到达或退回或拒收即视为送达。一方如有变更，应在变更前3个工作日内通知对方，否则，视为未变更</w:t>
      </w:r>
      <w:r>
        <w:rPr>
          <w:rFonts w:hint="eastAsia" w:ascii="仿宋_GB2312" w:hAnsi="仿宋_GB2312" w:cs="仿宋_GB2312"/>
          <w:sz w:val="28"/>
          <w:szCs w:val="28"/>
        </w:rPr>
        <w:t>。</w:t>
      </w:r>
    </w:p>
    <w:p>
      <w:pPr>
        <w:numPr>
          <w:ilvl w:val="0"/>
          <w:numId w:val="9"/>
        </w:numPr>
        <w:spacing w:line="480" w:lineRule="exact"/>
        <w:rPr>
          <w:rFonts w:ascii="仿宋_GB2312" w:hAnsi="仿宋_GB2312" w:cs="仿宋_GB2312"/>
          <w:sz w:val="28"/>
          <w:szCs w:val="28"/>
        </w:rPr>
      </w:pPr>
      <w:r>
        <w:rPr>
          <w:rFonts w:hint="eastAsia" w:ascii="仿宋_GB2312" w:hAnsi="仿宋_GB2312" w:cs="仿宋_GB2312"/>
          <w:sz w:val="28"/>
          <w:szCs w:val="28"/>
        </w:rPr>
        <w:t>本合同一式肆份，经甲、乙双方授权代表签字和盖章后生效。甲方执叁份、乙方执壹份，具有同等法律效力。</w:t>
      </w:r>
    </w:p>
    <w:p>
      <w:pPr>
        <w:numPr>
          <w:ilvl w:val="0"/>
          <w:numId w:val="9"/>
        </w:numPr>
        <w:spacing w:line="480" w:lineRule="exact"/>
        <w:rPr>
          <w:rFonts w:ascii="仿宋_GB2312" w:hAnsi="仿宋_GB2312" w:cs="仿宋_GB2312"/>
          <w:sz w:val="28"/>
          <w:szCs w:val="28"/>
        </w:rPr>
      </w:pPr>
      <w:r>
        <w:rPr>
          <w:rFonts w:hint="eastAsia" w:ascii="仿宋_GB2312" w:hAnsi="仿宋_GB2312" w:cs="仿宋_GB2312"/>
          <w:sz w:val="28"/>
          <w:szCs w:val="28"/>
        </w:rPr>
        <w:t>以下为本合同附件，与本合同具有同等效力：</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1.2025年食品安全（餐饮环节高风险单位）风险研判项目采购公告；</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2.江门市市场监督管理局相关项目采购结果公告；</w:t>
      </w:r>
    </w:p>
    <w:p>
      <w:pPr>
        <w:spacing w:before="156" w:beforeLines="50"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（以下无正文）</w:t>
      </w:r>
    </w:p>
    <w:p>
      <w:pPr>
        <w:pStyle w:val="9"/>
        <w:ind w:firstLine="608"/>
        <w:rPr>
          <w:rFonts w:ascii="仿宋_GB2312" w:hAnsi="仿宋_GB2312" w:cs="仿宋_GB2312"/>
          <w:szCs w:val="28"/>
        </w:rPr>
      </w:pPr>
    </w:p>
    <w:p>
      <w:pPr>
        <w:spacing w:line="480" w:lineRule="exact"/>
        <w:ind w:firstLine="562" w:firstLineChars="200"/>
        <w:rPr>
          <w:rFonts w:ascii="仿宋_GB2312" w:hAnsi="仿宋_GB2312" w:cs="仿宋_GB2312"/>
          <w:sz w:val="28"/>
          <w:szCs w:val="28"/>
        </w:rPr>
      </w:pPr>
      <w:r>
        <w:rPr>
          <w:rFonts w:hint="eastAsia" w:ascii="仿宋_GB2312" w:hAnsi="仿宋_GB2312" w:cs="仿宋_GB2312"/>
          <w:b/>
          <w:bCs/>
          <w:sz w:val="28"/>
          <w:szCs w:val="28"/>
        </w:rPr>
        <w:t>甲方</w:t>
      </w:r>
      <w:r>
        <w:rPr>
          <w:rFonts w:hint="eastAsia" w:ascii="仿宋_GB2312" w:hAnsi="仿宋_GB2312" w:cs="仿宋_GB2312"/>
          <w:sz w:val="28"/>
          <w:szCs w:val="28"/>
        </w:rPr>
        <w:t xml:space="preserve">：江门市市场监督管理局  </w:t>
      </w:r>
    </w:p>
    <w:p>
      <w:pPr>
        <w:spacing w:line="480" w:lineRule="exact"/>
        <w:ind w:firstLine="2240" w:firstLineChars="800"/>
        <w:rPr>
          <w:rFonts w:ascii="仿宋_GB2312" w:hAnsi="仿宋_GB2312" w:cs="仿宋_GB2312"/>
          <w:sz w:val="28"/>
          <w:szCs w:val="28"/>
        </w:rPr>
      </w:pPr>
      <w:r>
        <w:rPr>
          <w:rFonts w:hint="eastAsia" w:ascii="仿宋_GB2312" w:hAnsi="仿宋_GB2312" w:cs="仿宋_GB2312"/>
          <w:sz w:val="28"/>
          <w:szCs w:val="28"/>
        </w:rPr>
        <w:t>（盖章）</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 xml:space="preserve">法定代表人或授权委托人：（签字）    </w:t>
      </w:r>
    </w:p>
    <w:p>
      <w:pPr>
        <w:spacing w:line="480" w:lineRule="exact"/>
        <w:ind w:firstLine="1960" w:firstLineChars="700"/>
        <w:rPr>
          <w:rFonts w:ascii="仿宋_GB2312" w:hAnsi="仿宋_GB2312" w:cs="仿宋_GB2312"/>
          <w:sz w:val="28"/>
          <w:szCs w:val="28"/>
        </w:rPr>
      </w:pPr>
      <w:r>
        <w:rPr>
          <w:rFonts w:hint="eastAsia" w:ascii="仿宋_GB2312" w:hAnsi="仿宋_GB2312" w:cs="仿宋_GB2312"/>
          <w:sz w:val="28"/>
          <w:szCs w:val="28"/>
        </w:rPr>
        <w:t>年    月    日</w:t>
      </w:r>
    </w:p>
    <w:p>
      <w:pPr>
        <w:spacing w:line="480" w:lineRule="exact"/>
        <w:ind w:firstLine="560"/>
        <w:rPr>
          <w:rFonts w:ascii="仿宋_GB2312" w:hAnsi="仿宋_GB2312" w:cs="仿宋_GB2312"/>
          <w:b/>
          <w:bCs/>
          <w:sz w:val="28"/>
          <w:szCs w:val="28"/>
        </w:rPr>
      </w:pPr>
    </w:p>
    <w:p>
      <w:pPr>
        <w:spacing w:line="480" w:lineRule="exact"/>
        <w:ind w:firstLine="560"/>
        <w:rPr>
          <w:rFonts w:ascii="仿宋_GB2312" w:hAnsi="仿宋_GB2312" w:cs="仿宋_GB2312"/>
          <w:sz w:val="28"/>
          <w:szCs w:val="28"/>
        </w:rPr>
      </w:pPr>
      <w:r>
        <w:rPr>
          <w:rFonts w:hint="eastAsia" w:ascii="仿宋_GB2312" w:hAnsi="仿宋_GB2312" w:cs="仿宋_GB2312"/>
          <w:b/>
          <w:bCs/>
          <w:sz w:val="28"/>
          <w:szCs w:val="28"/>
        </w:rPr>
        <w:t>乙方</w:t>
      </w:r>
      <w:r>
        <w:rPr>
          <w:rFonts w:hint="eastAsia" w:ascii="仿宋_GB2312" w:hAnsi="仿宋_GB2312" w:cs="仿宋_GB2312"/>
          <w:sz w:val="28"/>
          <w:szCs w:val="28"/>
        </w:rPr>
        <w:t>：</w:t>
      </w:r>
    </w:p>
    <w:p>
      <w:pPr>
        <w:spacing w:line="480" w:lineRule="exact"/>
        <w:ind w:firstLine="2419" w:firstLineChars="864"/>
        <w:rPr>
          <w:rFonts w:ascii="仿宋_GB2312" w:hAnsi="仿宋_GB2312" w:cs="仿宋_GB2312"/>
          <w:sz w:val="28"/>
          <w:szCs w:val="28"/>
        </w:rPr>
      </w:pPr>
      <w:r>
        <w:rPr>
          <w:rFonts w:hint="eastAsia" w:ascii="仿宋_GB2312" w:hAnsi="仿宋_GB2312" w:cs="仿宋_GB2312"/>
          <w:sz w:val="28"/>
          <w:szCs w:val="28"/>
        </w:rPr>
        <w:t>（盖章）</w:t>
      </w:r>
    </w:p>
    <w:p>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法定代表人或授权委托人：（签字）</w:t>
      </w:r>
    </w:p>
    <w:p>
      <w:pPr>
        <w:spacing w:line="480" w:lineRule="exact"/>
        <w:ind w:firstLine="1960" w:firstLineChars="700"/>
        <w:rPr>
          <w:rFonts w:ascii="仿宋_GB2312" w:hAnsi="仿宋_GB2312" w:cs="仿宋_GB2312"/>
          <w:sz w:val="28"/>
          <w:szCs w:val="28"/>
        </w:rPr>
      </w:pPr>
      <w:r>
        <w:rPr>
          <w:rFonts w:hint="eastAsia" w:ascii="仿宋_GB2312" w:hAnsi="仿宋_GB2312" w:cs="仿宋_GB2312"/>
          <w:sz w:val="28"/>
          <w:szCs w:val="28"/>
        </w:rPr>
        <w:t>年    月    日</w:t>
      </w:r>
    </w:p>
    <w:p>
      <w:pPr>
        <w:spacing w:line="480" w:lineRule="exact"/>
        <w:ind w:firstLine="1960" w:firstLineChars="700"/>
        <w:rPr>
          <w:rFonts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1">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2">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3">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4">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5">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6">
    <w:nsid w:val="60ADB7F8"/>
    <w:multiLevelType w:val="singleLevel"/>
    <w:tmpl w:val="60ADB7F8"/>
    <w:lvl w:ilvl="0" w:tentative="0">
      <w:start w:val="1"/>
      <w:numFmt w:val="decimal"/>
      <w:suff w:val="nothing"/>
      <w:lvlText w:val="%1、"/>
      <w:lvlJc w:val="left"/>
    </w:lvl>
  </w:abstractNum>
  <w:abstractNum w:abstractNumId="7">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8">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2"/>
  </w:num>
  <w:num w:numId="2">
    <w:abstractNumId w:val="6"/>
  </w:num>
  <w:num w:numId="3">
    <w:abstractNumId w:val="7"/>
  </w:num>
  <w:num w:numId="4">
    <w:abstractNumId w:val="8"/>
  </w:num>
  <w:num w:numId="5">
    <w:abstractNumId w:val="0"/>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966675"/>
    <w:rsid w:val="000F477F"/>
    <w:rsid w:val="00201EA2"/>
    <w:rsid w:val="00223CF2"/>
    <w:rsid w:val="00524D7D"/>
    <w:rsid w:val="005F7AF9"/>
    <w:rsid w:val="0066273D"/>
    <w:rsid w:val="00922584"/>
    <w:rsid w:val="00966675"/>
    <w:rsid w:val="00A718F1"/>
    <w:rsid w:val="00AE5953"/>
    <w:rsid w:val="00B36494"/>
    <w:rsid w:val="00B640D2"/>
    <w:rsid w:val="00BB652A"/>
    <w:rsid w:val="00C4794B"/>
    <w:rsid w:val="00CC43A2"/>
    <w:rsid w:val="00D14332"/>
    <w:rsid w:val="00EF0125"/>
    <w:rsid w:val="00F823E6"/>
    <w:rsid w:val="00FA2B3E"/>
    <w:rsid w:val="00FE17AA"/>
    <w:rsid w:val="00FE55A7"/>
    <w:rsid w:val="09D77ACF"/>
    <w:rsid w:val="09DE0A66"/>
    <w:rsid w:val="0BEA35C3"/>
    <w:rsid w:val="0DDF3CA5"/>
    <w:rsid w:val="0EF91B8D"/>
    <w:rsid w:val="0F7735EA"/>
    <w:rsid w:val="0FB72321"/>
    <w:rsid w:val="10FC4243"/>
    <w:rsid w:val="13A87DCB"/>
    <w:rsid w:val="171724B5"/>
    <w:rsid w:val="1A19383D"/>
    <w:rsid w:val="20075F93"/>
    <w:rsid w:val="24EE444C"/>
    <w:rsid w:val="27B92537"/>
    <w:rsid w:val="28F2788A"/>
    <w:rsid w:val="293A0576"/>
    <w:rsid w:val="2D016C87"/>
    <w:rsid w:val="2F6F3EA3"/>
    <w:rsid w:val="391A5AE0"/>
    <w:rsid w:val="39FF3B49"/>
    <w:rsid w:val="3B19643C"/>
    <w:rsid w:val="3FA76621"/>
    <w:rsid w:val="3FE7F12F"/>
    <w:rsid w:val="404A6C17"/>
    <w:rsid w:val="43F43818"/>
    <w:rsid w:val="47C7B3FB"/>
    <w:rsid w:val="4B562BFB"/>
    <w:rsid w:val="4D193936"/>
    <w:rsid w:val="4D261BEA"/>
    <w:rsid w:val="4DD70C4E"/>
    <w:rsid w:val="4E6F46F1"/>
    <w:rsid w:val="50FFD8B8"/>
    <w:rsid w:val="52C673B2"/>
    <w:rsid w:val="5789094D"/>
    <w:rsid w:val="59BFC624"/>
    <w:rsid w:val="5BB2671C"/>
    <w:rsid w:val="5FFE3361"/>
    <w:rsid w:val="677EE430"/>
    <w:rsid w:val="690D3BC4"/>
    <w:rsid w:val="693B3F28"/>
    <w:rsid w:val="6B3E9A49"/>
    <w:rsid w:val="6B7E7578"/>
    <w:rsid w:val="6C7B1287"/>
    <w:rsid w:val="6DEF0315"/>
    <w:rsid w:val="6DEF2500"/>
    <w:rsid w:val="6F5F4F93"/>
    <w:rsid w:val="6FBF93AA"/>
    <w:rsid w:val="71FE92F0"/>
    <w:rsid w:val="72AF67A9"/>
    <w:rsid w:val="75F771B9"/>
    <w:rsid w:val="75FF99F2"/>
    <w:rsid w:val="76A81E4D"/>
    <w:rsid w:val="77FDBF25"/>
    <w:rsid w:val="79276609"/>
    <w:rsid w:val="7B7BFB08"/>
    <w:rsid w:val="7BEFC3C2"/>
    <w:rsid w:val="7CEE1235"/>
    <w:rsid w:val="7DFF772D"/>
    <w:rsid w:val="7EFEE140"/>
    <w:rsid w:val="95DBE68C"/>
    <w:rsid w:val="AC9E570B"/>
    <w:rsid w:val="B87F3CD6"/>
    <w:rsid w:val="B87F8451"/>
    <w:rsid w:val="BD3FABF8"/>
    <w:rsid w:val="BEF90978"/>
    <w:rsid w:val="BFFF77D6"/>
    <w:rsid w:val="C3FFC951"/>
    <w:rsid w:val="C76D6B29"/>
    <w:rsid w:val="CEF3191F"/>
    <w:rsid w:val="CFFF9F13"/>
    <w:rsid w:val="D6B7C201"/>
    <w:rsid w:val="DB2F5117"/>
    <w:rsid w:val="E7EF13F9"/>
    <w:rsid w:val="F4F76C66"/>
    <w:rsid w:val="F9DADAB3"/>
    <w:rsid w:val="FA1F53B1"/>
    <w:rsid w:val="FD65AC68"/>
    <w:rsid w:val="FE792B74"/>
    <w:rsid w:val="FE7DCEB4"/>
    <w:rsid w:val="FF5D0D24"/>
    <w:rsid w:val="FF6E27C7"/>
    <w:rsid w:val="FFD5620E"/>
    <w:rsid w:val="FFFF9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character" w:customStyle="1" w:styleId="12">
    <w:name w:val="批注框文本 Char"/>
    <w:basedOn w:val="11"/>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7</Pages>
  <Words>657</Words>
  <Characters>3745</Characters>
  <Lines>31</Lines>
  <Paragraphs>8</Paragraphs>
  <TotalTime>1</TotalTime>
  <ScaleCrop>false</ScaleCrop>
  <LinksUpToDate>false</LinksUpToDate>
  <CharactersWithSpaces>4394</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2025-07-09T08:11:00Z</dcterms:created>
  <dc:creator>Administrator</dc:creator>
  <cp:lastModifiedBy>greatwall</cp:lastModifiedBy>
  <cp:lastPrinted>2025-07-05T15:00:00Z</cp:lastPrinted>
  <dcterms:modified xsi:type="dcterms:W3CDTF">2025-07-17T08:36:59Z</dcterms:modified>
  <dc:title>2020年江门市工业产品生产许可证证后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F89E2487F82949029D8AB9F341EA8070</vt:lpwstr>
  </property>
</Properties>
</file>