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spacing w:beforeAutospacing="0" w:afterAutospacing="0" w:line="580" w:lineRule="exact"/>
        <w:jc w:val="both"/>
        <w:textAlignment w:val="auto"/>
        <w:rPr>
          <w:rFonts w:hint="default" w:ascii="Times New Roman" w:hAnsi="Times New Roman" w:eastAsia="黑体" w:cs="Times New Roman"/>
          <w:kern w:val="2"/>
          <w:sz w:val="30"/>
          <w:szCs w:val="30"/>
          <w:highlight w:val="none"/>
          <w:lang w:val="en-US" w:eastAsia="zh-CN" w:bidi="ar-SA"/>
        </w:rPr>
      </w:pPr>
      <w:r>
        <w:rPr>
          <w:rFonts w:hint="default" w:ascii="Times New Roman" w:hAnsi="Times New Roman" w:eastAsia="黑体" w:cs="Times New Roman"/>
          <w:kern w:val="2"/>
          <w:sz w:val="30"/>
          <w:szCs w:val="30"/>
          <w:highlight w:val="none"/>
          <w:lang w:val="en-US" w:eastAsia="zh-CN" w:bidi="ar-SA"/>
        </w:rPr>
        <w:t>附件2</w:t>
      </w:r>
    </w:p>
    <w:p>
      <w:pPr>
        <w:pStyle w:val="8"/>
        <w:keepNext w:val="0"/>
        <w:keepLines w:val="0"/>
        <w:pageBreakBefore w:val="0"/>
        <w:widowControl/>
        <w:kinsoku/>
        <w:wordWrap/>
        <w:overflowPunct/>
        <w:topLinePunct w:val="0"/>
        <w:autoSpaceDE/>
        <w:autoSpaceDN/>
        <w:bidi w:val="0"/>
        <w:adjustRightInd/>
        <w:snapToGrid/>
        <w:spacing w:beforeAutospacing="0" w:afterAutospacing="0" w:line="580" w:lineRule="exact"/>
        <w:jc w:val="center"/>
        <w:textAlignment w:val="auto"/>
        <w:rPr>
          <w:rFonts w:hint="eastAsia" w:ascii="Times New Roman" w:hAnsi="Times New Roman" w:eastAsia="方正大标宋_GBK" w:cs="Times New Roman"/>
          <w:sz w:val="42"/>
          <w:szCs w:val="42"/>
          <w:highlight w:val="none"/>
          <w:lang w:eastAsia="zh-CN"/>
        </w:rPr>
      </w:pPr>
      <w:r>
        <w:rPr>
          <w:rFonts w:hint="default" w:ascii="Times New Roman" w:hAnsi="Times New Roman" w:eastAsia="方正大标宋_GBK" w:cs="Times New Roman"/>
          <w:sz w:val="42"/>
          <w:szCs w:val="42"/>
          <w:highlight w:val="none"/>
        </w:rPr>
        <w:t>2024年</w:t>
      </w:r>
      <w:r>
        <w:rPr>
          <w:rFonts w:hint="eastAsia" w:ascii="Times New Roman" w:hAnsi="Times New Roman" w:eastAsia="方正大标宋_GBK" w:cs="Times New Roman"/>
          <w:sz w:val="42"/>
          <w:szCs w:val="42"/>
          <w:highlight w:val="none"/>
          <w:lang w:eastAsia="zh-CN"/>
        </w:rPr>
        <w:t>江门市</w:t>
      </w:r>
      <w:bookmarkStart w:id="0" w:name="_GoBack"/>
      <w:bookmarkEnd w:id="0"/>
      <w:r>
        <w:rPr>
          <w:rFonts w:hint="default" w:ascii="Times New Roman" w:hAnsi="Times New Roman" w:eastAsia="方正大标宋_GBK" w:cs="Times New Roman"/>
          <w:sz w:val="42"/>
          <w:szCs w:val="42"/>
          <w:highlight w:val="none"/>
        </w:rPr>
        <w:t>“政银保”融资项目促进制造业数字化转型入库项目贴息申报工作指</w:t>
      </w:r>
      <w:r>
        <w:rPr>
          <w:rFonts w:hint="eastAsia" w:ascii="Times New Roman" w:hAnsi="Times New Roman" w:eastAsia="方正大标宋_GBK" w:cs="Times New Roman"/>
          <w:sz w:val="42"/>
          <w:szCs w:val="42"/>
          <w:highlight w:val="none"/>
          <w:lang w:eastAsia="zh-CN"/>
        </w:rPr>
        <w:t>南</w:t>
      </w:r>
    </w:p>
    <w:p>
      <w:pPr>
        <w:pStyle w:val="8"/>
        <w:keepNext w:val="0"/>
        <w:keepLines w:val="0"/>
        <w:pageBreakBefore w:val="0"/>
        <w:widowControl/>
        <w:kinsoku/>
        <w:wordWrap/>
        <w:overflowPunct/>
        <w:topLinePunct w:val="0"/>
        <w:autoSpaceDE/>
        <w:autoSpaceDN/>
        <w:bidi w:val="0"/>
        <w:spacing w:beforeAutospacing="0" w:afterAutospacing="0" w:line="580" w:lineRule="exact"/>
        <w:ind w:firstLine="600" w:firstLineChars="200"/>
        <w:jc w:val="both"/>
        <w:textAlignment w:val="auto"/>
        <w:rPr>
          <w:rFonts w:hint="default" w:ascii="Times New Roman" w:hAnsi="Times New Roman" w:eastAsia="方正仿宋_GBK" w:cs="Times New Roman"/>
          <w:kern w:val="2"/>
          <w:sz w:val="30"/>
          <w:szCs w:val="30"/>
          <w:highlight w:val="none"/>
          <w:lang w:val="en-US" w:eastAsia="zh-CN" w:bidi="ar-SA"/>
        </w:rPr>
      </w:pPr>
    </w:p>
    <w:p>
      <w:pPr>
        <w:pStyle w:val="8"/>
        <w:keepNext w:val="0"/>
        <w:keepLines w:val="0"/>
        <w:pageBreakBefore w:val="0"/>
        <w:widowControl/>
        <w:kinsoku/>
        <w:wordWrap/>
        <w:overflowPunct/>
        <w:topLinePunct w:val="0"/>
        <w:autoSpaceDE/>
        <w:autoSpaceDN/>
        <w:bidi w:val="0"/>
        <w:spacing w:beforeAutospacing="0" w:afterAutospacing="0" w:line="580" w:lineRule="exact"/>
        <w:ind w:firstLine="600" w:firstLineChars="200"/>
        <w:jc w:val="both"/>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为做好2024年江门市制造业数字化转型项目（“政银保”融资项目促进制造业数字化转型支持方向）入库项目的贴息申报工作，特制定本申报指南。</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一、政策文件依据</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（一）《江门市“政银保”融资项目促进制造业数字化转型实施细则》（江工信工业互联网〔2023〕33号）；</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（二）《江门市工业和信息化局关于开展2024年江门市制造业数字化转型项目入库申报（“政银保”融资项目促进制造业数字化转型支持方向）的通知》（江工信工业互联网函〔2024〕8号）；</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（三）《江门市工业和信息化局关于做好江门市“政银保”融资项目促进制造业数字化转型贷款贴息项目入库申报工作的通知》（江工信工业互联网函〔2024〕46号）。</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二、补贴标准</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仿宋_GB2312" w:cs="Times New Roman"/>
          <w:color w:val="000000" w:themeColor="text1"/>
          <w:kern w:val="0"/>
          <w:sz w:val="30"/>
          <w:szCs w:val="30"/>
          <w:highlight w:val="none"/>
          <w:shd w:val="clear" w:color="auto" w:fill="FFFFFF"/>
          <w:lang w:bidi="ar"/>
          <w14:textFill>
            <w14:solidFill>
              <w14:schemeClr w14:val="tx1"/>
            </w14:solidFill>
          </w14:textFill>
        </w:rPr>
        <w:t>（</w:t>
      </w:r>
      <w:r>
        <w:rPr>
          <w:rFonts w:hint="default" w:ascii="Times New Roman" w:hAnsi="Times New Roman" w:eastAsia="方正仿宋_GBK" w:cs="Times New Roman"/>
          <w:kern w:val="2"/>
          <w:sz w:val="30"/>
          <w:szCs w:val="30"/>
          <w:highlight w:val="none"/>
          <w:lang w:val="en-US" w:eastAsia="zh-CN" w:bidi="ar-SA"/>
        </w:rPr>
        <w:t>一）对通过“政银保”融资项目进行数字化转型发展的企业实际发生的贷款利息给予补助。补助比例按逐年递减执行，企业第一年（贷款合同前12个月）获得的补助比例为贷款利息的90%，该比例每年递减10%。</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（二）企业可获得的补助额度，按数字化转型项目实际投入金额与贷款金额的比值、补助比例等核定计算，最高不超过实际发生贷款利息。</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（三）单个企业在细则有效期内累计获得的补助资金不超过100万元。</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（四）企业数字化转型项目可同时申请江门市中小企业数字化转型城市数字化改造项目奖补资金或者其他支持企业数字化智能化发展的项目奖补资金。</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（五）同一贷款合同不能重复申报或多头申报其他贷款贴息资助。</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三、补贴计算指引</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企业可获得的补助额度，根据贷款利息、补助比例、企业数字化转型项目实际投入金额、贷款金额等数据计算。</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计算公式为：S= I×R×C。</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S是企业可获得的补助额度。</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I是贷款利息。根据利息支付清单确认的实际发生利息。</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R是补助比例。贷款合同第一年（前12个月）获得的补助比例为贷款利息的90%，该比例每年递减10%。</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C是数字化投入系数，C=IN/LV。C的上限为1，计算时若IN大于LV，C的数值取1，若IN小于等于LV，C的数值取IN除以LV的比值。</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LV是贷款金额。</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IN是数字化转型项目实际投入金额。IN数字化转型项目实际投入金额的核定时间，最早计算至贷款放款时间前6个月、且不早于2023年10月11日，最晚计算至企业申请补贴时、且不晚于2026年12月31日。</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四、申报条件</w:t>
      </w:r>
    </w:p>
    <w:p>
      <w:pPr>
        <w:keepNext w:val="0"/>
        <w:keepLines w:val="0"/>
        <w:pageBreakBefore w:val="0"/>
        <w:kinsoku/>
        <w:wordWrap/>
        <w:overflowPunct/>
        <w:topLinePunct w:val="0"/>
        <w:autoSpaceDE/>
        <w:autoSpaceDN/>
        <w:bidi w:val="0"/>
        <w:spacing w:line="580" w:lineRule="exact"/>
        <w:ind w:firstLine="600" w:firstLineChars="200"/>
        <w:textAlignment w:val="auto"/>
        <w:rPr>
          <w:rFonts w:hint="eastAsia" w:ascii="方正楷体_GBK" w:hAnsi="方正楷体_GBK" w:eastAsia="方正楷体_GBK" w:cs="方正楷体_GBK"/>
          <w:kern w:val="2"/>
          <w:sz w:val="30"/>
          <w:szCs w:val="30"/>
          <w:highlight w:val="none"/>
          <w:lang w:val="en-US" w:eastAsia="zh-CN" w:bidi="ar-SA"/>
        </w:rPr>
      </w:pPr>
      <w:r>
        <w:rPr>
          <w:rFonts w:hint="eastAsia" w:ascii="方正楷体_GBK" w:hAnsi="方正楷体_GBK" w:eastAsia="方正楷体_GBK" w:cs="方正楷体_GBK"/>
          <w:kern w:val="2"/>
          <w:sz w:val="30"/>
          <w:szCs w:val="30"/>
          <w:highlight w:val="none"/>
          <w:lang w:val="en-US" w:eastAsia="zh-CN" w:bidi="ar-SA"/>
        </w:rPr>
        <w:t>（一）申报对象</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2024年已申报</w:t>
      </w:r>
      <w:r>
        <w:rPr>
          <w:rFonts w:hint="eastAsia" w:ascii="Times New Roman" w:hAnsi="Times New Roman" w:eastAsia="方正仿宋_GBK" w:cs="Times New Roman"/>
          <w:kern w:val="2"/>
          <w:sz w:val="30"/>
          <w:szCs w:val="30"/>
          <w:highlight w:val="none"/>
          <w:lang w:val="en-US" w:eastAsia="zh-CN" w:bidi="ar-SA"/>
        </w:rPr>
        <w:t>并</w:t>
      </w:r>
      <w:r>
        <w:rPr>
          <w:rFonts w:hint="default" w:ascii="Times New Roman" w:hAnsi="Times New Roman" w:eastAsia="方正仿宋_GBK" w:cs="Times New Roman"/>
          <w:kern w:val="2"/>
          <w:sz w:val="30"/>
          <w:szCs w:val="30"/>
          <w:highlight w:val="none"/>
          <w:lang w:val="en-US" w:eastAsia="zh-CN" w:bidi="ar-SA"/>
        </w:rPr>
        <w:t>入选江门市制造业数字化转型项目（“政银保”融资项目促进制造业数字化转型支持方向）入库项目的企业。</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方正楷体_GBK" w:hAnsi="方正楷体_GBK" w:eastAsia="方正楷体_GBK" w:cs="方正楷体_GBK"/>
          <w:kern w:val="2"/>
          <w:sz w:val="30"/>
          <w:szCs w:val="30"/>
          <w:highlight w:val="none"/>
          <w:lang w:val="en-US" w:eastAsia="zh-CN" w:bidi="ar-SA"/>
        </w:rPr>
      </w:pPr>
      <w:r>
        <w:rPr>
          <w:rFonts w:hint="default" w:ascii="方正楷体_GBK" w:hAnsi="方正楷体_GBK" w:eastAsia="方正楷体_GBK" w:cs="方正楷体_GBK"/>
          <w:kern w:val="2"/>
          <w:sz w:val="30"/>
          <w:szCs w:val="30"/>
          <w:highlight w:val="none"/>
          <w:lang w:val="en-US" w:eastAsia="zh-CN" w:bidi="ar-SA"/>
        </w:rPr>
        <w:t>（二）支持时间范围</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1.数字化转型项目的建设时间在2023年10月11日至2026年12月31日期间。</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2.贷款放款时间在2023年10月11日至2026年12月31日期间。</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3.贷款利息的实际发生时间在2023年10月11日至2026年12月31日期间。超出本支持时间范围以外发生的利息，不予续计支持。</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方正楷体_GBK" w:hAnsi="方正楷体_GBK" w:eastAsia="方正楷体_GBK" w:cs="方正楷体_GBK"/>
          <w:kern w:val="2"/>
          <w:sz w:val="30"/>
          <w:szCs w:val="30"/>
          <w:highlight w:val="none"/>
          <w:lang w:val="en-US" w:eastAsia="zh-CN" w:bidi="ar-SA"/>
        </w:rPr>
      </w:pPr>
      <w:r>
        <w:rPr>
          <w:rFonts w:hint="default" w:ascii="方正楷体_GBK" w:hAnsi="方正楷体_GBK" w:eastAsia="方正楷体_GBK" w:cs="方正楷体_GBK"/>
          <w:kern w:val="2"/>
          <w:sz w:val="30"/>
          <w:szCs w:val="30"/>
          <w:highlight w:val="none"/>
          <w:lang w:val="en-US" w:eastAsia="zh-CN" w:bidi="ar-SA"/>
        </w:rPr>
        <w:t>（三）贷款支持范围</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1.按《江门市中小企业“政银保”融资项目实施方案（2023年修订）》（江工信中小〔2023〕43号）办理的贷款。</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2.纳入补贴范围的贷款利率不超过同期贷款市场报价利率（LPR）的1.3倍。</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3.贷款合同的资金用途为偿还企业其他债务或投资、理财等套利活动的，不纳入支持范围。</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方正楷体_GBK" w:hAnsi="方正楷体_GBK" w:eastAsia="方正楷体_GBK" w:cs="方正楷体_GBK"/>
          <w:kern w:val="2"/>
          <w:sz w:val="30"/>
          <w:szCs w:val="30"/>
          <w:highlight w:val="none"/>
          <w:lang w:val="en-US" w:eastAsia="zh-CN" w:bidi="ar-SA"/>
        </w:rPr>
      </w:pPr>
      <w:r>
        <w:rPr>
          <w:rFonts w:hint="default" w:ascii="方正楷体_GBK" w:hAnsi="方正楷体_GBK" w:eastAsia="方正楷体_GBK" w:cs="方正楷体_GBK"/>
          <w:kern w:val="2"/>
          <w:sz w:val="30"/>
          <w:szCs w:val="30"/>
          <w:highlight w:val="none"/>
          <w:lang w:val="en-US" w:eastAsia="zh-CN" w:bidi="ar-SA"/>
        </w:rPr>
        <w:t>（四）数字化项目支持范围</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1.数字化转型项目投入包括数字化产品、应用数字化产品并与之有信息传输的相关配套设施设备、其它推动制造业企业数字化转型的相关服务和产品的投入。产品目录参考附</w:t>
      </w:r>
      <w:r>
        <w:rPr>
          <w:rFonts w:hint="eastAsia" w:ascii="Times New Roman" w:hAnsi="Times New Roman" w:eastAsia="方正仿宋_GBK" w:cs="Times New Roman"/>
          <w:kern w:val="2"/>
          <w:sz w:val="30"/>
          <w:szCs w:val="30"/>
          <w:highlight w:val="none"/>
          <w:lang w:val="en-US" w:eastAsia="zh-CN" w:bidi="ar-SA"/>
        </w:rPr>
        <w:t>表</w:t>
      </w:r>
      <w:r>
        <w:rPr>
          <w:rFonts w:hint="default" w:ascii="Times New Roman" w:hAnsi="Times New Roman" w:eastAsia="方正仿宋_GBK" w:cs="Times New Roman"/>
          <w:kern w:val="2"/>
          <w:sz w:val="30"/>
          <w:szCs w:val="30"/>
          <w:highlight w:val="none"/>
          <w:lang w:val="en-US" w:eastAsia="zh-CN" w:bidi="ar-SA"/>
        </w:rPr>
        <w:t>《江门市制造业数字化转型产品目录清单（“政银保”融资项目促进制造业数字化转型支持方向）》。</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2.申报主体为制造业企业的，数字化转型项目投入费用主要包括与项目相关的软件、设备、材料、产品、云资源及网络费用、调试安装费用等，以及与项目相关的咨询、设计、检测、评价等合理支出。对各类投入，提供合同、发票、转账凭证等佐证材料，以合同金额、发票金额（含税）、转账金额最小的计算。佐证材料发生时间应在2023年10月11日至2026年12月31日期间。</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3.申报主体为数字化服务商的，数字化转型项目投入费用主要包括与项目相关的研发/开发、设备/材料、测试/测评/适配/服务、专家咨询、知识产权事务等合理支出。对研发/开发投入，提供企业在职研发人员的人工费用证明材料等佐证材料；对购置、采购等投入，提供合同、发票、转账凭证等佐证材料，以合同金额、发票金额（含税）、转账金额最小的计算。佐证材料发生时间应在2023年10月11日至2026年12月31日期间。</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五、企业申报材料</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（一）2024年“政银保”融资项目促进制造业数字化转型入库项目贴息申报</w:t>
      </w:r>
      <w:r>
        <w:rPr>
          <w:rFonts w:hint="eastAsia" w:ascii="Times New Roman" w:hAnsi="Times New Roman" w:eastAsia="方正仿宋_GBK" w:cs="Times New Roman"/>
          <w:kern w:val="2"/>
          <w:sz w:val="30"/>
          <w:szCs w:val="30"/>
          <w:highlight w:val="none"/>
          <w:lang w:val="en-US" w:eastAsia="zh-CN" w:bidi="ar-SA"/>
        </w:rPr>
        <w:t>书封面</w:t>
      </w:r>
      <w:r>
        <w:rPr>
          <w:rFonts w:hint="default" w:ascii="Times New Roman" w:hAnsi="Times New Roman" w:eastAsia="方正仿宋_GBK" w:cs="Times New Roman"/>
          <w:kern w:val="2"/>
          <w:sz w:val="30"/>
          <w:szCs w:val="30"/>
          <w:highlight w:val="none"/>
          <w:lang w:val="en-US" w:eastAsia="zh-CN" w:bidi="ar-SA"/>
        </w:rPr>
        <w:t>、</w:t>
      </w:r>
      <w:r>
        <w:rPr>
          <w:rFonts w:hint="eastAsia" w:ascii="Times New Roman" w:hAnsi="Times New Roman" w:eastAsia="方正仿宋_GBK" w:cs="Times New Roman"/>
          <w:kern w:val="2"/>
          <w:sz w:val="30"/>
          <w:szCs w:val="30"/>
          <w:highlight w:val="none"/>
          <w:lang w:val="en-US" w:eastAsia="zh-CN" w:bidi="ar-SA"/>
        </w:rPr>
        <w:t>贴息申报表、</w:t>
      </w:r>
      <w:r>
        <w:rPr>
          <w:rFonts w:hint="default" w:ascii="Times New Roman" w:hAnsi="Times New Roman" w:eastAsia="方正仿宋_GBK" w:cs="Times New Roman"/>
          <w:kern w:val="2"/>
          <w:sz w:val="30"/>
          <w:szCs w:val="30"/>
          <w:highlight w:val="none"/>
          <w:lang w:val="en-US" w:eastAsia="zh-CN" w:bidi="ar-SA"/>
        </w:rPr>
        <w:t>申报声明</w:t>
      </w:r>
      <w:r>
        <w:rPr>
          <w:rFonts w:hint="eastAsia" w:ascii="Times New Roman" w:hAnsi="Times New Roman" w:eastAsia="方正仿宋_GBK" w:cs="Times New Roman"/>
          <w:kern w:val="2"/>
          <w:sz w:val="30"/>
          <w:szCs w:val="30"/>
          <w:highlight w:val="none"/>
          <w:lang w:val="en-US" w:eastAsia="zh-CN" w:bidi="ar-SA"/>
        </w:rPr>
        <w:t>（附件1-1、1-2、1-3）</w:t>
      </w:r>
      <w:r>
        <w:rPr>
          <w:rFonts w:hint="default" w:ascii="Times New Roman" w:hAnsi="Times New Roman" w:eastAsia="方正仿宋_GBK" w:cs="Times New Roman"/>
          <w:kern w:val="2"/>
          <w:sz w:val="30"/>
          <w:szCs w:val="30"/>
          <w:highlight w:val="none"/>
          <w:lang w:val="en-US" w:eastAsia="zh-CN" w:bidi="ar-SA"/>
        </w:rPr>
        <w:t>；</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（二）“政银保”融资项目贷款合同</w:t>
      </w:r>
      <w:r>
        <w:rPr>
          <w:rFonts w:hint="eastAsia" w:ascii="Times New Roman" w:hAnsi="Times New Roman" w:eastAsia="方正仿宋_GBK" w:cs="Times New Roman"/>
          <w:kern w:val="2"/>
          <w:sz w:val="30"/>
          <w:szCs w:val="30"/>
          <w:highlight w:val="none"/>
          <w:lang w:val="en-US" w:eastAsia="zh-CN" w:bidi="ar-SA"/>
        </w:rPr>
        <w:t>；</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（三）银行利息单；</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（四）数字化转型项目支出凭证（发票、合同、</w:t>
      </w:r>
      <w:r>
        <w:rPr>
          <w:rFonts w:hint="eastAsia" w:ascii="Times New Roman" w:hAnsi="Times New Roman" w:eastAsia="方正仿宋_GBK" w:cs="Times New Roman"/>
          <w:kern w:val="2"/>
          <w:sz w:val="30"/>
          <w:szCs w:val="30"/>
          <w:highlight w:val="none"/>
          <w:lang w:val="en-US" w:eastAsia="zh-CN" w:bidi="ar-SA"/>
        </w:rPr>
        <w:t>银行</w:t>
      </w:r>
      <w:r>
        <w:rPr>
          <w:rFonts w:hint="default" w:ascii="Times New Roman" w:hAnsi="Times New Roman" w:eastAsia="方正仿宋_GBK" w:cs="Times New Roman"/>
          <w:kern w:val="2"/>
          <w:sz w:val="30"/>
          <w:szCs w:val="30"/>
          <w:highlight w:val="none"/>
          <w:lang w:val="en-US" w:eastAsia="zh-CN" w:bidi="ar-SA"/>
        </w:rPr>
        <w:t>转账凭证）；</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（五）数字化转型项目</w:t>
      </w:r>
      <w:r>
        <w:rPr>
          <w:rFonts w:hint="eastAsia" w:ascii="Times New Roman" w:hAnsi="Times New Roman" w:eastAsia="方正仿宋_GBK" w:cs="Times New Roman"/>
          <w:kern w:val="2"/>
          <w:sz w:val="30"/>
          <w:szCs w:val="30"/>
          <w:highlight w:val="none"/>
          <w:lang w:val="en-US" w:eastAsia="zh-CN" w:bidi="ar-SA"/>
        </w:rPr>
        <w:t>涉及</w:t>
      </w:r>
      <w:r>
        <w:rPr>
          <w:rFonts w:hint="default" w:ascii="Times New Roman" w:hAnsi="Times New Roman" w:eastAsia="方正仿宋_GBK" w:cs="Times New Roman"/>
          <w:kern w:val="2"/>
          <w:sz w:val="30"/>
          <w:szCs w:val="30"/>
          <w:highlight w:val="none"/>
          <w:lang w:val="en-US" w:eastAsia="zh-CN" w:bidi="ar-SA"/>
        </w:rPr>
        <w:t>的软件系统界面截图、项目现场</w:t>
      </w:r>
      <w:r>
        <w:rPr>
          <w:rFonts w:hint="eastAsia" w:ascii="Times New Roman" w:hAnsi="Times New Roman" w:eastAsia="方正仿宋_GBK" w:cs="Times New Roman"/>
          <w:kern w:val="2"/>
          <w:sz w:val="30"/>
          <w:szCs w:val="30"/>
          <w:highlight w:val="none"/>
          <w:lang w:val="en-US" w:eastAsia="zh-CN" w:bidi="ar-SA"/>
        </w:rPr>
        <w:t>照片</w:t>
      </w:r>
      <w:r>
        <w:rPr>
          <w:rFonts w:hint="default" w:ascii="Times New Roman" w:hAnsi="Times New Roman" w:eastAsia="方正仿宋_GBK" w:cs="Times New Roman"/>
          <w:kern w:val="2"/>
          <w:sz w:val="30"/>
          <w:szCs w:val="30"/>
          <w:highlight w:val="none"/>
          <w:lang w:val="en-US" w:eastAsia="zh-CN" w:bidi="ar-SA"/>
        </w:rPr>
        <w:t>或</w:t>
      </w:r>
      <w:r>
        <w:rPr>
          <w:rFonts w:hint="eastAsia" w:ascii="Times New Roman" w:hAnsi="Times New Roman" w:eastAsia="方正仿宋_GBK" w:cs="Times New Roman"/>
          <w:kern w:val="2"/>
          <w:sz w:val="30"/>
          <w:szCs w:val="30"/>
          <w:highlight w:val="none"/>
          <w:lang w:val="en-US" w:eastAsia="zh-CN" w:bidi="ar-SA"/>
        </w:rPr>
        <w:t>数字化</w:t>
      </w:r>
      <w:r>
        <w:rPr>
          <w:rFonts w:hint="default" w:ascii="Times New Roman" w:hAnsi="Times New Roman" w:eastAsia="方正仿宋_GBK" w:cs="Times New Roman"/>
          <w:kern w:val="2"/>
          <w:sz w:val="30"/>
          <w:szCs w:val="30"/>
          <w:highlight w:val="none"/>
          <w:lang w:val="en-US" w:eastAsia="zh-CN" w:bidi="ar-SA"/>
        </w:rPr>
        <w:t>设备照片；</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（六）营业执照。</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仿宋_GB2312" w:cs="Times New Roman"/>
          <w:color w:val="000000" w:themeColor="text1"/>
          <w:kern w:val="0"/>
          <w:sz w:val="30"/>
          <w:szCs w:val="30"/>
          <w:highlight w:val="none"/>
          <w:shd w:val="clear" w:color="auto" w:fill="FFFFFF"/>
          <w:lang w:val="en-US" w:eastAsia="zh-CN" w:bidi="ar"/>
          <w14:textFill>
            <w14:solidFill>
              <w14:schemeClr w14:val="tx1"/>
            </w14:solidFill>
          </w14:textFill>
        </w:rPr>
      </w:pPr>
      <w:r>
        <w:rPr>
          <w:rFonts w:hint="default" w:ascii="Times New Roman" w:hAnsi="Times New Roman" w:eastAsia="方正仿宋_GBK" w:cs="Times New Roman"/>
          <w:kern w:val="2"/>
          <w:sz w:val="30"/>
          <w:szCs w:val="30"/>
          <w:highlight w:val="none"/>
          <w:lang w:val="en-US" w:eastAsia="zh-CN" w:bidi="ar-SA"/>
        </w:rPr>
        <w:t>（七）其他相关文件：江门市工业和信息化局印发的中小企业“政银保”融资项目贷款确认书；江门市工业和信息化局</w:t>
      </w:r>
      <w:r>
        <w:rPr>
          <w:rFonts w:hint="eastAsia" w:ascii="Times New Roman" w:hAnsi="Times New Roman" w:eastAsia="方正仿宋_GBK" w:cs="Times New Roman"/>
          <w:kern w:val="2"/>
          <w:sz w:val="30"/>
          <w:szCs w:val="30"/>
          <w:highlight w:val="none"/>
          <w:lang w:val="en-US" w:eastAsia="zh-CN" w:bidi="ar-SA"/>
        </w:rPr>
        <w:t>印发</w:t>
      </w:r>
      <w:r>
        <w:rPr>
          <w:rFonts w:hint="default" w:ascii="Times New Roman" w:hAnsi="Times New Roman" w:eastAsia="方正仿宋_GBK" w:cs="Times New Roman"/>
          <w:kern w:val="2"/>
          <w:sz w:val="30"/>
          <w:szCs w:val="30"/>
          <w:highlight w:val="none"/>
          <w:lang w:val="en-US" w:eastAsia="zh-CN" w:bidi="ar-SA"/>
        </w:rPr>
        <w:t>的</w:t>
      </w:r>
      <w:r>
        <w:rPr>
          <w:rFonts w:hint="eastAsia" w:ascii="Times New Roman" w:hAnsi="Times New Roman" w:eastAsia="方正仿宋_GBK" w:cs="Times New Roman"/>
          <w:kern w:val="2"/>
          <w:sz w:val="30"/>
          <w:szCs w:val="30"/>
          <w:highlight w:val="none"/>
          <w:lang w:val="en-US" w:eastAsia="zh-CN" w:bidi="ar-SA"/>
        </w:rPr>
        <w:t>公布</w:t>
      </w:r>
      <w:r>
        <w:rPr>
          <w:rFonts w:hint="default" w:ascii="Times New Roman" w:hAnsi="Times New Roman" w:eastAsia="方正仿宋_GBK" w:cs="Times New Roman"/>
          <w:kern w:val="2"/>
          <w:sz w:val="30"/>
          <w:szCs w:val="30"/>
          <w:highlight w:val="none"/>
          <w:lang w:val="en-US" w:eastAsia="zh-CN" w:bidi="ar-SA"/>
        </w:rPr>
        <w:t>江门市制造业数字化转型项目（“政银保”融资项目促进制造业数字化转型支持方向）入库项目通知。注：</w:t>
      </w:r>
      <w:r>
        <w:rPr>
          <w:rFonts w:hint="eastAsia" w:ascii="Times New Roman" w:hAnsi="Times New Roman" w:eastAsia="方正仿宋_GBK" w:cs="Times New Roman"/>
          <w:kern w:val="2"/>
          <w:sz w:val="30"/>
          <w:szCs w:val="30"/>
          <w:highlight w:val="none"/>
          <w:lang w:val="en-US" w:eastAsia="zh-CN" w:bidi="ar-SA"/>
        </w:rPr>
        <w:t>由工信</w:t>
      </w:r>
      <w:r>
        <w:rPr>
          <w:rFonts w:hint="default" w:ascii="Times New Roman" w:hAnsi="Times New Roman" w:eastAsia="方正仿宋_GBK" w:cs="Times New Roman"/>
          <w:kern w:val="2"/>
          <w:sz w:val="30"/>
          <w:szCs w:val="30"/>
          <w:highlight w:val="none"/>
          <w:lang w:val="en-US" w:eastAsia="zh-CN" w:bidi="ar-SA"/>
        </w:rPr>
        <w:t>主管部门提供给企业。</w:t>
      </w:r>
    </w:p>
    <w:p>
      <w:pPr>
        <w:keepNext w:val="0"/>
        <w:keepLines w:val="0"/>
        <w:pageBreakBefore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黑体" w:cs="Times New Roman"/>
          <w:sz w:val="30"/>
          <w:szCs w:val="30"/>
          <w:highlight w:val="none"/>
          <w:lang w:eastAsia="zh-CN"/>
        </w:rPr>
      </w:pPr>
      <w:r>
        <w:rPr>
          <w:rFonts w:hint="default" w:ascii="Times New Roman" w:hAnsi="Times New Roman" w:eastAsia="黑体" w:cs="Times New Roman"/>
          <w:sz w:val="30"/>
          <w:szCs w:val="30"/>
          <w:highlight w:val="none"/>
          <w:lang w:eastAsia="zh-CN"/>
        </w:rPr>
        <w:t>六、工作流程</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（一）已纳入入库项目的企业按贷款合同正常付息或还本付息，推进数字化转型项目建设。</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（二）市工业和信息化局发布</w:t>
      </w:r>
      <w:r>
        <w:rPr>
          <w:rFonts w:hint="eastAsia" w:ascii="Times New Roman" w:hAnsi="Times New Roman" w:eastAsia="方正仿宋_GBK" w:cs="Times New Roman"/>
          <w:kern w:val="2"/>
          <w:sz w:val="30"/>
          <w:szCs w:val="30"/>
          <w:highlight w:val="none"/>
          <w:lang w:val="en-US" w:eastAsia="zh-CN" w:bidi="ar-SA"/>
        </w:rPr>
        <w:t>贴息</w:t>
      </w:r>
      <w:r>
        <w:rPr>
          <w:rFonts w:hint="default" w:ascii="Times New Roman" w:hAnsi="Times New Roman" w:eastAsia="方正仿宋_GBK" w:cs="Times New Roman"/>
          <w:kern w:val="2"/>
          <w:sz w:val="30"/>
          <w:szCs w:val="30"/>
          <w:highlight w:val="none"/>
          <w:lang w:val="en-US" w:eastAsia="zh-CN" w:bidi="ar-SA"/>
        </w:rPr>
        <w:t>申报工作通知。</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（三）企业</w:t>
      </w:r>
      <w:r>
        <w:rPr>
          <w:rFonts w:hint="eastAsia" w:ascii="Times New Roman" w:hAnsi="Times New Roman" w:eastAsia="方正仿宋_GBK" w:cs="Times New Roman"/>
          <w:sz w:val="30"/>
          <w:szCs w:val="30"/>
          <w:lang w:val="en-US" w:eastAsia="zh-CN"/>
        </w:rPr>
        <w:t>提交申报材料</w:t>
      </w:r>
      <w:r>
        <w:rPr>
          <w:rFonts w:hint="default" w:ascii="Times New Roman" w:hAnsi="Times New Roman" w:eastAsia="方正仿宋_GBK" w:cs="Times New Roman"/>
          <w:sz w:val="30"/>
          <w:szCs w:val="30"/>
          <w:lang w:val="en-US" w:eastAsia="zh-CN"/>
        </w:rPr>
        <w:t>（纸质</w:t>
      </w:r>
      <w:r>
        <w:rPr>
          <w:rFonts w:hint="eastAsia" w:ascii="Times New Roman" w:hAnsi="Times New Roman" w:eastAsia="方正仿宋_GBK" w:cs="Times New Roman"/>
          <w:sz w:val="30"/>
          <w:szCs w:val="30"/>
          <w:lang w:val="en-US" w:eastAsia="zh-CN"/>
        </w:rPr>
        <w:t>版，</w:t>
      </w:r>
      <w:r>
        <w:rPr>
          <w:rFonts w:hint="default" w:ascii="Times New Roman" w:hAnsi="Times New Roman" w:eastAsia="方正仿宋_GBK" w:cs="Times New Roman"/>
          <w:sz w:val="30"/>
          <w:szCs w:val="30"/>
          <w:lang w:val="en-US" w:eastAsia="zh-CN"/>
        </w:rPr>
        <w:t>封面</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申报声明页盖企业公章</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以及电子版</w:t>
      </w:r>
      <w:r>
        <w:rPr>
          <w:rFonts w:hint="eastAsia" w:ascii="Times New Roman" w:hAnsi="Times New Roman" w:eastAsia="方正仿宋_GBK" w:cs="Times New Roman"/>
          <w:sz w:val="30"/>
          <w:szCs w:val="30"/>
          <w:lang w:val="en-US" w:eastAsia="zh-CN"/>
        </w:rPr>
        <w:t>）至</w:t>
      </w:r>
      <w:r>
        <w:rPr>
          <w:rFonts w:hint="default" w:ascii="Times New Roman" w:hAnsi="Times New Roman" w:eastAsia="方正仿宋_GBK" w:cs="Times New Roman"/>
          <w:sz w:val="30"/>
          <w:szCs w:val="30"/>
          <w:lang w:val="en-US" w:eastAsia="zh-CN"/>
        </w:rPr>
        <w:t>所属县（市、区）</w:t>
      </w:r>
      <w:r>
        <w:rPr>
          <w:rFonts w:hint="eastAsia" w:ascii="Times New Roman" w:hAnsi="Times New Roman" w:eastAsia="方正仿宋_GBK" w:cs="Times New Roman"/>
          <w:sz w:val="30"/>
          <w:szCs w:val="30"/>
          <w:lang w:val="en-US" w:eastAsia="zh-CN"/>
        </w:rPr>
        <w:t>工业和信息化主管部门</w:t>
      </w:r>
      <w:r>
        <w:rPr>
          <w:rFonts w:hint="default" w:ascii="Times New Roman" w:hAnsi="Times New Roman" w:eastAsia="方正仿宋_GBK" w:cs="Times New Roman"/>
          <w:sz w:val="30"/>
          <w:szCs w:val="30"/>
          <w:lang w:val="en-US" w:eastAsia="zh-CN"/>
        </w:rPr>
        <w:t>。</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（四）各县（市、区）工业和信息化主管部门对照</w:t>
      </w:r>
      <w:r>
        <w:rPr>
          <w:rFonts w:hint="eastAsia" w:ascii="Times New Roman" w:hAnsi="Times New Roman" w:eastAsia="方正仿宋_GBK" w:cs="Times New Roman"/>
          <w:kern w:val="2"/>
          <w:sz w:val="30"/>
          <w:szCs w:val="30"/>
          <w:highlight w:val="none"/>
          <w:lang w:val="en-US" w:eastAsia="zh-CN" w:bidi="ar-SA"/>
        </w:rPr>
        <w:t>贴息申报工作指南</w:t>
      </w:r>
      <w:r>
        <w:rPr>
          <w:rFonts w:hint="default" w:ascii="Times New Roman" w:hAnsi="Times New Roman" w:eastAsia="方正仿宋_GBK" w:cs="Times New Roman"/>
          <w:kern w:val="2"/>
          <w:sz w:val="30"/>
          <w:szCs w:val="30"/>
          <w:highlight w:val="none"/>
          <w:lang w:val="en-US" w:eastAsia="zh-CN" w:bidi="ar-SA"/>
        </w:rPr>
        <w:t>，</w:t>
      </w:r>
      <w:r>
        <w:rPr>
          <w:rFonts w:hint="eastAsia" w:ascii="Times New Roman" w:hAnsi="Times New Roman" w:eastAsia="方正仿宋_GBK" w:cs="Times New Roman"/>
          <w:kern w:val="2"/>
          <w:sz w:val="30"/>
          <w:szCs w:val="30"/>
          <w:highlight w:val="none"/>
          <w:lang w:val="en-US" w:eastAsia="zh-CN" w:bidi="ar-SA"/>
        </w:rPr>
        <w:t>对</w:t>
      </w:r>
      <w:r>
        <w:rPr>
          <w:rFonts w:hint="default" w:ascii="Times New Roman" w:hAnsi="Times New Roman" w:eastAsia="方正仿宋_GBK" w:cs="Times New Roman"/>
          <w:kern w:val="2"/>
          <w:sz w:val="30"/>
          <w:szCs w:val="30"/>
          <w:highlight w:val="none"/>
          <w:lang w:val="en-US" w:eastAsia="zh-CN" w:bidi="ar-SA"/>
        </w:rPr>
        <w:t>企业提交的</w:t>
      </w:r>
      <w:r>
        <w:rPr>
          <w:rFonts w:hint="eastAsia" w:ascii="Times New Roman" w:hAnsi="Times New Roman" w:eastAsia="方正仿宋_GBK" w:cs="Times New Roman"/>
          <w:kern w:val="2"/>
          <w:sz w:val="30"/>
          <w:szCs w:val="30"/>
          <w:highlight w:val="none"/>
          <w:lang w:val="en-US" w:eastAsia="zh-CN" w:bidi="ar-SA"/>
        </w:rPr>
        <w:t>申报材料组织核查，包括但不限于：核实企业数字化项目投入金额、已付贷款利息金额、申请贴息补助资金金额；</w:t>
      </w:r>
      <w:r>
        <w:rPr>
          <w:rFonts w:hint="default" w:ascii="Times New Roman" w:hAnsi="Times New Roman" w:eastAsia="方正仿宋_GBK" w:cs="Times New Roman"/>
          <w:kern w:val="2"/>
          <w:sz w:val="30"/>
          <w:szCs w:val="30"/>
          <w:highlight w:val="none"/>
          <w:lang w:val="en-US" w:eastAsia="zh-CN" w:bidi="ar-SA"/>
        </w:rPr>
        <w:t>数字化转型项目建设时间</w:t>
      </w:r>
      <w:r>
        <w:rPr>
          <w:rFonts w:hint="eastAsia" w:ascii="Times New Roman" w:hAnsi="Times New Roman" w:eastAsia="方正仿宋_GBK" w:cs="Times New Roman"/>
          <w:kern w:val="2"/>
          <w:sz w:val="30"/>
          <w:szCs w:val="30"/>
          <w:highlight w:val="none"/>
          <w:lang w:val="en-US" w:eastAsia="zh-CN" w:bidi="ar-SA"/>
        </w:rPr>
        <w:t>、</w:t>
      </w:r>
      <w:r>
        <w:rPr>
          <w:rFonts w:hint="default" w:ascii="Times New Roman" w:hAnsi="Times New Roman" w:eastAsia="方正仿宋_GBK" w:cs="Times New Roman"/>
          <w:kern w:val="2"/>
          <w:sz w:val="30"/>
          <w:szCs w:val="30"/>
          <w:highlight w:val="none"/>
          <w:lang w:val="en-US" w:eastAsia="zh-CN" w:bidi="ar-SA"/>
        </w:rPr>
        <w:t>贷款放款时间</w:t>
      </w:r>
      <w:r>
        <w:rPr>
          <w:rFonts w:hint="eastAsia" w:ascii="Times New Roman" w:hAnsi="Times New Roman" w:eastAsia="方正仿宋_GBK" w:cs="Times New Roman"/>
          <w:kern w:val="2"/>
          <w:sz w:val="30"/>
          <w:szCs w:val="30"/>
          <w:highlight w:val="none"/>
          <w:lang w:val="en-US" w:eastAsia="zh-CN" w:bidi="ar-SA"/>
        </w:rPr>
        <w:t>、</w:t>
      </w:r>
      <w:r>
        <w:rPr>
          <w:rFonts w:hint="default" w:ascii="Times New Roman" w:hAnsi="Times New Roman" w:eastAsia="方正仿宋_GBK" w:cs="Times New Roman"/>
          <w:kern w:val="2"/>
          <w:sz w:val="30"/>
          <w:szCs w:val="30"/>
          <w:highlight w:val="none"/>
          <w:lang w:val="en-US" w:eastAsia="zh-CN" w:bidi="ar-SA"/>
        </w:rPr>
        <w:t>贷款利息的实际发生时间</w:t>
      </w:r>
      <w:r>
        <w:rPr>
          <w:rFonts w:hint="eastAsia" w:ascii="Times New Roman" w:hAnsi="Times New Roman" w:eastAsia="方正仿宋_GBK" w:cs="Times New Roman"/>
          <w:kern w:val="2"/>
          <w:sz w:val="30"/>
          <w:szCs w:val="30"/>
          <w:highlight w:val="none"/>
          <w:lang w:val="en-US" w:eastAsia="zh-CN" w:bidi="ar-SA"/>
        </w:rPr>
        <w:t>是否符合支持时间范围；贷款是否满足贷款支持范围；数字化项目是否满足数字化项目支持范围。</w:t>
      </w:r>
      <w:r>
        <w:rPr>
          <w:rFonts w:hint="default" w:ascii="Times New Roman" w:hAnsi="Times New Roman" w:eastAsia="方正仿宋_GBK" w:cs="Times New Roman"/>
          <w:kern w:val="2"/>
          <w:sz w:val="30"/>
          <w:szCs w:val="30"/>
          <w:highlight w:val="none"/>
          <w:lang w:val="en-US" w:eastAsia="zh-CN" w:bidi="ar-SA"/>
        </w:rPr>
        <w:t>各县（市、区）工业和信息化主管部门</w:t>
      </w:r>
      <w:r>
        <w:rPr>
          <w:rFonts w:hint="default" w:ascii="Times New Roman" w:hAnsi="Times New Roman" w:eastAsia="方正仿宋_GBK" w:cs="Times New Roman"/>
          <w:sz w:val="30"/>
          <w:szCs w:val="30"/>
          <w:lang w:val="en-US" w:eastAsia="zh-CN"/>
        </w:rPr>
        <w:t>经部门党组会议研究同意后，</w:t>
      </w:r>
      <w:r>
        <w:rPr>
          <w:rFonts w:hint="default" w:ascii="Times New Roman" w:hAnsi="Times New Roman" w:eastAsia="方正仿宋_GBK" w:cs="Times New Roman"/>
          <w:kern w:val="2"/>
          <w:sz w:val="30"/>
          <w:szCs w:val="30"/>
          <w:highlight w:val="none"/>
          <w:lang w:val="en-US" w:eastAsia="zh-CN" w:bidi="ar-SA"/>
        </w:rPr>
        <w:t>将</w:t>
      </w:r>
      <w:r>
        <w:rPr>
          <w:rFonts w:hint="eastAsia" w:ascii="Times New Roman" w:hAnsi="Times New Roman" w:eastAsia="方正仿宋_GBK" w:cs="Times New Roman"/>
          <w:kern w:val="2"/>
          <w:sz w:val="30"/>
          <w:szCs w:val="30"/>
          <w:highlight w:val="none"/>
          <w:lang w:val="en-US" w:eastAsia="zh-CN" w:bidi="ar-SA"/>
        </w:rPr>
        <w:t>正式推荐文件（说明核查情况）、</w:t>
      </w:r>
      <w:r>
        <w:rPr>
          <w:rFonts w:hint="default" w:ascii="Times New Roman" w:hAnsi="Times New Roman" w:eastAsia="方正仿宋_GBK" w:cs="Times New Roman"/>
          <w:kern w:val="2"/>
          <w:sz w:val="30"/>
          <w:szCs w:val="30"/>
          <w:highlight w:val="none"/>
          <w:lang w:val="en-US" w:eastAsia="zh-CN" w:bidi="ar-SA"/>
        </w:rPr>
        <w:t>企业</w:t>
      </w:r>
      <w:r>
        <w:rPr>
          <w:rFonts w:hint="eastAsia" w:ascii="Times New Roman" w:hAnsi="Times New Roman" w:eastAsia="方正仿宋_GBK" w:cs="Times New Roman"/>
          <w:kern w:val="2"/>
          <w:sz w:val="30"/>
          <w:szCs w:val="30"/>
          <w:highlight w:val="none"/>
          <w:lang w:val="en-US" w:eastAsia="zh-CN" w:bidi="ar-SA"/>
        </w:rPr>
        <w:t>申报材料</w:t>
      </w:r>
      <w:r>
        <w:rPr>
          <w:rFonts w:hint="default" w:ascii="Times New Roman" w:hAnsi="Times New Roman" w:eastAsia="方正仿宋_GBK" w:cs="Times New Roman"/>
          <w:kern w:val="2"/>
          <w:sz w:val="30"/>
          <w:szCs w:val="30"/>
          <w:highlight w:val="none"/>
          <w:lang w:val="en-US" w:eastAsia="zh-CN" w:bidi="ar-SA"/>
        </w:rPr>
        <w:t>的纸质版（3份，封面加盖部门公章）以及电子版（含盖章后扫描的PDF版、可编辑文档）、</w:t>
      </w:r>
      <w:r>
        <w:rPr>
          <w:rFonts w:hint="eastAsia" w:ascii="Times New Roman" w:hAnsi="Times New Roman" w:eastAsia="方正仿宋_GBK" w:cs="Times New Roman"/>
          <w:kern w:val="2"/>
          <w:sz w:val="30"/>
          <w:szCs w:val="30"/>
          <w:highlight w:val="none"/>
          <w:lang w:val="en-US" w:eastAsia="zh-CN" w:bidi="ar-SA"/>
        </w:rPr>
        <w:t>贴息申报</w:t>
      </w:r>
      <w:r>
        <w:rPr>
          <w:rFonts w:hint="default" w:ascii="Times New Roman" w:hAnsi="Times New Roman" w:eastAsia="方正仿宋_GBK" w:cs="Times New Roman"/>
          <w:kern w:val="2"/>
          <w:sz w:val="30"/>
          <w:szCs w:val="30"/>
          <w:highlight w:val="none"/>
          <w:lang w:val="en-US" w:eastAsia="zh-CN" w:bidi="ar-SA"/>
        </w:rPr>
        <w:t>汇总表报送</w:t>
      </w:r>
      <w:r>
        <w:rPr>
          <w:rFonts w:hint="eastAsia" w:ascii="Times New Roman" w:hAnsi="Times New Roman" w:eastAsia="方正仿宋_GBK" w:cs="Times New Roman"/>
          <w:kern w:val="2"/>
          <w:sz w:val="30"/>
          <w:szCs w:val="30"/>
          <w:highlight w:val="none"/>
          <w:lang w:val="en-US" w:eastAsia="zh-CN" w:bidi="ar-SA"/>
        </w:rPr>
        <w:t>市工业和信息化</w:t>
      </w:r>
      <w:r>
        <w:rPr>
          <w:rFonts w:hint="default" w:ascii="Times New Roman" w:hAnsi="Times New Roman" w:eastAsia="方正仿宋_GBK" w:cs="Times New Roman"/>
          <w:kern w:val="2"/>
          <w:sz w:val="30"/>
          <w:szCs w:val="30"/>
          <w:highlight w:val="none"/>
          <w:lang w:val="en-US" w:eastAsia="zh-CN" w:bidi="ar-SA"/>
        </w:rPr>
        <w:t>局。</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（五）市工业和信息化局</w:t>
      </w:r>
      <w:r>
        <w:rPr>
          <w:rFonts w:hint="eastAsia" w:ascii="Times New Roman" w:hAnsi="Times New Roman" w:eastAsia="方正仿宋_GBK" w:cs="Times New Roman"/>
          <w:kern w:val="2"/>
          <w:sz w:val="30"/>
          <w:szCs w:val="30"/>
          <w:highlight w:val="none"/>
          <w:lang w:val="en-US" w:eastAsia="zh-CN" w:bidi="ar-SA"/>
        </w:rPr>
        <w:t>对各</w:t>
      </w:r>
      <w:r>
        <w:rPr>
          <w:rFonts w:hint="default" w:ascii="Times New Roman" w:hAnsi="Times New Roman" w:eastAsia="方正仿宋_GBK" w:cs="Times New Roman"/>
          <w:kern w:val="2"/>
          <w:sz w:val="30"/>
          <w:szCs w:val="30"/>
          <w:highlight w:val="none"/>
          <w:lang w:val="en-US" w:eastAsia="zh-CN" w:bidi="ar-SA"/>
        </w:rPr>
        <w:t>县（市、区）工业和信息化主管部门</w:t>
      </w:r>
      <w:r>
        <w:rPr>
          <w:rFonts w:hint="eastAsia" w:ascii="Times New Roman" w:hAnsi="Times New Roman" w:eastAsia="方正仿宋_GBK" w:cs="Times New Roman"/>
          <w:kern w:val="2"/>
          <w:sz w:val="30"/>
          <w:szCs w:val="30"/>
          <w:highlight w:val="none"/>
          <w:lang w:val="en-US" w:eastAsia="zh-CN" w:bidi="ar-SA"/>
        </w:rPr>
        <w:t>提交的资料进行核实，并按要求进行</w:t>
      </w:r>
      <w:r>
        <w:rPr>
          <w:rFonts w:hint="default" w:ascii="Times New Roman" w:hAnsi="Times New Roman" w:eastAsia="方正仿宋_GBK" w:cs="Times New Roman"/>
          <w:kern w:val="2"/>
          <w:sz w:val="30"/>
          <w:szCs w:val="30"/>
          <w:highlight w:val="none"/>
          <w:lang w:val="en-US" w:eastAsia="zh-CN" w:bidi="ar-SA"/>
        </w:rPr>
        <w:t>公示。公示时间不少于7个自然日，对公示有异议的，可在公示期内向市工业和信息化局反映。</w:t>
      </w:r>
    </w:p>
    <w:p>
      <w:pPr>
        <w:keepNext w:val="0"/>
        <w:keepLines w:val="0"/>
        <w:pageBreakBefore w:val="0"/>
        <w:kinsoku/>
        <w:wordWrap/>
        <w:overflowPunct/>
        <w:topLinePunct w:val="0"/>
        <w:autoSpaceDE/>
        <w:autoSpaceDN/>
        <w:bidi w:val="0"/>
        <w:spacing w:line="580" w:lineRule="exact"/>
        <w:ind w:firstLine="600" w:firstLineChars="200"/>
        <w:textAlignment w:val="auto"/>
        <w:rPr>
          <w:rFonts w:hint="default" w:ascii="Times New Roman" w:hAnsi="Times New Roman" w:eastAsia="方正仿宋_GBK" w:cs="Times New Roman"/>
          <w:kern w:val="2"/>
          <w:sz w:val="30"/>
          <w:szCs w:val="30"/>
          <w:highlight w:val="none"/>
          <w:lang w:val="en-US" w:eastAsia="zh-CN" w:bidi="ar-SA"/>
        </w:rPr>
      </w:pPr>
      <w:r>
        <w:rPr>
          <w:rFonts w:hint="default" w:ascii="Times New Roman" w:hAnsi="Times New Roman" w:eastAsia="方正仿宋_GBK" w:cs="Times New Roman"/>
          <w:kern w:val="2"/>
          <w:sz w:val="30"/>
          <w:szCs w:val="30"/>
          <w:highlight w:val="none"/>
          <w:lang w:val="en-US" w:eastAsia="zh-CN" w:bidi="ar-SA"/>
        </w:rPr>
        <w:t>（六）市工业和信息化局下达项目计划并抄送市财政局</w:t>
      </w:r>
      <w:r>
        <w:rPr>
          <w:rFonts w:hint="eastAsia" w:ascii="Times New Roman" w:hAnsi="Times New Roman" w:eastAsia="方正仿宋_GBK" w:cs="Times New Roman"/>
          <w:kern w:val="2"/>
          <w:sz w:val="30"/>
          <w:szCs w:val="30"/>
          <w:highlight w:val="none"/>
          <w:lang w:val="en-US" w:eastAsia="zh-CN" w:bidi="ar-SA"/>
        </w:rPr>
        <w:t>。</w:t>
      </w:r>
      <w:r>
        <w:rPr>
          <w:rFonts w:hint="default" w:ascii="Times New Roman" w:hAnsi="Times New Roman" w:eastAsia="方正仿宋_GBK" w:cs="Times New Roman"/>
          <w:kern w:val="2"/>
          <w:sz w:val="30"/>
          <w:szCs w:val="30"/>
          <w:highlight w:val="none"/>
          <w:lang w:val="en-US" w:eastAsia="zh-CN" w:bidi="ar-SA"/>
        </w:rPr>
        <w:t>市财政局按规定下达资金。</w:t>
      </w: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default" w:ascii="Times New Roman" w:hAnsi="Times New Roman" w:eastAsia="黑体" w:cs="Times New Roman"/>
          <w:sz w:val="32"/>
          <w:szCs w:val="32"/>
        </w:rPr>
      </w:pPr>
    </w:p>
    <w:p>
      <w:pPr>
        <w:adjustRightInd w:val="0"/>
        <w:snapToGrid w:val="0"/>
        <w:spacing w:line="560" w:lineRule="exact"/>
        <w:rPr>
          <w:rFonts w:hint="default" w:ascii="Times New Roman" w:hAnsi="Times New Roman" w:eastAsia="方正黑体_GBK" w:cs="Times New Roman"/>
          <w:kern w:val="0"/>
          <w:sz w:val="30"/>
          <w:szCs w:val="30"/>
          <w:lang w:bidi="ar"/>
        </w:rPr>
      </w:pPr>
      <w:r>
        <w:rPr>
          <w:rFonts w:hint="default" w:ascii="Times New Roman" w:hAnsi="Times New Roman" w:eastAsia="方正黑体_GBK" w:cs="Times New Roman"/>
          <w:sz w:val="30"/>
          <w:szCs w:val="30"/>
        </w:rPr>
        <w:t>附</w:t>
      </w:r>
      <w:r>
        <w:rPr>
          <w:rFonts w:hint="eastAsia" w:ascii="Times New Roman" w:hAnsi="Times New Roman" w:eastAsia="方正黑体_GBK" w:cs="Times New Roman"/>
          <w:sz w:val="30"/>
          <w:szCs w:val="30"/>
          <w:lang w:eastAsia="zh-CN"/>
        </w:rPr>
        <w:t>表</w:t>
      </w:r>
    </w:p>
    <w:p>
      <w:pPr>
        <w:widowControl/>
        <w:adjustRightInd w:val="0"/>
        <w:spacing w:line="560" w:lineRule="exact"/>
        <w:jc w:val="center"/>
        <w:rPr>
          <w:rFonts w:hint="default" w:ascii="Times New Roman" w:hAnsi="Times New Roman" w:eastAsia="方正大标宋_GBK" w:cs="Times New Roman"/>
          <w:sz w:val="42"/>
          <w:szCs w:val="42"/>
          <w:lang w:bidi="ar"/>
        </w:rPr>
      </w:pPr>
      <w:r>
        <w:rPr>
          <w:rFonts w:hint="default" w:ascii="Times New Roman" w:hAnsi="Times New Roman" w:eastAsia="方正大标宋_GBK" w:cs="Times New Roman"/>
          <w:sz w:val="42"/>
          <w:szCs w:val="42"/>
          <w:lang w:bidi="ar"/>
        </w:rPr>
        <w:t>江门市制造业数字化转型产品目录清单</w:t>
      </w:r>
    </w:p>
    <w:p>
      <w:pPr>
        <w:widowControl/>
        <w:adjustRightInd w:val="0"/>
        <w:spacing w:line="560" w:lineRule="exact"/>
        <w:jc w:val="center"/>
        <w:rPr>
          <w:rFonts w:hint="default" w:ascii="Times New Roman" w:hAnsi="Times New Roman" w:eastAsia="方正小标宋简体" w:cs="Times New Roman"/>
          <w:sz w:val="32"/>
          <w:szCs w:val="32"/>
          <w:lang w:bidi="ar"/>
        </w:rPr>
      </w:pPr>
      <w:r>
        <w:rPr>
          <w:rFonts w:hint="default" w:ascii="Times New Roman" w:hAnsi="Times New Roman" w:eastAsia="方正小标宋简体" w:cs="Times New Roman"/>
          <w:sz w:val="32"/>
          <w:szCs w:val="32"/>
          <w:lang w:bidi="ar"/>
        </w:rPr>
        <w:t>（</w:t>
      </w:r>
      <w:r>
        <w:rPr>
          <w:rFonts w:hint="default" w:ascii="Times New Roman" w:hAnsi="Times New Roman" w:eastAsia="方正楷体_GBK" w:cs="Times New Roman"/>
          <w:sz w:val="30"/>
          <w:szCs w:val="30"/>
          <w:lang w:bidi="ar"/>
        </w:rPr>
        <w:t>“政银保”融资项目促进制造业数字化转型支持方向</w:t>
      </w:r>
      <w:r>
        <w:rPr>
          <w:rFonts w:hint="default" w:ascii="Times New Roman" w:hAnsi="Times New Roman" w:eastAsia="方正小标宋简体" w:cs="Times New Roman"/>
          <w:sz w:val="32"/>
          <w:szCs w:val="32"/>
          <w:lang w:bidi="ar"/>
        </w:rPr>
        <w:t>）</w:t>
      </w:r>
    </w:p>
    <w:p>
      <w:pPr>
        <w:widowControl/>
        <w:adjustRightInd w:val="0"/>
        <w:spacing w:line="560" w:lineRule="exact"/>
        <w:jc w:val="center"/>
        <w:rPr>
          <w:rFonts w:hint="default" w:ascii="Times New Roman" w:hAnsi="Times New Roman" w:eastAsia="楷体_GB2312" w:cs="Times New Roman"/>
          <w:sz w:val="32"/>
          <w:szCs w:val="32"/>
          <w:lang w:bidi="ar"/>
        </w:rPr>
      </w:pPr>
    </w:p>
    <w:p>
      <w:pPr>
        <w:widowControl/>
        <w:adjustRightInd w:val="0"/>
        <w:spacing w:line="560" w:lineRule="exact"/>
        <w:ind w:firstLine="600" w:firstLineChars="200"/>
        <w:rPr>
          <w:rFonts w:hint="default" w:ascii="Times New Roman" w:hAnsi="Times New Roman" w:eastAsia="黑体" w:cs="Times New Roman"/>
          <w:sz w:val="32"/>
          <w:szCs w:val="32"/>
          <w:lang w:bidi="ar"/>
        </w:rPr>
      </w:pPr>
      <w:r>
        <w:rPr>
          <w:rFonts w:hint="default" w:ascii="Times New Roman" w:hAnsi="Times New Roman" w:eastAsia="方正黑体_GBK" w:cs="Times New Roman"/>
          <w:sz w:val="30"/>
          <w:szCs w:val="30"/>
          <w:lang w:bidi="ar"/>
        </w:rPr>
        <w:t>一、数字化产品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696"/>
        <w:gridCol w:w="4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1093" w:type="dxa"/>
            <w:tcBorders>
              <w:tl2br w:val="nil"/>
              <w:tr2bl w:val="nil"/>
            </w:tcBorders>
            <w:vAlign w:val="center"/>
          </w:tcPr>
          <w:p>
            <w:pPr>
              <w:widowControl/>
              <w:adjustRightInd w:val="0"/>
              <w:snapToGrid w:val="0"/>
              <w:jc w:val="center"/>
              <w:textAlignment w:val="center"/>
              <w:rPr>
                <w:rFonts w:hint="default" w:ascii="Times New Roman" w:hAnsi="Times New Roman" w:eastAsia="方正黑体_GBK" w:cs="Times New Roman"/>
                <w:b/>
                <w:bCs/>
                <w:kern w:val="0"/>
                <w:sz w:val="30"/>
                <w:szCs w:val="30"/>
                <w:lang w:bidi="ar"/>
              </w:rPr>
            </w:pPr>
            <w:r>
              <w:rPr>
                <w:rFonts w:hint="default" w:ascii="Times New Roman" w:hAnsi="Times New Roman" w:eastAsia="方正黑体_GBK" w:cs="Times New Roman"/>
                <w:b/>
                <w:bCs/>
                <w:kern w:val="0"/>
                <w:sz w:val="30"/>
                <w:szCs w:val="30"/>
                <w:lang w:bidi="ar"/>
              </w:rPr>
              <w:t>序号</w:t>
            </w:r>
          </w:p>
        </w:tc>
        <w:tc>
          <w:tcPr>
            <w:tcW w:w="2735" w:type="dxa"/>
            <w:tcBorders>
              <w:tl2br w:val="nil"/>
              <w:tr2bl w:val="nil"/>
            </w:tcBorders>
            <w:vAlign w:val="center"/>
          </w:tcPr>
          <w:p>
            <w:pPr>
              <w:widowControl/>
              <w:adjustRightInd w:val="0"/>
              <w:snapToGrid w:val="0"/>
              <w:jc w:val="center"/>
              <w:textAlignment w:val="center"/>
              <w:rPr>
                <w:rFonts w:hint="default" w:ascii="Times New Roman" w:hAnsi="Times New Roman" w:eastAsia="方正黑体_GBK" w:cs="Times New Roman"/>
                <w:b/>
                <w:bCs/>
                <w:kern w:val="0"/>
                <w:sz w:val="30"/>
                <w:szCs w:val="30"/>
                <w:lang w:bidi="ar"/>
              </w:rPr>
            </w:pPr>
            <w:r>
              <w:rPr>
                <w:rFonts w:hint="default" w:ascii="Times New Roman" w:hAnsi="Times New Roman" w:eastAsia="方正黑体_GBK" w:cs="Times New Roman"/>
                <w:b/>
                <w:bCs/>
                <w:kern w:val="0"/>
                <w:sz w:val="30"/>
                <w:szCs w:val="30"/>
                <w:lang w:bidi="ar"/>
              </w:rPr>
              <w:t>一级目录</w:t>
            </w:r>
          </w:p>
        </w:tc>
        <w:tc>
          <w:tcPr>
            <w:tcW w:w="5007" w:type="dxa"/>
            <w:tcBorders>
              <w:tl2br w:val="nil"/>
              <w:tr2bl w:val="nil"/>
            </w:tcBorders>
            <w:vAlign w:val="center"/>
          </w:tcPr>
          <w:p>
            <w:pPr>
              <w:widowControl/>
              <w:adjustRightInd w:val="0"/>
              <w:snapToGrid w:val="0"/>
              <w:jc w:val="center"/>
              <w:textAlignment w:val="center"/>
              <w:rPr>
                <w:rFonts w:hint="default" w:ascii="Times New Roman" w:hAnsi="Times New Roman" w:eastAsia="方正黑体_GBK" w:cs="Times New Roman"/>
                <w:b/>
                <w:bCs/>
                <w:kern w:val="0"/>
                <w:sz w:val="30"/>
                <w:szCs w:val="30"/>
                <w:lang w:bidi="ar"/>
              </w:rPr>
            </w:pPr>
            <w:r>
              <w:rPr>
                <w:rFonts w:hint="default" w:ascii="Times New Roman" w:hAnsi="Times New Roman" w:eastAsia="方正黑体_GBK" w:cs="Times New Roman"/>
                <w:b/>
                <w:bCs/>
                <w:kern w:val="0"/>
                <w:sz w:val="30"/>
                <w:szCs w:val="30"/>
                <w:lang w:bidi="ar"/>
              </w:rPr>
              <w:t>二级目录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1</w:t>
            </w:r>
          </w:p>
        </w:tc>
        <w:tc>
          <w:tcPr>
            <w:tcW w:w="273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rPr>
              <w:t>研发设计类</w:t>
            </w: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rPr>
              <w:t>PLM产品生命周期管理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2</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rPr>
              <w:t>PDM产品数据管理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3</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rPr>
              <w:t>CAD计算机辅助设计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4</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rPr>
              <w:t>CAE计算机辅助工程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5</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CAM计算机辅助制造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6</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EDA电子设计自动化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7</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CAPP计算机辅助工艺过程设计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8</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ELN电子实验记录本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9</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PMS研发项目管理系统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10</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体系设计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11</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过程工艺模拟软件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12</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设计仿真一体化平台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13</w:t>
            </w:r>
          </w:p>
        </w:tc>
        <w:tc>
          <w:tcPr>
            <w:tcW w:w="273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rPr>
              <w:t>生产控制类</w:t>
            </w: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MES制造执行系统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14</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MOM制造运营系统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15</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APS生产排程系统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widowControl/>
              <w:adjustRightInd w:val="0"/>
              <w:spacing w:line="560" w:lineRule="exact"/>
              <w:jc w:val="center"/>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16</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EMS设备管理系统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17</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工业视觉/AI质检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18</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DCS分散控制系统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19</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TMS运输管理系统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20</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PLC可编程逻辑控制器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21</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DSP数字信号处理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22</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LIMS实验室信息管理系统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23</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EAM设备资产管理系统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24</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APC先进控制系统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25</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设备物联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26</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数据采集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27</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MRO运维综合保障管理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28</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PHM故障预测与健康管理软件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29</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SCADA数据采集与监视控制系统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30</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QMS质量管理系统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31</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WMS仓库管理系统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32</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AGV智慧调度系统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33</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能耗管理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34</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高精度定位平台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35</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生产追溯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36</w:t>
            </w:r>
          </w:p>
        </w:tc>
        <w:tc>
          <w:tcPr>
            <w:tcW w:w="273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方正仿宋_GBK" w:cs="Times New Roman"/>
                <w:sz w:val="30"/>
                <w:szCs w:val="30"/>
              </w:rPr>
              <w:t>经营管理类</w:t>
            </w: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ERP企业资源计划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37</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SCM供应链管理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38</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CRM客户关系管理系统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39</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SRM供应商关系管理系统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40</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HRM人力资源管理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41</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HCM人力资本管理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42</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EAM企业资产管理系统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43</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BI商业智能系统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r>
              <w:rPr>
                <w:rFonts w:hint="default" w:ascii="Times New Roman" w:hAnsi="Times New Roman" w:eastAsia="仿宋_GB2312" w:cs="Times New Roman"/>
                <w:sz w:val="30"/>
                <w:szCs w:val="30"/>
                <w:lang w:bidi="ar"/>
              </w:rPr>
              <w:t>44</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仿宋_GB2312"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OA办公自动化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45</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BPM业务流程管理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46</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B2C电子商务平台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47</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OMS渠道管理平台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48</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FSM售后服务平台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49</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RPA流程自动化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50</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DMS文件管理平台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51</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TMS培训管理平台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52</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低/无代码平台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53</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远程验厂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54</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数字孪生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55</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视频会议/直播系统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56</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网络资源（云）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57</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智慧园区管理平台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58</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数字化办公平台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59</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数据中台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60</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数据治理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61</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网络管理系统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62</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工业AR/VR应用平台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63</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工业互联网平台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64</w:t>
            </w:r>
          </w:p>
        </w:tc>
        <w:tc>
          <w:tcPr>
            <w:tcW w:w="273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rPr>
              <w:t>信息安全类</w:t>
            </w: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EDR主机防护软件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65</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FW网络边界防护软件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66</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WAF应用防护软件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67</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SOC安全管理中心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68</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工业安监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69</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网络和数据安全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70</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信创安全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71</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数据备灾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r>
              <w:rPr>
                <w:rFonts w:hint="default" w:ascii="Times New Roman" w:hAnsi="Times New Roman" w:eastAsia="方正仿宋_GBK" w:cs="Times New Roman"/>
                <w:sz w:val="30"/>
                <w:szCs w:val="30"/>
                <w:lang w:bidi="ar"/>
              </w:rPr>
              <w:t>72</w:t>
            </w:r>
          </w:p>
        </w:tc>
        <w:tc>
          <w:tcPr>
            <w:tcW w:w="2735"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lang w:bidi="ar"/>
              </w:rPr>
            </w:pPr>
          </w:p>
        </w:tc>
        <w:tc>
          <w:tcPr>
            <w:tcW w:w="5007"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数据纳管</w:t>
            </w:r>
          </w:p>
        </w:tc>
      </w:tr>
    </w:tbl>
    <w:p>
      <w:pPr>
        <w:widowControl/>
        <w:adjustRightInd w:val="0"/>
        <w:spacing w:line="560" w:lineRule="exact"/>
        <w:ind w:firstLine="600" w:firstLineChars="200"/>
        <w:rPr>
          <w:rFonts w:hint="default" w:ascii="Times New Roman" w:hAnsi="Times New Roman" w:eastAsia="方正黑体_GBK" w:cs="Times New Roman"/>
          <w:sz w:val="30"/>
          <w:szCs w:val="30"/>
          <w:lang w:bidi="ar"/>
        </w:rPr>
      </w:pPr>
      <w:r>
        <w:rPr>
          <w:rFonts w:hint="default" w:ascii="Times New Roman" w:hAnsi="Times New Roman" w:eastAsia="方正黑体_GBK" w:cs="Times New Roman"/>
          <w:sz w:val="30"/>
          <w:szCs w:val="30"/>
          <w:lang w:bidi="ar"/>
        </w:rPr>
        <w:t>二、应用上述数字化产品并与之有信息传输的相关配套设施设备。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823"/>
        <w:gridCol w:w="4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序号</w:t>
            </w:r>
          </w:p>
        </w:tc>
        <w:tc>
          <w:tcPr>
            <w:tcW w:w="2823" w:type="dxa"/>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一级目录</w:t>
            </w:r>
          </w:p>
        </w:tc>
        <w:tc>
          <w:tcPr>
            <w:tcW w:w="0" w:type="auto"/>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b/>
                <w:bCs/>
                <w:sz w:val="30"/>
                <w:szCs w:val="30"/>
              </w:rPr>
            </w:pPr>
            <w:r>
              <w:rPr>
                <w:rFonts w:hint="default" w:ascii="Times New Roman" w:hAnsi="Times New Roman" w:eastAsia="方正仿宋_GBK" w:cs="Times New Roman"/>
                <w:b/>
                <w:bCs/>
                <w:sz w:val="30"/>
                <w:szCs w:val="30"/>
              </w:rPr>
              <w:t>二级目录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w:t>
            </w:r>
          </w:p>
        </w:tc>
        <w:tc>
          <w:tcPr>
            <w:tcW w:w="2823" w:type="dxa"/>
            <w:vMerge w:val="restart"/>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数据采集与处理设备</w:t>
            </w: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数据采集与监控系统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工业PC和嵌入式系统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生物识别设备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5</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RFID标签和读写器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6</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扫描设备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7</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考勤设备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8</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智能仪表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9</w:t>
            </w:r>
          </w:p>
        </w:tc>
        <w:tc>
          <w:tcPr>
            <w:tcW w:w="2823" w:type="dxa"/>
            <w:vMerge w:val="restart"/>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控制与自动化设备</w:t>
            </w: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可编程逻辑控制器（PLC）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10</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运动控制器、驱动器、电机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11</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自动化导引车（AGV）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12</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工业机器人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13</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智能仓库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14</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数控机床（CNC）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15</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执行器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16</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门禁系统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17</w:t>
            </w:r>
          </w:p>
        </w:tc>
        <w:tc>
          <w:tcPr>
            <w:tcW w:w="2823" w:type="dxa"/>
            <w:vMerge w:val="restart"/>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质量控制与检测设备</w:t>
            </w: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工业相机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18</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机器视觉系统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19</w:t>
            </w:r>
          </w:p>
        </w:tc>
        <w:tc>
          <w:tcPr>
            <w:tcW w:w="2823" w:type="dxa"/>
            <w:vMerge w:val="restart"/>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人机交互设备</w:t>
            </w: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人机界面（HMI）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虚拟现实（VR）设备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21</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增强现实（AR）设备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22</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智能穿戴设备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23</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语音交互设备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24</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显示设备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25</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云电脑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26</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交互式工作站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27</w:t>
            </w:r>
          </w:p>
        </w:tc>
        <w:tc>
          <w:tcPr>
            <w:tcW w:w="2823"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增材制造与快速原型设备</w:t>
            </w: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3D打印机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28</w:t>
            </w:r>
          </w:p>
        </w:tc>
        <w:tc>
          <w:tcPr>
            <w:tcW w:w="2823" w:type="dxa"/>
            <w:vMerge w:val="restart"/>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通信与网络设备</w:t>
            </w: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网络基础设施（包括路由器、交换机、专线、企业宽带等）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29</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工业网关和协议转换器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30</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网络接口设备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31</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工业以太网设备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32</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无线通信设备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33</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移动通信设备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34</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光纤通信设备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35</w:t>
            </w:r>
          </w:p>
        </w:tc>
        <w:tc>
          <w:tcPr>
            <w:tcW w:w="2823" w:type="dxa"/>
            <w:vMerge w:val="restart"/>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存储与计算设备</w:t>
            </w: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36</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存储设备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37</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云计算设备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38</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边缘计算设备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39</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高性能计算（HPC）设备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40</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数据备份与恢复设备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41</w:t>
            </w:r>
          </w:p>
        </w:tc>
        <w:tc>
          <w:tcPr>
            <w:tcW w:w="2823" w:type="dxa"/>
            <w:vMerge w:val="restart"/>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网络安全设备</w:t>
            </w: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42</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数据加密设备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43</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入侵检测和防御设备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44</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虚拟专用网络（VPN)设备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45</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网络隔离和网闸设备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46</w:t>
            </w:r>
          </w:p>
        </w:tc>
        <w:tc>
          <w:tcPr>
            <w:tcW w:w="2823" w:type="dxa"/>
            <w:vMerge w:val="continue"/>
            <w:vAlign w:val="center"/>
          </w:tcPr>
          <w:p>
            <w:pPr>
              <w:keepNext w:val="0"/>
              <w:keepLines w:val="0"/>
              <w:pageBreakBefore w:val="0"/>
              <w:widowControl/>
              <w:kinsoku/>
              <w:wordWrap/>
              <w:overflowPunct/>
              <w:topLinePunct w:val="0"/>
              <w:autoSpaceDE/>
              <w:autoSpaceDN/>
              <w:bidi w:val="0"/>
              <w:adjustRightInd w:val="0"/>
              <w:snapToGrid/>
              <w:spacing w:line="400" w:lineRule="exact"/>
              <w:textAlignment w:val="auto"/>
              <w:outlineLvl w:val="0"/>
              <w:rPr>
                <w:rFonts w:hint="default" w:ascii="Times New Roman" w:hAnsi="Times New Roman" w:eastAsia="方正仿宋_GBK" w:cs="Times New Roman"/>
                <w:sz w:val="30"/>
                <w:szCs w:val="30"/>
              </w:rPr>
            </w:pPr>
          </w:p>
        </w:tc>
        <w:tc>
          <w:tcPr>
            <w:tcW w:w="0" w:type="auto"/>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outlineLvl w:val="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监控摄像头</w:t>
            </w:r>
          </w:p>
        </w:tc>
      </w:tr>
    </w:tbl>
    <w:p>
      <w:pPr>
        <w:widowControl/>
        <w:adjustRightInd w:val="0"/>
        <w:spacing w:line="560" w:lineRule="exact"/>
        <w:ind w:firstLine="600" w:firstLineChars="200"/>
        <w:rPr>
          <w:rFonts w:hint="default" w:ascii="Times New Roman" w:hAnsi="Times New Roman" w:eastAsia="方正黑体_GBK" w:cs="Times New Roman"/>
          <w:sz w:val="30"/>
          <w:szCs w:val="30"/>
          <w:lang w:bidi="ar"/>
        </w:rPr>
      </w:pPr>
      <w:r>
        <w:rPr>
          <w:rFonts w:hint="default" w:ascii="Times New Roman" w:hAnsi="Times New Roman" w:eastAsia="方正黑体_GBK" w:cs="Times New Roman"/>
          <w:sz w:val="30"/>
          <w:szCs w:val="30"/>
          <w:lang w:bidi="ar"/>
        </w:rPr>
        <w:t>三、其它推动制造业企业数字化转型的相关服务和产品。</w:t>
      </w: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701" w:right="1701" w:bottom="1701" w:left="1701" w:header="0" w:footer="170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汉仪中宋简">
    <w:panose1 w:val="02010600000101010101"/>
    <w:charset w:val="86"/>
    <w:family w:val="auto"/>
    <w:pitch w:val="default"/>
    <w:sig w:usb0="00000001" w:usb1="080E0800" w:usb2="00000002"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方正仿宋简体"/>
    <w:panose1 w:val="02010600030101010101"/>
    <w:charset w:val="86"/>
    <w:family w:val="auto"/>
    <w:pitch w:val="default"/>
    <w:sig w:usb0="00000000" w:usb1="00000000" w:usb2="00000016" w:usb3="00000000" w:csb0="0004000F" w:csb1="00000000"/>
  </w:font>
  <w:font w:name="方正仿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DHl7XO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215B2C"/>
    <w:rsid w:val="002C0E23"/>
    <w:rsid w:val="007169D5"/>
    <w:rsid w:val="008429E3"/>
    <w:rsid w:val="17DF70D3"/>
    <w:rsid w:val="1FDF36A9"/>
    <w:rsid w:val="271F5103"/>
    <w:rsid w:val="2A7D3E9B"/>
    <w:rsid w:val="2B1F2A31"/>
    <w:rsid w:val="2BBDCA37"/>
    <w:rsid w:val="2BE61F4A"/>
    <w:rsid w:val="2DFC3219"/>
    <w:rsid w:val="32D22EF9"/>
    <w:rsid w:val="36A57CEF"/>
    <w:rsid w:val="37ADC0E7"/>
    <w:rsid w:val="37FF563A"/>
    <w:rsid w:val="38F7AC62"/>
    <w:rsid w:val="39DD344C"/>
    <w:rsid w:val="3A9A48BF"/>
    <w:rsid w:val="3B7B5F01"/>
    <w:rsid w:val="3BD55296"/>
    <w:rsid w:val="3BD55E3D"/>
    <w:rsid w:val="3D86A9B9"/>
    <w:rsid w:val="3D979C5E"/>
    <w:rsid w:val="3DD57156"/>
    <w:rsid w:val="3DFD9AA7"/>
    <w:rsid w:val="3E674F87"/>
    <w:rsid w:val="3E99EA2A"/>
    <w:rsid w:val="3EEDAEDF"/>
    <w:rsid w:val="3EFD87EA"/>
    <w:rsid w:val="3F2F2E5B"/>
    <w:rsid w:val="3F5D0C86"/>
    <w:rsid w:val="3F7F767D"/>
    <w:rsid w:val="3FBB32DF"/>
    <w:rsid w:val="3FE6FEE4"/>
    <w:rsid w:val="437E27A4"/>
    <w:rsid w:val="4A1947CF"/>
    <w:rsid w:val="4DF5C2C7"/>
    <w:rsid w:val="556FBBB4"/>
    <w:rsid w:val="55FB0320"/>
    <w:rsid w:val="56793B35"/>
    <w:rsid w:val="56F7DFC0"/>
    <w:rsid w:val="579B7EB0"/>
    <w:rsid w:val="5CFA92DB"/>
    <w:rsid w:val="5EAC3876"/>
    <w:rsid w:val="5F7CCCDB"/>
    <w:rsid w:val="62FFCB74"/>
    <w:rsid w:val="63CFC8D0"/>
    <w:rsid w:val="65FA0440"/>
    <w:rsid w:val="66FBD7A0"/>
    <w:rsid w:val="67CFD985"/>
    <w:rsid w:val="67FE54F0"/>
    <w:rsid w:val="6B73AF75"/>
    <w:rsid w:val="6F2FBAEE"/>
    <w:rsid w:val="6F3FDDB7"/>
    <w:rsid w:val="6FB7CC64"/>
    <w:rsid w:val="6FBD0B2D"/>
    <w:rsid w:val="6FBF5367"/>
    <w:rsid w:val="6FEB38A1"/>
    <w:rsid w:val="6FF6BEB5"/>
    <w:rsid w:val="6FFC6C43"/>
    <w:rsid w:val="71797984"/>
    <w:rsid w:val="73FF6E55"/>
    <w:rsid w:val="75ED96BA"/>
    <w:rsid w:val="76774CDB"/>
    <w:rsid w:val="77CF980D"/>
    <w:rsid w:val="77DF63C8"/>
    <w:rsid w:val="77DFD753"/>
    <w:rsid w:val="77FE49B7"/>
    <w:rsid w:val="77FF834B"/>
    <w:rsid w:val="78FB10AF"/>
    <w:rsid w:val="7AD77C0D"/>
    <w:rsid w:val="7B752532"/>
    <w:rsid w:val="7BFF9014"/>
    <w:rsid w:val="7CF681D6"/>
    <w:rsid w:val="7CFF21E3"/>
    <w:rsid w:val="7CFF7C1A"/>
    <w:rsid w:val="7DB92226"/>
    <w:rsid w:val="7DE7B608"/>
    <w:rsid w:val="7DEAFF2D"/>
    <w:rsid w:val="7DF78909"/>
    <w:rsid w:val="7DFF1E39"/>
    <w:rsid w:val="7DFFB96E"/>
    <w:rsid w:val="7EB795D8"/>
    <w:rsid w:val="7ECD9760"/>
    <w:rsid w:val="7EFD9C4E"/>
    <w:rsid w:val="7EFF9705"/>
    <w:rsid w:val="7F6DBF5A"/>
    <w:rsid w:val="7F7DB64D"/>
    <w:rsid w:val="7F9E6160"/>
    <w:rsid w:val="7F9F9736"/>
    <w:rsid w:val="7FAFA826"/>
    <w:rsid w:val="7FBB9F43"/>
    <w:rsid w:val="7FCD6051"/>
    <w:rsid w:val="7FEB13E0"/>
    <w:rsid w:val="7FFDA50B"/>
    <w:rsid w:val="7FFDFF8F"/>
    <w:rsid w:val="81B7016F"/>
    <w:rsid w:val="82BE7955"/>
    <w:rsid w:val="874F62F4"/>
    <w:rsid w:val="8FFFEF4F"/>
    <w:rsid w:val="91FF6B38"/>
    <w:rsid w:val="95CF16D5"/>
    <w:rsid w:val="979B7E37"/>
    <w:rsid w:val="9A2BF629"/>
    <w:rsid w:val="9CA6B2E5"/>
    <w:rsid w:val="9EF75B7C"/>
    <w:rsid w:val="AD771019"/>
    <w:rsid w:val="ADE892BD"/>
    <w:rsid w:val="AF6D393B"/>
    <w:rsid w:val="AFBF7A9C"/>
    <w:rsid w:val="AFECB361"/>
    <w:rsid w:val="B3FF6412"/>
    <w:rsid w:val="B57F97FB"/>
    <w:rsid w:val="B75B8F23"/>
    <w:rsid w:val="B7D7EA9A"/>
    <w:rsid w:val="B7EBAF3A"/>
    <w:rsid w:val="BBBF5984"/>
    <w:rsid w:val="BBE249DF"/>
    <w:rsid w:val="BBFEA3B2"/>
    <w:rsid w:val="BCBDD5F2"/>
    <w:rsid w:val="BCFB49F1"/>
    <w:rsid w:val="BD73BC82"/>
    <w:rsid w:val="BD8FD7B3"/>
    <w:rsid w:val="BDD8EBEE"/>
    <w:rsid w:val="BE6F6CEC"/>
    <w:rsid w:val="BF284202"/>
    <w:rsid w:val="BFD709F8"/>
    <w:rsid w:val="BFDF062E"/>
    <w:rsid w:val="BFFE57B7"/>
    <w:rsid w:val="BFFF4FA1"/>
    <w:rsid w:val="BFFFC8E3"/>
    <w:rsid w:val="C7BDFB61"/>
    <w:rsid w:val="C9BF019F"/>
    <w:rsid w:val="CEE72340"/>
    <w:rsid w:val="CFF513A2"/>
    <w:rsid w:val="D5FFA746"/>
    <w:rsid w:val="D6FF5365"/>
    <w:rsid w:val="D9DD785A"/>
    <w:rsid w:val="DBF73BFA"/>
    <w:rsid w:val="DC4F2627"/>
    <w:rsid w:val="DDBBFB1E"/>
    <w:rsid w:val="DDBE5895"/>
    <w:rsid w:val="DDCB5B31"/>
    <w:rsid w:val="DDFD1E92"/>
    <w:rsid w:val="DF2F1286"/>
    <w:rsid w:val="DF77661B"/>
    <w:rsid w:val="DFEFA9F8"/>
    <w:rsid w:val="DFEFE5CD"/>
    <w:rsid w:val="DFFE2CD6"/>
    <w:rsid w:val="DFFE9668"/>
    <w:rsid w:val="E7383AE8"/>
    <w:rsid w:val="E9FEBDA7"/>
    <w:rsid w:val="EDDDAE11"/>
    <w:rsid w:val="EED718EB"/>
    <w:rsid w:val="EEEFAEBA"/>
    <w:rsid w:val="EF7D520B"/>
    <w:rsid w:val="EFB536E8"/>
    <w:rsid w:val="EFDF1373"/>
    <w:rsid w:val="EFDFB6EF"/>
    <w:rsid w:val="EFFF30F1"/>
    <w:rsid w:val="EFFFBFDB"/>
    <w:rsid w:val="F35F7F7B"/>
    <w:rsid w:val="F3EFFF23"/>
    <w:rsid w:val="F5FF8798"/>
    <w:rsid w:val="F6F3842F"/>
    <w:rsid w:val="F7EBB745"/>
    <w:rsid w:val="F7F24E97"/>
    <w:rsid w:val="F9AF09FE"/>
    <w:rsid w:val="F9DF8638"/>
    <w:rsid w:val="F9FF3E94"/>
    <w:rsid w:val="F9FFD543"/>
    <w:rsid w:val="FAF388CE"/>
    <w:rsid w:val="FB3F651D"/>
    <w:rsid w:val="FBAA4289"/>
    <w:rsid w:val="FBE74F41"/>
    <w:rsid w:val="FCF75E44"/>
    <w:rsid w:val="FDBEF773"/>
    <w:rsid w:val="FDFF74D2"/>
    <w:rsid w:val="FDFFE58D"/>
    <w:rsid w:val="FE3E21AD"/>
    <w:rsid w:val="FE7B6B38"/>
    <w:rsid w:val="FEB75192"/>
    <w:rsid w:val="FF7FA0AD"/>
    <w:rsid w:val="FFCD873D"/>
    <w:rsid w:val="FFD321CD"/>
    <w:rsid w:val="FFD960C1"/>
    <w:rsid w:val="FFDFFDBB"/>
    <w:rsid w:val="FFECF89A"/>
    <w:rsid w:val="FFF70696"/>
    <w:rsid w:val="FFFB6636"/>
    <w:rsid w:val="FFFBC158"/>
    <w:rsid w:val="FFFD9470"/>
    <w:rsid w:val="FFFED118"/>
    <w:rsid w:val="FFFF1258"/>
    <w:rsid w:val="FFFF3AB3"/>
    <w:rsid w:val="FFFFE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Calibri" w:hAnsi="Calibri" w:eastAsia="宋体"/>
    </w:rPr>
  </w:style>
  <w:style w:type="paragraph" w:styleId="4">
    <w:name w:val="Body Text"/>
    <w:basedOn w:val="1"/>
    <w:next w:val="5"/>
    <w:qFormat/>
    <w:uiPriority w:val="0"/>
    <w:pPr>
      <w:spacing w:after="120"/>
    </w:pPr>
    <w:rPr>
      <w:rFonts w:ascii="Times New Roman" w:hAnsi="Times New Roman" w:eastAsia="仿宋_GB2312"/>
    </w:rPr>
  </w:style>
  <w:style w:type="paragraph" w:styleId="5">
    <w:name w:val="Title"/>
    <w:basedOn w:val="1"/>
    <w:next w:val="1"/>
    <w:qFormat/>
    <w:uiPriority w:val="0"/>
    <w:pPr>
      <w:spacing w:before="240" w:after="60" w:line="560" w:lineRule="exact"/>
      <w:jc w:val="center"/>
      <w:outlineLvl w:val="0"/>
    </w:pPr>
    <w:rPr>
      <w:rFonts w:ascii="Times New Roman" w:hAnsi="Times New Roman" w:eastAsia="华文中宋"/>
      <w:b/>
      <w:bCs/>
      <w:sz w:val="44"/>
      <w:szCs w:val="32"/>
    </w:rPr>
  </w:style>
  <w:style w:type="paragraph" w:styleId="6">
    <w:name w:val="footer"/>
    <w:basedOn w:val="1"/>
    <w:qFormat/>
    <w:uiPriority w:val="0"/>
    <w:pPr>
      <w:tabs>
        <w:tab w:val="center" w:pos="4153"/>
        <w:tab w:val="right" w:pos="8306"/>
      </w:tabs>
      <w:snapToGrid w:val="0"/>
      <w:jc w:val="left"/>
    </w:pPr>
    <w:rPr>
      <w:rFonts w:ascii="等线" w:hAnsi="等线" w:eastAsia="等线 Light"/>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等线" w:hAnsi="等线"/>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_Style 5"/>
    <w:qFormat/>
    <w:uiPriority w:val="0"/>
    <w:pPr>
      <w:widowControl w:val="0"/>
      <w:ind w:firstLine="200" w:firstLineChars="200"/>
      <w:jc w:val="both"/>
    </w:pPr>
    <w:rPr>
      <w:rFonts w:ascii="等线" w:hAnsi="等线"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823</Words>
  <Characters>4695</Characters>
  <Lines>39</Lines>
  <Paragraphs>11</Paragraphs>
  <TotalTime>0</TotalTime>
  <ScaleCrop>false</ScaleCrop>
  <LinksUpToDate>false</LinksUpToDate>
  <CharactersWithSpaces>5507</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2018-07-24T07:11:00Z</dcterms:created>
  <dc:creator>d</dc:creator>
  <cp:lastModifiedBy>uos</cp:lastModifiedBy>
  <cp:lastPrinted>2025-08-02T02:01:00Z</cp:lastPrinted>
  <dcterms:modified xsi:type="dcterms:W3CDTF">2025-07-31T17:35:07Z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572B64AEF0235389CB388B681888ADE6</vt:lpwstr>
  </property>
</Properties>
</file>