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28"/>
          <w:szCs w:val="28"/>
          <w:lang w:eastAsia="zh-CN"/>
        </w:rPr>
      </w:pPr>
      <w:r>
        <w:rPr>
          <w:rFonts w:hint="eastAsia"/>
          <w:b/>
          <w:sz w:val="28"/>
          <w:szCs w:val="28"/>
          <w:lang w:eastAsia="zh-CN"/>
        </w:rPr>
        <w:t>附件</w:t>
      </w:r>
    </w:p>
    <w:p>
      <w:pPr>
        <w:jc w:val="center"/>
        <w:rPr>
          <w:rFonts w:hint="eastAsia" w:ascii="方正大标宋_GBK" w:hAnsi="方正大标宋_GBK" w:eastAsia="方正大标宋_GBK" w:cs="方正大标宋_GBK"/>
          <w:b w:val="0"/>
          <w:bCs/>
          <w:sz w:val="44"/>
          <w:szCs w:val="44"/>
          <w:lang w:eastAsia="zh-CN"/>
        </w:rPr>
      </w:pPr>
      <w:r>
        <w:rPr>
          <w:rFonts w:hint="eastAsia" w:ascii="方正大标宋_GBK" w:hAnsi="方正大标宋_GBK" w:eastAsia="方正大标宋_GBK" w:cs="方正大标宋_GBK"/>
          <w:b w:val="0"/>
          <w:bCs/>
          <w:sz w:val="44"/>
          <w:szCs w:val="44"/>
        </w:rPr>
        <w:t>202</w:t>
      </w:r>
      <w:r>
        <w:rPr>
          <w:rFonts w:hint="eastAsia" w:ascii="方正大标宋_GBK" w:hAnsi="方正大标宋_GBK" w:eastAsia="方正大标宋_GBK" w:cs="方正大标宋_GBK"/>
          <w:b w:val="0"/>
          <w:bCs/>
          <w:sz w:val="44"/>
          <w:szCs w:val="44"/>
          <w:lang w:val="en-US" w:eastAsia="zh-CN"/>
        </w:rPr>
        <w:t>5</w:t>
      </w:r>
      <w:r>
        <w:rPr>
          <w:rFonts w:hint="eastAsia" w:ascii="方正大标宋_GBK" w:hAnsi="方正大标宋_GBK" w:eastAsia="方正大标宋_GBK" w:cs="方正大标宋_GBK"/>
          <w:b w:val="0"/>
          <w:bCs/>
          <w:sz w:val="44"/>
          <w:szCs w:val="44"/>
        </w:rPr>
        <w:t>年江门市勘察设计</w:t>
      </w:r>
      <w:r>
        <w:rPr>
          <w:rFonts w:hint="eastAsia" w:ascii="方正大标宋_GBK" w:hAnsi="方正大标宋_GBK" w:eastAsia="方正大标宋_GBK" w:cs="方正大标宋_GBK"/>
          <w:b w:val="0"/>
          <w:bCs/>
          <w:sz w:val="44"/>
          <w:szCs w:val="44"/>
          <w:highlight w:val="none"/>
        </w:rPr>
        <w:t>企业信用管理及</w:t>
      </w:r>
      <w:r>
        <w:rPr>
          <w:rFonts w:hint="eastAsia" w:ascii="方正大标宋_GBK" w:hAnsi="方正大标宋_GBK" w:eastAsia="方正大标宋_GBK" w:cs="方正大标宋_GBK"/>
          <w:b w:val="0"/>
          <w:bCs/>
          <w:sz w:val="44"/>
          <w:szCs w:val="44"/>
        </w:rPr>
        <w:t>市场辅助管理服务项目采购</w:t>
      </w:r>
      <w:r>
        <w:rPr>
          <w:rFonts w:hint="eastAsia" w:ascii="方正大标宋_GBK" w:hAnsi="方正大标宋_GBK" w:eastAsia="方正大标宋_GBK" w:cs="方正大标宋_GBK"/>
          <w:b w:val="0"/>
          <w:bCs/>
          <w:sz w:val="44"/>
          <w:szCs w:val="44"/>
          <w:lang w:eastAsia="zh-CN"/>
        </w:rPr>
        <w:t>需求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sz w:val="44"/>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63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2"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（一）服务内容</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协助开展江门市勘察设计企业信用管理及市场辅助管理。</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受理企业信用信息登记及资料核查工作，把符合条件的企业及人员信用信息上传至江门市勘察设计企业信用管理系统公示。</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协助我市按上级部门要求开展勘察设计行业年度</w:t>
      </w:r>
      <w:r>
        <w:rPr>
          <w:rFonts w:hint="eastAsia" w:ascii="仿宋_GB2312" w:hAnsi="仿宋_GB2312" w:eastAsia="仿宋_GB2312" w:cs="仿宋_GB2312"/>
          <w:sz w:val="32"/>
          <w:szCs w:val="32"/>
          <w:lang w:eastAsia="zh-CN"/>
        </w:rPr>
        <w:t>、月度</w:t>
      </w:r>
      <w:r>
        <w:rPr>
          <w:rFonts w:hint="eastAsia" w:ascii="仿宋_GB2312" w:hAnsi="仿宋_GB2312" w:eastAsia="仿宋_GB2312" w:cs="仿宋_GB2312"/>
          <w:sz w:val="32"/>
          <w:szCs w:val="32"/>
        </w:rPr>
        <w:t>报表统计工作及有关行业统计工作。</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促</w:t>
      </w:r>
      <w:r>
        <w:rPr>
          <w:rFonts w:hint="eastAsia" w:ascii="仿宋_GB2312" w:hAnsi="仿宋_GB2312" w:eastAsia="仿宋_GB2312" w:cs="仿宋_GB2312"/>
          <w:sz w:val="32"/>
          <w:szCs w:val="32"/>
          <w:highlight w:val="none"/>
        </w:rPr>
        <w:t>进勘察设计行业自律管理，</w:t>
      </w:r>
      <w:r>
        <w:rPr>
          <w:rFonts w:hint="eastAsia" w:ascii="仿宋_GB2312" w:hAnsi="仿宋_GB2312" w:eastAsia="仿宋_GB2312" w:cs="仿宋_GB2312"/>
          <w:sz w:val="32"/>
          <w:szCs w:val="32"/>
          <w:highlight w:val="none"/>
          <w:lang w:eastAsia="zh-CN"/>
        </w:rPr>
        <w:t>协助对涉及勘察设计市场管理的信访、来访投诉纠纷进行调查处理。</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为行业管理提供专业技术力量支持。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2" w:firstLineChars="200"/>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sz w:val="32"/>
          <w:szCs w:val="32"/>
          <w:highlight w:val="none"/>
          <w:lang w:eastAsia="zh-CN"/>
        </w:rPr>
        <w:t>（二）</w:t>
      </w:r>
      <w:r>
        <w:rPr>
          <w:rFonts w:hint="eastAsia" w:ascii="仿宋_GB2312" w:hAnsi="仿宋_GB2312" w:eastAsia="仿宋_GB2312" w:cs="仿宋_GB2312"/>
          <w:b/>
          <w:color w:val="auto"/>
          <w:sz w:val="32"/>
          <w:szCs w:val="32"/>
          <w:highlight w:val="none"/>
          <w:lang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供应商在本项目中需于每个</w:t>
      </w:r>
      <w:r>
        <w:rPr>
          <w:rFonts w:hint="eastAsia" w:ascii="仿宋_GB2312" w:hAnsi="仿宋_GB2312" w:eastAsia="仿宋_GB2312" w:cs="仿宋_GB2312"/>
          <w:color w:val="auto"/>
          <w:sz w:val="32"/>
          <w:szCs w:val="32"/>
          <w:highlight w:val="none"/>
        </w:rPr>
        <w:t>工作日</w:t>
      </w:r>
      <w:r>
        <w:rPr>
          <w:rFonts w:hint="eastAsia" w:ascii="仿宋_GB2312" w:hAnsi="仿宋_GB2312" w:eastAsia="仿宋_GB2312" w:cs="仿宋_GB2312"/>
          <w:color w:val="auto"/>
          <w:sz w:val="32"/>
          <w:szCs w:val="32"/>
          <w:highlight w:val="none"/>
          <w:lang w:eastAsia="zh-CN"/>
        </w:rPr>
        <w:t>安排至少两人</w:t>
      </w:r>
      <w:r>
        <w:rPr>
          <w:rFonts w:hint="eastAsia" w:ascii="仿宋_GB2312" w:hAnsi="仿宋_GB2312" w:eastAsia="仿宋_GB2312" w:cs="仿宋_GB2312"/>
          <w:color w:val="auto"/>
          <w:sz w:val="32"/>
          <w:szCs w:val="32"/>
          <w:highlight w:val="none"/>
        </w:rPr>
        <w:t>对接</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，及时解决工作需求</w:t>
      </w:r>
      <w:r>
        <w:rPr>
          <w:rFonts w:hint="eastAsia" w:ascii="仿宋_GB2312" w:hAnsi="仿宋_GB2312" w:eastAsia="仿宋_GB2312" w:cs="仿宋_GB2312"/>
          <w:color w:val="auto"/>
          <w:sz w:val="32"/>
          <w:szCs w:val="32"/>
          <w:highlight w:val="none"/>
          <w:lang w:eastAsia="zh-CN"/>
        </w:rPr>
        <w:t>，并安排至少一名人员负责沟通联系工作；同时提供7×24小时电话服务，以应对紧急工作任务需求。</w:t>
      </w:r>
    </w:p>
    <w:p>
      <w:pPr>
        <w:keepNext w:val="0"/>
        <w:keepLines w:val="0"/>
        <w:pageBreakBefore w:val="0"/>
        <w:widowControl w:val="0"/>
        <w:tabs>
          <w:tab w:val="left" w:pos="312"/>
        </w:tabs>
        <w:kinsoku/>
        <w:wordWrap/>
        <w:overflowPunct/>
        <w:topLinePunct w:val="0"/>
        <w:autoSpaceDE/>
        <w:autoSpaceDN/>
        <w:bidi w:val="0"/>
        <w:adjustRightInd/>
        <w:snapToGrid/>
        <w:spacing w:line="480" w:lineRule="exact"/>
        <w:ind w:left="64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二、项目服务时间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eastAsia="zh-CN"/>
        </w:rPr>
        <w:t>合同签订并生效日起一年</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29"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采购</w:t>
      </w:r>
      <w:r>
        <w:rPr>
          <w:rFonts w:hint="eastAsia" w:ascii="仿宋_GB2312" w:hAnsi="仿宋_GB2312" w:eastAsia="仿宋_GB2312" w:cs="仿宋_GB2312"/>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本采购项目择优采用评审的方式进行，对供应商的供应文件按</w:t>
      </w:r>
      <w:r>
        <w:rPr>
          <w:rFonts w:hint="eastAsia" w:ascii="CESI仿宋-GB2312" w:hAnsi="CESI仿宋-GB2312" w:eastAsia="CESI仿宋-GB2312" w:cs="CESI仿宋-GB2312"/>
          <w:sz w:val="32"/>
          <w:szCs w:val="32"/>
          <w:lang w:eastAsia="zh-CN"/>
        </w:rPr>
        <w:t>附</w:t>
      </w:r>
      <w:r>
        <w:rPr>
          <w:rFonts w:hint="eastAsia" w:ascii="CESI仿宋-GB2312" w:hAnsi="CESI仿宋-GB2312" w:eastAsia="CESI仿宋-GB2312" w:cs="CESI仿宋-GB2312"/>
          <w:sz w:val="32"/>
          <w:szCs w:val="32"/>
        </w:rPr>
        <w:t>表中的评审内容进行评审，最后得出其综合得分，得分最高者即为中选供应商。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color w:val="auto"/>
          <w:sz w:val="32"/>
          <w:szCs w:val="32"/>
          <w:highlight w:val="none"/>
          <w:lang w:eastAsia="zh-TW"/>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color w:val="auto"/>
          <w:sz w:val="32"/>
          <w:szCs w:val="32"/>
          <w:highlight w:val="none"/>
          <w:lang w:eastAsia="zh-TW"/>
        </w:rPr>
        <w:t>（</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TW"/>
        </w:rPr>
        <w:t>）供应商根据采购服务要求编写响应文件，包括但不仅限于以下内容：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TW"/>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TW"/>
        </w:rPr>
        <w:t>加盖公章的项目响应说明，内容应包括：</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TW"/>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TW"/>
        </w:rPr>
        <w:t>服务项目的实施计划、方案、完成时限等；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TW"/>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TW"/>
        </w:rPr>
        <w:t>服务项目的详细报价（含各子项的报价清单）；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TW"/>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TW"/>
        </w:rPr>
        <w:t>其他相关业务优势等情况。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TW"/>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TW"/>
        </w:rPr>
        <w:t>相关业绩、资质证明文件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TW"/>
        </w:rPr>
        <w:t>营业执照等。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TW"/>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eastAsia="zh-TW"/>
        </w:rPr>
        <w:t>）</w:t>
      </w:r>
      <w:r>
        <w:rPr>
          <w:rFonts w:hint="eastAsia" w:ascii="仿宋_GB2312" w:hAnsi="仿宋_GB2312" w:eastAsia="仿宋_GB2312" w:cs="仿宋_GB2312"/>
          <w:color w:val="auto"/>
          <w:sz w:val="32"/>
          <w:szCs w:val="32"/>
          <w:highlight w:val="none"/>
          <w:lang w:eastAsia="zh-CN"/>
        </w:rPr>
        <w:t>响应</w:t>
      </w:r>
      <w:r>
        <w:rPr>
          <w:rFonts w:hint="eastAsia" w:ascii="仿宋_GB2312" w:hAnsi="仿宋_GB2312" w:eastAsia="仿宋_GB2312" w:cs="仿宋_GB2312"/>
          <w:color w:val="auto"/>
          <w:sz w:val="32"/>
          <w:szCs w:val="32"/>
          <w:highlight w:val="none"/>
          <w:lang w:eastAsia="zh-TW"/>
        </w:rPr>
        <w:t>期限：从</w:t>
      </w:r>
      <w:r>
        <w:rPr>
          <w:rFonts w:hint="eastAsia" w:ascii="仿宋_GB2312" w:hAnsi="仿宋_GB2312" w:eastAsia="仿宋_GB2312" w:cs="仿宋_GB2312"/>
          <w:color w:val="auto"/>
          <w:sz w:val="32"/>
          <w:szCs w:val="32"/>
          <w:highlight w:val="none"/>
          <w:lang w:eastAsia="zh-CN"/>
        </w:rPr>
        <w:t>采购需求公告</w:t>
      </w:r>
      <w:r>
        <w:rPr>
          <w:rFonts w:hint="eastAsia" w:ascii="仿宋_GB2312" w:hAnsi="仿宋_GB2312" w:eastAsia="仿宋_GB2312" w:cs="仿宋_GB2312"/>
          <w:color w:val="auto"/>
          <w:sz w:val="32"/>
          <w:szCs w:val="32"/>
          <w:highlight w:val="none"/>
          <w:lang w:eastAsia="zh-TW"/>
        </w:rPr>
        <w:t>之日起</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lang w:eastAsia="zh-TW"/>
        </w:rPr>
        <w:t>个工作日内将响应文件纸质材料</w:t>
      </w:r>
      <w:r>
        <w:rPr>
          <w:rFonts w:hint="eastAsia" w:ascii="仿宋_GB2312" w:hAnsi="仿宋_GB2312" w:eastAsia="仿宋_GB2312" w:cs="仿宋_GB2312"/>
          <w:color w:val="auto"/>
          <w:sz w:val="32"/>
          <w:szCs w:val="32"/>
          <w:highlight w:val="none"/>
          <w:lang w:val="en-US" w:eastAsia="zh-CN"/>
        </w:rPr>
        <w:t>(密封)</w:t>
      </w:r>
      <w:r>
        <w:rPr>
          <w:rFonts w:hint="eastAsia" w:ascii="仿宋_GB2312" w:hAnsi="仿宋_GB2312" w:eastAsia="仿宋_GB2312" w:cs="仿宋_GB2312"/>
          <w:color w:val="auto"/>
          <w:sz w:val="32"/>
          <w:szCs w:val="32"/>
          <w:highlight w:val="none"/>
          <w:lang w:eastAsia="zh-TW"/>
        </w:rPr>
        <w:t>交至</w:t>
      </w:r>
      <w:r>
        <w:rPr>
          <w:rFonts w:hint="eastAsia" w:ascii="仿宋_GB2312" w:hAnsi="仿宋_GB2312" w:eastAsia="仿宋_GB2312" w:cs="仿宋_GB2312"/>
          <w:color w:val="auto"/>
          <w:sz w:val="32"/>
          <w:szCs w:val="32"/>
          <w:highlight w:val="none"/>
          <w:lang w:eastAsia="zh-CN"/>
        </w:rPr>
        <w:t>江门</w:t>
      </w:r>
      <w:r>
        <w:rPr>
          <w:rFonts w:hint="eastAsia" w:ascii="仿宋_GB2312" w:hAnsi="仿宋_GB2312" w:eastAsia="仿宋_GB2312" w:cs="仿宋_GB2312"/>
          <w:color w:val="auto"/>
          <w:sz w:val="32"/>
          <w:szCs w:val="32"/>
          <w:highlight w:val="none"/>
          <w:lang w:eastAsia="zh-TW"/>
        </w:rPr>
        <w:t>市住房和城乡建设局（江门市江海区江海一路83号）</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TW"/>
        </w:rPr>
        <w:t>楼</w:t>
      </w:r>
      <w:r>
        <w:rPr>
          <w:rFonts w:hint="eastAsia" w:ascii="仿宋_GB2312" w:hAnsi="仿宋_GB2312" w:eastAsia="仿宋_GB2312" w:cs="仿宋_GB2312"/>
          <w:color w:val="auto"/>
          <w:sz w:val="32"/>
          <w:szCs w:val="32"/>
          <w:highlight w:val="none"/>
          <w:lang w:val="en-US" w:eastAsia="zh-CN"/>
        </w:rPr>
        <w:t>921</w:t>
      </w:r>
      <w:r>
        <w:rPr>
          <w:rFonts w:hint="eastAsia" w:ascii="仿宋_GB2312" w:hAnsi="仿宋_GB2312" w:eastAsia="仿宋_GB2312" w:cs="仿宋_GB2312"/>
          <w:color w:val="auto"/>
          <w:sz w:val="32"/>
          <w:szCs w:val="32"/>
          <w:highlight w:val="none"/>
          <w:lang w:eastAsia="zh-TW"/>
        </w:rPr>
        <w:t>办公室</w:t>
      </w:r>
      <w:r>
        <w:rPr>
          <w:rFonts w:hint="eastAsia" w:ascii="仿宋_GB2312" w:hAnsi="仿宋_GB2312" w:eastAsia="仿宋_GB2312" w:cs="仿宋_GB2312"/>
          <w:color w:val="auto"/>
          <w:sz w:val="32"/>
          <w:szCs w:val="32"/>
          <w:highlight w:val="none"/>
          <w:lang w:eastAsia="zh-CN"/>
        </w:rPr>
        <w:t>（联系人：陈小姐</w:t>
      </w:r>
      <w:r>
        <w:rPr>
          <w:rFonts w:hint="eastAsia" w:ascii="仿宋_GB2312" w:hAnsi="仿宋_GB2312" w:eastAsia="仿宋_GB2312" w:cs="仿宋_GB2312"/>
          <w:color w:val="auto"/>
          <w:sz w:val="32"/>
          <w:szCs w:val="32"/>
          <w:highlight w:val="none"/>
          <w:lang w:val="en-US" w:eastAsia="zh-CN"/>
        </w:rPr>
        <w:t>,联系电话：3831689</w:t>
      </w:r>
      <w:r>
        <w:rPr>
          <w:rFonts w:hint="eastAsia" w:ascii="仿宋_GB2312" w:hAnsi="仿宋_GB2312" w:eastAsia="仿宋_GB2312" w:cs="仿宋_GB2312"/>
          <w:color w:val="auto"/>
          <w:sz w:val="32"/>
          <w:szCs w:val="32"/>
          <w:highlight w:val="none"/>
          <w:lang w:eastAsia="zh-CN"/>
        </w:rPr>
        <w:t>）。响应纸质材料逾期提交或未密封</w:t>
      </w:r>
      <w:r>
        <w:rPr>
          <w:rFonts w:hint="eastAsia" w:ascii="仿宋_GB2312" w:hAnsi="仿宋_GB2312" w:eastAsia="仿宋_GB2312" w:cs="仿宋_GB2312"/>
          <w:color w:val="auto"/>
          <w:sz w:val="32"/>
          <w:szCs w:val="32"/>
          <w:highlight w:val="none"/>
          <w:lang w:val="en-US" w:eastAsia="zh-CN"/>
        </w:rPr>
        <w:t>,视为无效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（三）响应期限结束</w:t>
      </w:r>
      <w:r>
        <w:rPr>
          <w:rFonts w:hint="eastAsia" w:ascii="仿宋_GB2312" w:hAnsi="仿宋_GB2312" w:eastAsia="仿宋_GB2312" w:cs="仿宋_GB2312"/>
          <w:color w:val="auto"/>
          <w:sz w:val="32"/>
          <w:szCs w:val="32"/>
          <w:highlight w:val="none"/>
          <w:lang w:eastAsia="zh-TW"/>
        </w:rPr>
        <w:t>后</w:t>
      </w:r>
      <w:r>
        <w:rPr>
          <w:rFonts w:hint="eastAsia" w:ascii="仿宋_GB2312" w:hAnsi="仿宋_GB2312" w:eastAsia="仿宋_GB2312" w:cs="仿宋_GB2312"/>
          <w:color w:val="auto"/>
          <w:sz w:val="32"/>
          <w:szCs w:val="32"/>
          <w:highlight w:val="none"/>
          <w:lang w:eastAsia="zh-CN"/>
        </w:rPr>
        <w:t>，响应期限内，响应供应商不足三家或符合资格要求不足三家的不开标，采购方重新招标；符合资格要求的响应供应商不少于三家的，正常开标</w:t>
      </w:r>
      <w:r>
        <w:rPr>
          <w:rFonts w:hint="eastAsia" w:ascii="仿宋_GB2312" w:hAnsi="仿宋_GB2312" w:eastAsia="仿宋_GB2312" w:cs="仿宋_GB2312"/>
          <w:color w:val="auto"/>
          <w:sz w:val="32"/>
          <w:szCs w:val="32"/>
          <w:highlight w:val="none"/>
          <w:lang w:eastAsia="zh-TW"/>
        </w:rPr>
        <w:t>，并经多方比选后由采购人根据项目综合评分标准，综合评定确定项目供应商。</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TW"/>
        </w:rPr>
      </w:pPr>
      <w:r>
        <w:rPr>
          <w:rFonts w:hint="eastAsia" w:ascii="仿宋_GB2312" w:hAnsi="仿宋_GB2312" w:eastAsia="仿宋_GB2312" w:cs="仿宋_GB2312"/>
          <w:color w:val="auto"/>
          <w:sz w:val="32"/>
          <w:szCs w:val="32"/>
          <w:highlight w:val="none"/>
          <w:lang w:eastAsia="zh-TW"/>
        </w:rPr>
        <w:t>1. 供应商是经民政部门核准登记备案的，具备承接政府职能转移和购买服务资质的全市性社会组织；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lang w:eastAsia="zh-TW"/>
        </w:rPr>
      </w:pPr>
      <w:r>
        <w:rPr>
          <w:rFonts w:hint="eastAsia" w:ascii="仿宋_GB2312" w:hAnsi="仿宋_GB2312" w:eastAsia="仿宋_GB2312" w:cs="仿宋_GB2312"/>
          <w:color w:val="auto"/>
          <w:sz w:val="32"/>
          <w:szCs w:val="32"/>
          <w:highlight w:val="none"/>
          <w:lang w:eastAsia="zh-TW"/>
        </w:rPr>
        <w:t>2.供应商应具备《政府采购法》第二十二条规定的条件。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3.供应商未被列入“信用中国”网站“失信被执行人或重大税收违法案件当事人名单或政府采购严重违法失信行为”记录名单；不处于中国政府采购网（www.ccgp.gov.cn）“</w:t>
      </w:r>
      <w:r>
        <w:rPr>
          <w:rFonts w:hint="eastAsia" w:ascii="仿宋_GB2312" w:hAnsi="仿宋_GB2312" w:eastAsia="仿宋_GB2312" w:cs="仿宋_GB2312"/>
          <w:b w:val="0"/>
          <w:bCs w:val="0"/>
          <w:sz w:val="32"/>
          <w:szCs w:val="32"/>
        </w:rPr>
        <w:t>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28"/>
        </w:rPr>
        <w:t>五、</w:t>
      </w:r>
      <w:r>
        <w:rPr>
          <w:rFonts w:hint="eastAsia" w:ascii="仿宋_GB2312" w:hAnsi="仿宋_GB2312" w:eastAsia="仿宋_GB2312" w:cs="仿宋_GB2312"/>
          <w:b/>
          <w:bCs/>
          <w:sz w:val="32"/>
          <w:szCs w:val="32"/>
        </w:rPr>
        <w:t>服务采购费用及支付方式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本项目服务采购费用是完成服务内容及要求的含税全包价，采取总价包干方式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0"/>
          <w:sz w:val="32"/>
          <w:szCs w:val="32"/>
          <w:highlight w:val="none"/>
          <w:lang w:val="zh-TW"/>
        </w:rPr>
        <w:t>所有价格变</w:t>
      </w:r>
      <w:r>
        <w:rPr>
          <w:rFonts w:hint="eastAsia" w:ascii="仿宋_GB2312" w:hAnsi="仿宋" w:eastAsia="仿宋_GB2312" w:cs="仿宋"/>
          <w:kern w:val="0"/>
          <w:sz w:val="32"/>
          <w:szCs w:val="32"/>
          <w:highlight w:val="none"/>
          <w:lang w:val="zh-TW"/>
        </w:rPr>
        <w:t>动的风险均由</w:t>
      </w:r>
      <w:r>
        <w:rPr>
          <w:rFonts w:hint="eastAsia" w:ascii="仿宋_GB2312" w:hAnsi="仿宋" w:eastAsia="仿宋_GB2312" w:cs="仿宋"/>
          <w:kern w:val="0"/>
          <w:sz w:val="32"/>
          <w:szCs w:val="32"/>
          <w:highlight w:val="none"/>
          <w:lang w:val="zh-TW" w:eastAsia="zh-CN"/>
        </w:rPr>
        <w:t>供应商</w:t>
      </w:r>
      <w:r>
        <w:rPr>
          <w:rFonts w:hint="eastAsia" w:ascii="仿宋_GB2312" w:hAnsi="仿宋" w:eastAsia="仿宋_GB2312" w:cs="仿宋"/>
          <w:kern w:val="0"/>
          <w:sz w:val="32"/>
          <w:szCs w:val="32"/>
          <w:highlight w:val="none"/>
          <w:lang w:val="zh-TW"/>
        </w:rPr>
        <w:t>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本项目采购资金概算为</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,000.00元）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本项目付款方式为分期支付: 第一期：合同签订并生效后，支付合同金额的60%给供应商；第二期：</w:t>
      </w:r>
      <w:r>
        <w:rPr>
          <w:rFonts w:hint="eastAsia" w:ascii="仿宋_GB2312" w:hAnsi="仿宋_GB2312" w:eastAsia="仿宋_GB2312" w:cs="仿宋_GB2312"/>
          <w:b w:val="0"/>
          <w:bCs w:val="0"/>
          <w:sz w:val="32"/>
          <w:szCs w:val="32"/>
          <w:lang w:eastAsia="zh-CN"/>
        </w:rPr>
        <w:t>供应商</w:t>
      </w:r>
      <w:r>
        <w:rPr>
          <w:rFonts w:hint="eastAsia" w:ascii="仿宋_GB2312" w:hAnsi="仿宋_GB2312" w:eastAsia="仿宋_GB2312" w:cs="仿宋_GB2312"/>
          <w:b w:val="0"/>
          <w:bCs w:val="0"/>
          <w:sz w:val="32"/>
          <w:szCs w:val="32"/>
        </w:rPr>
        <w:t>完成勘察设计行业年度报表统计后</w:t>
      </w:r>
      <w:r>
        <w:rPr>
          <w:rFonts w:hint="eastAsia" w:ascii="仿宋_GB2312" w:hAnsi="仿宋_GB2312" w:eastAsia="仿宋_GB2312" w:cs="仿宋_GB2312"/>
          <w:b w:val="0"/>
          <w:bCs w:val="0"/>
          <w:sz w:val="32"/>
          <w:szCs w:val="32"/>
          <w:lang w:eastAsia="zh-CN"/>
        </w:rPr>
        <w:t>，采购人确认后</w:t>
      </w:r>
      <w:r>
        <w:rPr>
          <w:rFonts w:hint="eastAsia" w:ascii="仿宋_GB2312" w:hAnsi="仿宋_GB2312" w:eastAsia="仿宋_GB2312" w:cs="仿宋_GB2312"/>
          <w:b w:val="0"/>
          <w:bCs w:val="0"/>
          <w:sz w:val="32"/>
          <w:szCs w:val="32"/>
        </w:rPr>
        <w:t>支付合同价款的30%给供应商；第三期：合同期满并验收履行合同全部约定服务后，支付剩余合同金额给供应商。合同要求供应商须承诺专款专用，并提供支出明细。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28"/>
        </w:rPr>
      </w:pPr>
      <w:r>
        <w:rPr>
          <w:rFonts w:hint="eastAsia" w:ascii="仿宋_GB2312" w:eastAsia="仿宋_GB2312"/>
          <w:sz w:val="32"/>
          <w:szCs w:val="28"/>
        </w:rPr>
        <w:t>供应商向采购</w:t>
      </w:r>
      <w:r>
        <w:rPr>
          <w:rFonts w:hint="eastAsia" w:ascii="仿宋_GB2312" w:eastAsia="仿宋_GB2312"/>
          <w:sz w:val="32"/>
          <w:szCs w:val="28"/>
          <w:lang w:eastAsia="zh-CN"/>
        </w:rPr>
        <w:t>人</w:t>
      </w:r>
      <w:r>
        <w:rPr>
          <w:rFonts w:hint="eastAsia" w:ascii="仿宋_GB2312" w:eastAsia="仿宋_GB2312"/>
          <w:sz w:val="32"/>
          <w:szCs w:val="28"/>
        </w:rPr>
        <w:t>申请付款时，需先提供相当于采购人付款金额的发票，且收款方、出具发票方均须与服务合同供应商名称一致，否则采购人有权拒绝付款。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28"/>
          <w:highlight w:val="none"/>
        </w:rPr>
      </w:pPr>
      <w:r>
        <w:rPr>
          <w:rFonts w:hint="eastAsia" w:ascii="仿宋_GB2312" w:eastAsia="仿宋_GB2312"/>
          <w:sz w:val="32"/>
          <w:szCs w:val="28"/>
        </w:rPr>
        <w:t>因采购人使用的是财政资金，付</w:t>
      </w:r>
      <w:r>
        <w:rPr>
          <w:rFonts w:hint="eastAsia" w:ascii="仿宋_GB2312" w:eastAsia="仿宋_GB2312"/>
          <w:sz w:val="32"/>
          <w:szCs w:val="28"/>
          <w:highlight w:val="none"/>
        </w:rPr>
        <w:t>款时间为采购经办人发起支付申请手续的时间（不含相关手续审核时间），在规定时间内发起支付申请手续后即视为采购人已经按期支付。</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ascii="仿宋_GB2312" w:eastAsia="仿宋_GB2312"/>
          <w:b/>
          <w:bCs/>
          <w:sz w:val="32"/>
          <w:szCs w:val="28"/>
        </w:rPr>
      </w:pPr>
      <w:r>
        <w:rPr>
          <w:rFonts w:hint="eastAsia" w:ascii="仿宋_GB2312" w:eastAsia="仿宋_GB2312"/>
          <w:b/>
          <w:bCs/>
          <w:sz w:val="32"/>
          <w:szCs w:val="28"/>
        </w:rPr>
        <w:t>六、验收方式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eastAsia="仿宋_GB2312"/>
          <w:sz w:val="32"/>
          <w:szCs w:val="28"/>
        </w:rPr>
        <w:t>供应商合同服务期内完成合同全部服务内容后，供应商向采购人报送服务事项工作总结以及相关文件，并由采购人按照程序对合同规定的具体服务内容事项组织验收。</w:t>
      </w:r>
    </w:p>
    <w:p>
      <w:pPr>
        <w:keepNext w:val="0"/>
        <w:keepLines w:val="0"/>
        <w:pageBreakBefore w:val="0"/>
        <w:widowControl w:val="0"/>
        <w:kinsoku/>
        <w:wordWrap/>
        <w:overflowPunct/>
        <w:topLinePunct w:val="0"/>
        <w:autoSpaceDE/>
        <w:autoSpaceDN/>
        <w:bidi w:val="0"/>
        <w:snapToGrid/>
        <w:spacing w:line="240" w:lineRule="auto"/>
        <w:ind w:left="0" w:leftChars="0" w:firstLine="642" w:firstLineChars="200"/>
        <w:rPr>
          <w:rFonts w:hint="eastAsia" w:ascii="仿宋_GB2312" w:eastAsia="仿宋_GB2312"/>
          <w:b/>
          <w:bCs/>
          <w:sz w:val="32"/>
          <w:szCs w:val="28"/>
          <w:lang w:eastAsia="zh-CN"/>
        </w:rPr>
      </w:pPr>
      <w:r>
        <w:rPr>
          <w:rFonts w:hint="eastAsia" w:ascii="仿宋_GB2312" w:eastAsia="仿宋_GB2312"/>
          <w:b/>
          <w:bCs/>
          <w:sz w:val="32"/>
          <w:szCs w:val="28"/>
          <w:lang w:eastAsia="zh-CN"/>
        </w:rPr>
        <w:t>七、违约责任</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jc w:val="left"/>
        <w:textAlignment w:val="top"/>
        <w:rPr>
          <w:rFonts w:hint="eastAsia" w:ascii="仿宋_GB2312" w:eastAsia="仿宋_GB2312"/>
          <w:b w:val="0"/>
          <w:bCs w:val="0"/>
          <w:sz w:val="32"/>
          <w:szCs w:val="28"/>
          <w:lang w:eastAsia="zh-CN"/>
        </w:rPr>
      </w:pPr>
      <w:r>
        <w:rPr>
          <w:rFonts w:hint="eastAsia" w:ascii="仿宋_GB2312" w:eastAsia="仿宋_GB2312"/>
          <w:b w:val="0"/>
          <w:bCs w:val="0"/>
          <w:sz w:val="32"/>
          <w:szCs w:val="28"/>
        </w:rPr>
        <w:t>1、</w:t>
      </w:r>
      <w:r>
        <w:rPr>
          <w:rFonts w:hint="eastAsia" w:ascii="仿宋_GB2312" w:eastAsia="仿宋_GB2312"/>
          <w:sz w:val="32"/>
          <w:szCs w:val="28"/>
        </w:rPr>
        <w:t>供应商</w:t>
      </w:r>
      <w:r>
        <w:rPr>
          <w:rFonts w:hint="eastAsia" w:ascii="仿宋_GB2312" w:eastAsia="仿宋_GB2312"/>
          <w:b w:val="0"/>
          <w:bCs w:val="0"/>
          <w:sz w:val="32"/>
          <w:szCs w:val="28"/>
        </w:rPr>
        <w:t>违反服务事项的工作要求，</w:t>
      </w:r>
      <w:r>
        <w:rPr>
          <w:rFonts w:hint="eastAsia" w:ascii="仿宋_GB2312" w:eastAsia="仿宋_GB2312"/>
          <w:b w:val="0"/>
          <w:bCs w:val="0"/>
          <w:sz w:val="32"/>
          <w:szCs w:val="28"/>
          <w:lang w:eastAsia="zh-CN"/>
        </w:rPr>
        <w:t>未能做好相关工作的，采购人</w:t>
      </w:r>
      <w:r>
        <w:rPr>
          <w:rFonts w:hint="eastAsia" w:ascii="仿宋_GB2312" w:eastAsia="仿宋_GB2312"/>
          <w:b w:val="0"/>
          <w:bCs w:val="0"/>
          <w:sz w:val="32"/>
          <w:szCs w:val="28"/>
        </w:rPr>
        <w:t>责令</w:t>
      </w:r>
      <w:r>
        <w:rPr>
          <w:rFonts w:hint="eastAsia" w:ascii="仿宋_GB2312" w:eastAsia="仿宋_GB2312"/>
          <w:b w:val="0"/>
          <w:bCs w:val="0"/>
          <w:sz w:val="32"/>
          <w:szCs w:val="28"/>
          <w:lang w:eastAsia="zh-CN"/>
        </w:rPr>
        <w:t>限期</w:t>
      </w:r>
      <w:r>
        <w:rPr>
          <w:rFonts w:hint="eastAsia" w:ascii="仿宋_GB2312" w:eastAsia="仿宋_GB2312"/>
          <w:b w:val="0"/>
          <w:bCs w:val="0"/>
          <w:sz w:val="32"/>
          <w:szCs w:val="28"/>
        </w:rPr>
        <w:t>改正，如</w:t>
      </w:r>
      <w:r>
        <w:rPr>
          <w:rFonts w:hint="eastAsia" w:ascii="仿宋_GB2312" w:eastAsia="仿宋_GB2312"/>
          <w:sz w:val="32"/>
          <w:szCs w:val="28"/>
        </w:rPr>
        <w:t>供应商</w:t>
      </w:r>
      <w:r>
        <w:rPr>
          <w:rFonts w:hint="eastAsia" w:ascii="仿宋_GB2312" w:eastAsia="仿宋_GB2312"/>
          <w:b w:val="0"/>
          <w:bCs w:val="0"/>
          <w:sz w:val="32"/>
          <w:szCs w:val="28"/>
        </w:rPr>
        <w:t>未能按时按要求改正的视为违约，则</w:t>
      </w:r>
      <w:r>
        <w:rPr>
          <w:rFonts w:hint="eastAsia" w:ascii="仿宋_GB2312" w:eastAsia="仿宋_GB2312"/>
          <w:b w:val="0"/>
          <w:bCs w:val="0"/>
          <w:sz w:val="32"/>
          <w:szCs w:val="28"/>
          <w:lang w:eastAsia="zh-CN"/>
        </w:rPr>
        <w:t>采购人</w:t>
      </w:r>
      <w:r>
        <w:rPr>
          <w:rFonts w:hint="eastAsia" w:ascii="仿宋_GB2312" w:eastAsia="仿宋_GB2312"/>
          <w:b w:val="0"/>
          <w:bCs w:val="0"/>
          <w:sz w:val="32"/>
          <w:szCs w:val="28"/>
        </w:rPr>
        <w:t>有权解除合同并要求</w:t>
      </w:r>
      <w:r>
        <w:rPr>
          <w:rFonts w:hint="eastAsia" w:ascii="仿宋_GB2312" w:eastAsia="仿宋_GB2312"/>
          <w:sz w:val="32"/>
          <w:szCs w:val="28"/>
        </w:rPr>
        <w:t>供应商</w:t>
      </w:r>
      <w:r>
        <w:rPr>
          <w:rFonts w:hint="eastAsia" w:ascii="仿宋_GB2312" w:eastAsia="仿宋_GB2312"/>
          <w:b w:val="0"/>
          <w:bCs w:val="0"/>
          <w:sz w:val="32"/>
          <w:szCs w:val="28"/>
        </w:rPr>
        <w:t>承担违约责任，赔偿</w:t>
      </w:r>
      <w:r>
        <w:rPr>
          <w:rFonts w:hint="eastAsia" w:ascii="仿宋_GB2312" w:eastAsia="仿宋_GB2312"/>
          <w:b w:val="0"/>
          <w:bCs w:val="0"/>
          <w:sz w:val="32"/>
          <w:szCs w:val="28"/>
          <w:lang w:eastAsia="zh-CN"/>
        </w:rPr>
        <w:t>采购人</w:t>
      </w:r>
      <w:r>
        <w:rPr>
          <w:rFonts w:hint="eastAsia" w:ascii="仿宋_GB2312" w:eastAsia="仿宋_GB2312"/>
          <w:b w:val="0"/>
          <w:bCs w:val="0"/>
          <w:sz w:val="32"/>
          <w:szCs w:val="28"/>
        </w:rPr>
        <w:t>由此造成的一切损失</w:t>
      </w:r>
      <w:r>
        <w:rPr>
          <w:rFonts w:hint="eastAsia" w:ascii="仿宋_GB2312" w:eastAsia="仿宋_GB2312"/>
          <w:b w:val="0"/>
          <w:bCs w:val="0"/>
          <w:sz w:val="32"/>
          <w:szCs w:val="28"/>
          <w:lang w:eastAsia="zh-CN"/>
        </w:rPr>
        <w:t>，并</w:t>
      </w:r>
      <w:r>
        <w:rPr>
          <w:rFonts w:hint="eastAsia" w:ascii="仿宋_GB2312" w:eastAsia="仿宋_GB2312"/>
          <w:b w:val="0"/>
          <w:bCs w:val="0"/>
          <w:sz w:val="32"/>
          <w:szCs w:val="28"/>
        </w:rPr>
        <w:t>扣减相应的服务费用，</w:t>
      </w:r>
      <w:r>
        <w:rPr>
          <w:rFonts w:hint="eastAsia" w:ascii="仿宋_GB2312" w:eastAsia="仿宋_GB2312"/>
          <w:sz w:val="32"/>
          <w:szCs w:val="28"/>
        </w:rPr>
        <w:t>供应商</w:t>
      </w:r>
      <w:r>
        <w:rPr>
          <w:rFonts w:hint="eastAsia" w:ascii="仿宋_GB2312" w:eastAsia="仿宋_GB2312"/>
          <w:sz w:val="32"/>
          <w:szCs w:val="28"/>
          <w:lang w:eastAsia="zh-CN"/>
        </w:rPr>
        <w:t>另外</w:t>
      </w:r>
      <w:r>
        <w:rPr>
          <w:rFonts w:hint="eastAsia" w:ascii="仿宋_GB2312" w:eastAsia="仿宋_GB2312"/>
          <w:b w:val="0"/>
          <w:bCs w:val="0"/>
          <w:sz w:val="32"/>
          <w:szCs w:val="28"/>
        </w:rPr>
        <w:t>按照合同总价20%支付违约金</w:t>
      </w:r>
      <w:r>
        <w:rPr>
          <w:rFonts w:hint="eastAsia" w:ascii="仿宋_GB2312" w:eastAsia="仿宋_GB2312"/>
          <w:b w:val="0"/>
          <w:bCs w:val="0"/>
          <w:sz w:val="32"/>
          <w:szCs w:val="28"/>
          <w:lang w:eastAsia="zh-CN"/>
        </w:rPr>
        <w:t>。</w:t>
      </w:r>
    </w:p>
    <w:p>
      <w:pPr>
        <w:keepNext w:val="0"/>
        <w:keepLines w:val="0"/>
        <w:pageBreakBefore w:val="0"/>
        <w:widowControl w:val="0"/>
        <w:kinsoku/>
        <w:wordWrap/>
        <w:overflowPunct/>
        <w:topLinePunct w:val="0"/>
        <w:autoSpaceDE/>
        <w:autoSpaceDN/>
        <w:bidi w:val="0"/>
        <w:snapToGrid/>
        <w:spacing w:line="480" w:lineRule="exact"/>
        <w:ind w:firstLine="640" w:firstLineChars="200"/>
        <w:rPr>
          <w:rFonts w:hint="eastAsia" w:ascii="仿宋_GB2312" w:eastAsia="仿宋_GB2312"/>
          <w:b w:val="0"/>
          <w:bCs w:val="0"/>
          <w:sz w:val="32"/>
          <w:szCs w:val="28"/>
        </w:rPr>
      </w:pPr>
      <w:r>
        <w:rPr>
          <w:rFonts w:hint="eastAsia" w:ascii="仿宋_GB2312" w:eastAsia="仿宋_GB2312"/>
          <w:b w:val="0"/>
          <w:bCs w:val="0"/>
          <w:sz w:val="32"/>
          <w:szCs w:val="28"/>
          <w:lang w:val="en-US" w:eastAsia="zh-CN"/>
        </w:rPr>
        <w:t>2</w:t>
      </w:r>
      <w:r>
        <w:rPr>
          <w:rFonts w:hint="eastAsia" w:ascii="仿宋_GB2312" w:eastAsia="仿宋_GB2312"/>
          <w:b w:val="0"/>
          <w:bCs w:val="0"/>
          <w:sz w:val="32"/>
          <w:szCs w:val="28"/>
        </w:rPr>
        <w:t>、因</w:t>
      </w:r>
      <w:r>
        <w:rPr>
          <w:rFonts w:hint="eastAsia" w:ascii="仿宋_GB2312" w:eastAsia="仿宋_GB2312"/>
          <w:sz w:val="32"/>
          <w:szCs w:val="28"/>
        </w:rPr>
        <w:t>供应商</w:t>
      </w:r>
      <w:r>
        <w:rPr>
          <w:rFonts w:hint="eastAsia" w:ascii="仿宋_GB2312" w:eastAsia="仿宋_GB2312"/>
          <w:b w:val="0"/>
          <w:bCs w:val="0"/>
          <w:sz w:val="32"/>
          <w:szCs w:val="28"/>
        </w:rPr>
        <w:t>过错造成</w:t>
      </w:r>
      <w:r>
        <w:rPr>
          <w:rFonts w:hint="eastAsia" w:ascii="仿宋_GB2312" w:eastAsia="仿宋_GB2312"/>
          <w:b w:val="0"/>
          <w:bCs w:val="0"/>
          <w:sz w:val="32"/>
          <w:szCs w:val="28"/>
          <w:lang w:eastAsia="zh-CN"/>
        </w:rPr>
        <w:t>采购人</w:t>
      </w:r>
      <w:r>
        <w:rPr>
          <w:rFonts w:hint="eastAsia" w:ascii="仿宋_GB2312" w:eastAsia="仿宋_GB2312"/>
          <w:b w:val="0"/>
          <w:bCs w:val="0"/>
          <w:sz w:val="32"/>
          <w:szCs w:val="28"/>
        </w:rPr>
        <w:t>行政失当，甚至承担法律责任的，</w:t>
      </w:r>
      <w:r>
        <w:rPr>
          <w:rFonts w:hint="eastAsia" w:ascii="仿宋_GB2312" w:eastAsia="仿宋_GB2312"/>
          <w:sz w:val="32"/>
          <w:szCs w:val="28"/>
        </w:rPr>
        <w:t>供应商</w:t>
      </w:r>
      <w:r>
        <w:rPr>
          <w:rFonts w:hint="eastAsia" w:ascii="仿宋_GB2312" w:eastAsia="仿宋_GB2312"/>
          <w:b w:val="0"/>
          <w:bCs w:val="0"/>
          <w:sz w:val="32"/>
          <w:szCs w:val="28"/>
        </w:rPr>
        <w:t>应承担相应的责任。</w:t>
      </w:r>
    </w:p>
    <w:p>
      <w:pPr>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附表</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评分标准</w:t>
      </w:r>
    </w:p>
    <w:tbl>
      <w:tblPr>
        <w:tblStyle w:val="3"/>
        <w:tblW w:w="8321" w:type="dxa"/>
        <w:jc w:val="center"/>
        <w:tblLayout w:type="fixed"/>
        <w:tblCellMar>
          <w:top w:w="0" w:type="dxa"/>
          <w:left w:w="108" w:type="dxa"/>
          <w:bottom w:w="0" w:type="dxa"/>
          <w:right w:w="108" w:type="dxa"/>
        </w:tblCellMar>
      </w:tblPr>
      <w:tblGrid>
        <w:gridCol w:w="637"/>
        <w:gridCol w:w="1125"/>
        <w:gridCol w:w="713"/>
        <w:gridCol w:w="5846"/>
      </w:tblGrid>
      <w:tr>
        <w:tblPrEx>
          <w:tblCellMar>
            <w:top w:w="0" w:type="dxa"/>
            <w:left w:w="108" w:type="dxa"/>
            <w:bottom w:w="0" w:type="dxa"/>
            <w:right w:w="108" w:type="dxa"/>
          </w:tblCellMar>
        </w:tblPrEx>
        <w:trPr>
          <w:trHeight w:val="417" w:hRule="atLeast"/>
          <w:jc w:val="center"/>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bCs/>
                <w:sz w:val="22"/>
                <w:szCs w:val="22"/>
              </w:rPr>
            </w:pPr>
            <w:r>
              <w:rPr>
                <w:rFonts w:hint="eastAsia" w:ascii="仿宋_GB2312" w:eastAsia="仿宋_GB2312"/>
                <w:b/>
                <w:bCs/>
                <w:sz w:val="22"/>
                <w:szCs w:val="22"/>
              </w:rPr>
              <w:t>序号</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bCs/>
                <w:sz w:val="22"/>
                <w:szCs w:val="22"/>
                <w:lang w:eastAsia="zh-CN"/>
              </w:rPr>
            </w:pPr>
            <w:r>
              <w:rPr>
                <w:rFonts w:hint="eastAsia" w:ascii="仿宋_GB2312" w:eastAsia="仿宋_GB2312"/>
                <w:b/>
                <w:bCs/>
                <w:sz w:val="22"/>
                <w:szCs w:val="22"/>
                <w:lang w:eastAsia="zh-CN"/>
              </w:rPr>
              <w:t>评审项目</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bCs/>
                <w:sz w:val="22"/>
                <w:szCs w:val="22"/>
              </w:rPr>
            </w:pPr>
            <w:r>
              <w:rPr>
                <w:rFonts w:hint="eastAsia" w:ascii="仿宋_GB2312" w:eastAsia="仿宋_GB2312"/>
                <w:b/>
                <w:bCs/>
                <w:sz w:val="22"/>
                <w:szCs w:val="22"/>
              </w:rPr>
              <w:t>分值</w:t>
            </w:r>
          </w:p>
        </w:tc>
        <w:tc>
          <w:tcPr>
            <w:tcW w:w="58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29" w:firstLineChars="1100"/>
              <w:textAlignment w:val="auto"/>
              <w:rPr>
                <w:rFonts w:hint="eastAsia" w:ascii="仿宋_GB2312" w:eastAsia="仿宋_GB2312"/>
                <w:b/>
                <w:bCs/>
                <w:sz w:val="22"/>
                <w:szCs w:val="22"/>
              </w:rPr>
            </w:pPr>
            <w:r>
              <w:rPr>
                <w:rFonts w:hint="eastAsia" w:ascii="仿宋_GB2312" w:eastAsia="仿宋_GB2312"/>
                <w:b/>
                <w:bCs/>
                <w:sz w:val="22"/>
                <w:szCs w:val="22"/>
              </w:rPr>
              <w:t>评审内容</w:t>
            </w:r>
            <w:bookmarkStart w:id="0" w:name="_GoBack"/>
            <w:bookmarkEnd w:id="0"/>
          </w:p>
        </w:tc>
      </w:tr>
      <w:tr>
        <w:tblPrEx>
          <w:tblCellMar>
            <w:top w:w="0" w:type="dxa"/>
            <w:left w:w="108" w:type="dxa"/>
            <w:bottom w:w="0" w:type="dxa"/>
            <w:right w:w="108" w:type="dxa"/>
          </w:tblCellMar>
        </w:tblPrEx>
        <w:trPr>
          <w:trHeight w:val="312" w:hRule="atLeast"/>
          <w:jc w:val="center"/>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41" w:firstLineChars="200"/>
              <w:textAlignment w:val="auto"/>
              <w:rPr>
                <w:rFonts w:hint="eastAsia" w:ascii="仿宋_GB2312" w:eastAsia="仿宋_GB2312"/>
                <w:b/>
                <w:bCs/>
                <w:sz w:val="22"/>
                <w:szCs w:val="22"/>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41" w:firstLineChars="200"/>
              <w:textAlignment w:val="auto"/>
              <w:rPr>
                <w:rFonts w:hint="eastAsia" w:ascii="仿宋_GB2312" w:eastAsia="仿宋_GB2312"/>
                <w:b/>
                <w:bCs/>
                <w:sz w:val="22"/>
                <w:szCs w:val="22"/>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41" w:firstLineChars="200"/>
              <w:textAlignment w:val="auto"/>
              <w:rPr>
                <w:rFonts w:hint="eastAsia" w:ascii="仿宋_GB2312" w:eastAsia="仿宋_GB2312"/>
                <w:b/>
                <w:bCs/>
                <w:sz w:val="22"/>
                <w:szCs w:val="22"/>
              </w:rPr>
            </w:pPr>
          </w:p>
        </w:tc>
        <w:tc>
          <w:tcPr>
            <w:tcW w:w="58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41" w:firstLineChars="200"/>
              <w:textAlignment w:val="auto"/>
              <w:rPr>
                <w:rFonts w:hint="eastAsia" w:ascii="仿宋_GB2312" w:eastAsia="仿宋_GB2312"/>
                <w:b/>
                <w:bCs/>
                <w:sz w:val="22"/>
                <w:szCs w:val="22"/>
              </w:rPr>
            </w:pPr>
          </w:p>
        </w:tc>
      </w:tr>
      <w:tr>
        <w:tblPrEx>
          <w:tblCellMar>
            <w:top w:w="0" w:type="dxa"/>
            <w:left w:w="108" w:type="dxa"/>
            <w:bottom w:w="0" w:type="dxa"/>
            <w:right w:w="108" w:type="dxa"/>
          </w:tblCellMar>
        </w:tblPrEx>
        <w:trPr>
          <w:trHeight w:val="6924" w:hRule="atLeas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1</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实施方案</w:t>
            </w:r>
          </w:p>
        </w:tc>
        <w:tc>
          <w:tcPr>
            <w:tcW w:w="7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40</w:t>
            </w:r>
          </w:p>
        </w:tc>
        <w:tc>
          <w:tcPr>
            <w:tcW w:w="5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供应商根据采购方案制定服务方案，制定详细的实施计划，列明具体工作内容、进度安排。横向对比所有响应人，满分为40分。其中：</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default"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1.供应商实施方案理解采购需求准确,方案详尽合理，实施流程科学可行.切实满足采购要求；工作安排合理高效，措施专业性强，确保按时完成并验收合格，得分按40分进行评定。</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2.供应商实施方案理解采购需求准确,方案合理，包含项目主要阶段,实施流程科学可行.满足采购要求；工作安排合理、措施专业，确保按时完成并验收合格，得分按30分进行评定。</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2.供应商实施方案对项目要求理解基本准确，方案不够全面；工作安排合理，基本满足采购要求,得分按20分进行评定。</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仿宋_GB2312" w:eastAsia="仿宋_GB2312"/>
                <w:b w:val="0"/>
                <w:bCs w:val="0"/>
                <w:sz w:val="22"/>
                <w:szCs w:val="22"/>
                <w:lang w:val="en-US" w:eastAsia="zh-CN"/>
              </w:rPr>
            </w:pPr>
            <w:r>
              <w:rPr>
                <w:rFonts w:hint="eastAsia" w:ascii="仿宋_GB2312" w:eastAsia="仿宋_GB2312"/>
                <w:b w:val="0"/>
                <w:bCs w:val="0"/>
                <w:sz w:val="22"/>
                <w:szCs w:val="22"/>
                <w:lang w:val="en-US" w:eastAsia="zh-CN"/>
              </w:rPr>
              <w:t>3.供应商提供了实施方案，但不够详尽或条理不够清晰，部分满足采购要求，得分按10分进行评定。</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left"/>
              <w:textAlignment w:val="auto"/>
              <w:rPr>
                <w:rFonts w:hint="eastAsia" w:ascii="仿宋_GB2312" w:eastAsia="仿宋_GB2312"/>
                <w:b w:val="0"/>
                <w:bCs w:val="0"/>
                <w:sz w:val="22"/>
                <w:szCs w:val="22"/>
              </w:rPr>
            </w:pPr>
            <w:r>
              <w:rPr>
                <w:rFonts w:hint="eastAsia" w:ascii="仿宋_GB2312" w:eastAsia="仿宋_GB2312"/>
                <w:b w:val="0"/>
                <w:bCs w:val="0"/>
                <w:sz w:val="22"/>
                <w:szCs w:val="22"/>
                <w:lang w:val="en-US" w:eastAsia="zh-CN"/>
              </w:rPr>
              <w:t>4.没有提供实施方案不得分。</w:t>
            </w:r>
          </w:p>
        </w:tc>
      </w:tr>
      <w:tr>
        <w:tblPrEx>
          <w:tblCellMar>
            <w:top w:w="0" w:type="dxa"/>
            <w:left w:w="108" w:type="dxa"/>
            <w:bottom w:w="0" w:type="dxa"/>
            <w:right w:w="108" w:type="dxa"/>
          </w:tblCellMar>
        </w:tblPrEx>
        <w:trPr>
          <w:trHeight w:val="1290" w:hRule="atLeas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仿宋_GB2312" w:eastAsia="仿宋_GB2312"/>
                <w:b w:val="0"/>
                <w:bCs w:val="0"/>
                <w:sz w:val="22"/>
                <w:szCs w:val="22"/>
              </w:rPr>
            </w:pPr>
            <w:r>
              <w:rPr>
                <w:rFonts w:hint="eastAsia" w:ascii="仿宋_GB2312" w:eastAsia="仿宋_GB2312"/>
                <w:b w:val="0"/>
                <w:bCs w:val="0"/>
                <w:sz w:val="22"/>
                <w:szCs w:val="22"/>
              </w:rPr>
              <w:t>2</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2"/>
                <w:szCs w:val="22"/>
              </w:rPr>
            </w:pPr>
            <w:r>
              <w:rPr>
                <w:rFonts w:hint="eastAsia" w:ascii="仿宋_GB2312" w:eastAsia="仿宋_GB2312"/>
                <w:b w:val="0"/>
                <w:bCs w:val="0"/>
                <w:sz w:val="22"/>
                <w:szCs w:val="22"/>
              </w:rPr>
              <w:t>服务经历</w:t>
            </w:r>
          </w:p>
        </w:tc>
        <w:tc>
          <w:tcPr>
            <w:tcW w:w="7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b w:val="0"/>
                <w:bCs w:val="0"/>
                <w:sz w:val="22"/>
                <w:szCs w:val="22"/>
                <w:lang w:val="en-US" w:eastAsia="zh-CN"/>
              </w:rPr>
            </w:pPr>
            <w:r>
              <w:rPr>
                <w:rFonts w:hint="default" w:ascii="仿宋_GB2312" w:eastAsia="仿宋_GB2312"/>
                <w:b w:val="0"/>
                <w:bCs w:val="0"/>
                <w:sz w:val="22"/>
                <w:szCs w:val="22"/>
                <w:lang w:val="en-US" w:eastAsia="zh-CN"/>
              </w:rPr>
              <w:t>2</w:t>
            </w:r>
            <w:r>
              <w:rPr>
                <w:rFonts w:hint="eastAsia" w:ascii="仿宋_GB2312" w:eastAsia="仿宋_GB2312"/>
                <w:b w:val="0"/>
                <w:bCs w:val="0"/>
                <w:sz w:val="22"/>
                <w:szCs w:val="22"/>
                <w:lang w:val="en-US" w:eastAsia="zh-CN"/>
              </w:rPr>
              <w:t>0</w:t>
            </w:r>
          </w:p>
        </w:tc>
        <w:tc>
          <w:tcPr>
            <w:tcW w:w="5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50" w:firstLineChars="250"/>
              <w:jc w:val="left"/>
              <w:textAlignment w:val="auto"/>
              <w:rPr>
                <w:rFonts w:hint="default" w:ascii="仿宋_GB2312" w:eastAsia="仿宋_GB2312"/>
                <w:b w:val="0"/>
                <w:bCs w:val="0"/>
                <w:sz w:val="22"/>
                <w:szCs w:val="22"/>
                <w:lang w:val="en-US" w:eastAsia="zh-CN"/>
              </w:rPr>
            </w:pPr>
            <w:r>
              <w:rPr>
                <w:rFonts w:hint="eastAsia" w:ascii="仿宋_GB2312" w:eastAsia="仿宋_GB2312"/>
                <w:b w:val="0"/>
                <w:bCs w:val="0"/>
                <w:sz w:val="22"/>
                <w:szCs w:val="22"/>
                <w:highlight w:val="none"/>
              </w:rPr>
              <w:t>具</w:t>
            </w:r>
            <w:r>
              <w:rPr>
                <w:rFonts w:hint="eastAsia" w:ascii="仿宋_GB2312" w:eastAsia="仿宋_GB2312"/>
                <w:b w:val="0"/>
                <w:bCs w:val="0"/>
                <w:sz w:val="22"/>
                <w:szCs w:val="22"/>
                <w:highlight w:val="none"/>
                <w:lang w:eastAsia="zh-CN"/>
              </w:rPr>
              <w:t>有</w:t>
            </w:r>
            <w:r>
              <w:rPr>
                <w:rFonts w:hint="eastAsia" w:ascii="仿宋_GB2312" w:eastAsia="仿宋_GB2312"/>
                <w:b w:val="0"/>
                <w:bCs w:val="0"/>
                <w:sz w:val="22"/>
                <w:szCs w:val="22"/>
                <w:highlight w:val="none"/>
              </w:rPr>
              <w:t>本项目服务内容</w:t>
            </w:r>
            <w:r>
              <w:rPr>
                <w:rFonts w:hint="eastAsia" w:ascii="仿宋_GB2312" w:eastAsia="仿宋_GB2312"/>
                <w:b w:val="0"/>
                <w:bCs w:val="0"/>
                <w:sz w:val="22"/>
                <w:szCs w:val="22"/>
                <w:highlight w:val="none"/>
                <w:lang w:eastAsia="zh-CN"/>
              </w:rPr>
              <w:t>相关业绩</w:t>
            </w:r>
            <w:r>
              <w:rPr>
                <w:rFonts w:hint="eastAsia" w:ascii="仿宋_GB2312" w:eastAsia="仿宋_GB2312"/>
                <w:b w:val="0"/>
                <w:bCs w:val="0"/>
                <w:sz w:val="22"/>
                <w:szCs w:val="22"/>
                <w:highlight w:val="none"/>
                <w:lang w:val="en-US" w:eastAsia="zh-CN"/>
              </w:rPr>
              <w:t>，1</w:t>
            </w:r>
            <w:r>
              <w:rPr>
                <w:rFonts w:hint="eastAsia" w:ascii="仿宋_GB2312" w:eastAsia="仿宋_GB2312"/>
                <w:b w:val="0"/>
                <w:bCs w:val="0"/>
                <w:sz w:val="22"/>
                <w:szCs w:val="22"/>
                <w:highlight w:val="none"/>
                <w:lang w:eastAsia="zh-CN"/>
              </w:rPr>
              <w:t>个得</w:t>
            </w:r>
            <w:r>
              <w:rPr>
                <w:rFonts w:hint="eastAsia" w:ascii="仿宋_GB2312" w:eastAsia="仿宋_GB2312"/>
                <w:b w:val="0"/>
                <w:bCs w:val="0"/>
                <w:sz w:val="22"/>
                <w:szCs w:val="22"/>
                <w:highlight w:val="none"/>
                <w:lang w:val="en-US" w:eastAsia="zh-CN"/>
              </w:rPr>
              <w:t>10分，2个得20分，满分20分。</w:t>
            </w:r>
          </w:p>
        </w:tc>
      </w:tr>
      <w:tr>
        <w:tblPrEx>
          <w:tblCellMar>
            <w:top w:w="0" w:type="dxa"/>
            <w:left w:w="108" w:type="dxa"/>
            <w:bottom w:w="0" w:type="dxa"/>
            <w:right w:w="108" w:type="dxa"/>
          </w:tblCellMar>
        </w:tblPrEx>
        <w:trPr>
          <w:trHeight w:val="1236" w:hRule="atLeas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仿宋_GB2312" w:eastAsia="仿宋_GB2312"/>
                <w:b w:val="0"/>
                <w:bCs w:val="0"/>
                <w:sz w:val="22"/>
                <w:szCs w:val="22"/>
                <w:lang w:eastAsia="zh-CN"/>
              </w:rPr>
            </w:pPr>
            <w:r>
              <w:rPr>
                <w:rFonts w:hint="eastAsia" w:ascii="仿宋_GB2312" w:eastAsia="仿宋_GB2312"/>
                <w:b w:val="0"/>
                <w:bCs w:val="0"/>
                <w:sz w:val="22"/>
                <w:szCs w:val="22"/>
                <w:lang w:val="en-US" w:eastAsia="zh-CN"/>
              </w:rPr>
              <w:t>3</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2"/>
                <w:szCs w:val="22"/>
                <w:lang w:eastAsia="zh-CN"/>
              </w:rPr>
            </w:pPr>
            <w:r>
              <w:rPr>
                <w:rFonts w:hint="eastAsia" w:ascii="仿宋_GB2312" w:eastAsia="仿宋_GB2312"/>
                <w:b w:val="0"/>
                <w:bCs w:val="0"/>
                <w:sz w:val="22"/>
                <w:szCs w:val="22"/>
              </w:rPr>
              <w:t>人员</w:t>
            </w:r>
            <w:r>
              <w:rPr>
                <w:rFonts w:hint="eastAsia" w:ascii="仿宋_GB2312" w:eastAsia="仿宋_GB2312"/>
                <w:b w:val="0"/>
                <w:bCs w:val="0"/>
                <w:sz w:val="22"/>
                <w:szCs w:val="22"/>
                <w:lang w:eastAsia="zh-CN"/>
              </w:rPr>
              <w:t>情况</w:t>
            </w:r>
          </w:p>
        </w:tc>
        <w:tc>
          <w:tcPr>
            <w:tcW w:w="7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2"/>
                <w:szCs w:val="22"/>
              </w:rPr>
            </w:pPr>
            <w:r>
              <w:rPr>
                <w:rFonts w:hint="eastAsia" w:ascii="仿宋_GB2312" w:eastAsia="仿宋_GB2312"/>
                <w:b w:val="0"/>
                <w:bCs w:val="0"/>
                <w:sz w:val="22"/>
                <w:szCs w:val="22"/>
              </w:rPr>
              <w:t>20</w:t>
            </w:r>
          </w:p>
        </w:tc>
        <w:tc>
          <w:tcPr>
            <w:tcW w:w="584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left"/>
              <w:textAlignment w:val="auto"/>
              <w:rPr>
                <w:rFonts w:hint="eastAsia" w:ascii="仿宋_GB2312" w:eastAsia="仿宋_GB2312"/>
                <w:b w:val="0"/>
                <w:bCs w:val="0"/>
                <w:color w:val="auto"/>
                <w:sz w:val="22"/>
                <w:szCs w:val="22"/>
                <w:lang w:val="en-US" w:eastAsia="zh-CN"/>
              </w:rPr>
            </w:pPr>
            <w:r>
              <w:rPr>
                <w:rFonts w:hint="eastAsia" w:ascii="仿宋_GB2312" w:eastAsia="仿宋_GB2312"/>
                <w:b w:val="0"/>
                <w:bCs w:val="0"/>
                <w:color w:val="auto"/>
                <w:sz w:val="22"/>
                <w:szCs w:val="22"/>
                <w:lang w:val="en-US" w:eastAsia="zh-CN"/>
              </w:rPr>
              <w:t>1.具备与本项目相适应的业务能力和从业人员，</w:t>
            </w:r>
            <w:r>
              <w:rPr>
                <w:rFonts w:hint="eastAsia" w:ascii="仿宋_GB2312" w:eastAsia="仿宋_GB2312"/>
                <w:color w:val="auto"/>
                <w:sz w:val="22"/>
              </w:rPr>
              <w:t>根据本项目业务要求，提供充足的人员配备。按</w:t>
            </w:r>
            <w:r>
              <w:rPr>
                <w:rFonts w:hint="eastAsia" w:ascii="仿宋_GB2312" w:eastAsia="仿宋_GB2312"/>
                <w:color w:val="auto"/>
                <w:sz w:val="22"/>
                <w:lang w:eastAsia="zh-CN"/>
              </w:rPr>
              <w:t>响应</w:t>
            </w:r>
            <w:r>
              <w:rPr>
                <w:rFonts w:hint="eastAsia" w:ascii="仿宋_GB2312" w:eastAsia="仿宋_GB2312"/>
                <w:color w:val="auto"/>
                <w:sz w:val="22"/>
              </w:rPr>
              <w:t>单位提供的人员数量排名，人员数量由高至低排名，最充足的得</w:t>
            </w:r>
            <w:r>
              <w:rPr>
                <w:rFonts w:hint="eastAsia" w:ascii="仿宋_GB2312" w:eastAsia="仿宋_GB2312"/>
                <w:color w:val="auto"/>
                <w:sz w:val="22"/>
                <w:lang w:val="en-US" w:eastAsia="zh-CN"/>
              </w:rPr>
              <w:t>15</w:t>
            </w:r>
            <w:r>
              <w:rPr>
                <w:rFonts w:hint="eastAsia" w:ascii="仿宋_GB2312" w:eastAsia="仿宋_GB2312"/>
                <w:color w:val="auto"/>
                <w:sz w:val="22"/>
              </w:rPr>
              <w:t>分，第二名得</w:t>
            </w:r>
            <w:r>
              <w:rPr>
                <w:rFonts w:hint="eastAsia" w:ascii="仿宋_GB2312" w:eastAsia="仿宋_GB2312"/>
                <w:color w:val="auto"/>
                <w:sz w:val="22"/>
                <w:lang w:val="en-US" w:eastAsia="zh-CN"/>
              </w:rPr>
              <w:t>12</w:t>
            </w:r>
            <w:r>
              <w:rPr>
                <w:rFonts w:hint="eastAsia" w:ascii="仿宋_GB2312" w:eastAsia="仿宋_GB2312"/>
                <w:color w:val="auto"/>
                <w:sz w:val="22"/>
              </w:rPr>
              <w:t>分，第三名得</w:t>
            </w:r>
            <w:r>
              <w:rPr>
                <w:rFonts w:hint="eastAsia" w:ascii="仿宋_GB2312" w:eastAsia="仿宋_GB2312"/>
                <w:color w:val="auto"/>
                <w:sz w:val="22"/>
                <w:lang w:val="en-US" w:eastAsia="zh-CN"/>
              </w:rPr>
              <w:t>9</w:t>
            </w:r>
            <w:r>
              <w:rPr>
                <w:rFonts w:hint="eastAsia" w:ascii="仿宋_GB2312" w:eastAsia="仿宋_GB2312"/>
                <w:color w:val="auto"/>
                <w:sz w:val="22"/>
              </w:rPr>
              <w:t>分，第四名得</w:t>
            </w:r>
            <w:r>
              <w:rPr>
                <w:rFonts w:hint="eastAsia" w:ascii="仿宋_GB2312" w:eastAsia="仿宋_GB2312"/>
                <w:color w:val="auto"/>
                <w:sz w:val="22"/>
                <w:lang w:val="en-US" w:eastAsia="zh-CN"/>
              </w:rPr>
              <w:t>6</w:t>
            </w:r>
            <w:r>
              <w:rPr>
                <w:rFonts w:hint="eastAsia" w:ascii="仿宋_GB2312" w:eastAsia="仿宋_GB2312"/>
                <w:color w:val="auto"/>
                <w:sz w:val="22"/>
              </w:rPr>
              <w:t>分，第五名及其后的供应商不得分（如人数相同的得分相同）</w:t>
            </w:r>
            <w:r>
              <w:rPr>
                <w:rFonts w:hint="eastAsia" w:ascii="仿宋_GB2312" w:eastAsia="仿宋_GB2312"/>
                <w:b w:val="0"/>
                <w:bCs w:val="0"/>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left"/>
              <w:textAlignment w:val="auto"/>
              <w:rPr>
                <w:rFonts w:hint="eastAsia" w:ascii="仿宋_GB2312" w:eastAsia="仿宋_GB2312"/>
                <w:b w:val="0"/>
                <w:bCs w:val="0"/>
                <w:sz w:val="22"/>
                <w:szCs w:val="22"/>
              </w:rPr>
            </w:pPr>
            <w:r>
              <w:rPr>
                <w:rFonts w:hint="eastAsia" w:ascii="仿宋_GB2312" w:eastAsia="仿宋_GB2312"/>
                <w:b w:val="0"/>
                <w:bCs w:val="0"/>
                <w:color w:val="auto"/>
                <w:sz w:val="22"/>
                <w:szCs w:val="22"/>
                <w:lang w:val="en-US" w:eastAsia="zh-CN"/>
              </w:rPr>
              <w:t>2.确定各项工作的负责人并说明参与人员的职责、任务得5分。</w:t>
            </w:r>
          </w:p>
        </w:tc>
      </w:tr>
      <w:tr>
        <w:tblPrEx>
          <w:tblCellMar>
            <w:top w:w="0" w:type="dxa"/>
            <w:left w:w="108" w:type="dxa"/>
            <w:bottom w:w="0" w:type="dxa"/>
            <w:right w:w="108" w:type="dxa"/>
          </w:tblCellMar>
        </w:tblPrEx>
        <w:trPr>
          <w:trHeight w:val="1886" w:hRule="atLeas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仿宋_GB2312" w:eastAsia="仿宋_GB2312"/>
                <w:b w:val="0"/>
                <w:bCs w:val="0"/>
                <w:sz w:val="22"/>
                <w:szCs w:val="22"/>
                <w:lang w:eastAsia="zh-CN"/>
              </w:rPr>
            </w:pPr>
            <w:r>
              <w:rPr>
                <w:rFonts w:hint="eastAsia" w:ascii="仿宋_GB2312" w:eastAsia="仿宋_GB2312"/>
                <w:b w:val="0"/>
                <w:bCs w:val="0"/>
                <w:sz w:val="22"/>
                <w:szCs w:val="22"/>
                <w:lang w:val="en-US" w:eastAsia="zh-CN"/>
              </w:rPr>
              <w:t>4</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val="0"/>
                <w:bCs w:val="0"/>
                <w:sz w:val="22"/>
                <w:szCs w:val="22"/>
              </w:rPr>
            </w:pPr>
            <w:r>
              <w:rPr>
                <w:rFonts w:hint="eastAsia" w:ascii="仿宋_GB2312" w:eastAsia="仿宋_GB2312"/>
                <w:b w:val="0"/>
                <w:bCs w:val="0"/>
                <w:sz w:val="22"/>
                <w:szCs w:val="22"/>
              </w:rPr>
              <w:t>报价评分</w:t>
            </w:r>
          </w:p>
        </w:tc>
        <w:tc>
          <w:tcPr>
            <w:tcW w:w="7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b w:val="0"/>
                <w:bCs w:val="0"/>
                <w:sz w:val="22"/>
                <w:szCs w:val="22"/>
                <w:lang w:val="en-US"/>
              </w:rPr>
            </w:pPr>
            <w:r>
              <w:rPr>
                <w:rFonts w:hint="eastAsia" w:ascii="仿宋_GB2312" w:eastAsia="仿宋_GB2312"/>
                <w:b w:val="0"/>
                <w:bCs w:val="0"/>
                <w:sz w:val="22"/>
                <w:szCs w:val="22"/>
                <w:lang w:val="en-US" w:eastAsia="zh-CN"/>
              </w:rPr>
              <w:t>20</w:t>
            </w:r>
          </w:p>
        </w:tc>
        <w:tc>
          <w:tcPr>
            <w:tcW w:w="5846"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20" w:firstLineChars="100"/>
              <w:jc w:val="both"/>
              <w:textAlignment w:val="auto"/>
              <w:rPr>
                <w:rFonts w:hint="eastAsia" w:ascii="仿宋_GB2312" w:hAnsi="Calibri" w:eastAsia="仿宋_GB2312" w:cs="Times New Roman"/>
                <w:b w:val="0"/>
                <w:bCs w:val="0"/>
                <w:kern w:val="2"/>
                <w:sz w:val="22"/>
                <w:szCs w:val="22"/>
                <w:highlight w:val="none"/>
                <w:lang w:val="en-US" w:eastAsia="zh-CN" w:bidi="ar-SA"/>
              </w:rPr>
            </w:pPr>
            <w:r>
              <w:rPr>
                <w:rFonts w:hint="eastAsia" w:ascii="仿宋_GB2312" w:eastAsia="仿宋_GB2312"/>
                <w:b w:val="0"/>
                <w:bCs w:val="0"/>
                <w:sz w:val="22"/>
                <w:szCs w:val="22"/>
                <w:lang w:val="en-US" w:eastAsia="zh-CN"/>
              </w:rPr>
              <w:t>1.投标报价得分=(评价基准价/响应报价)×价格分值（15分）。【注:满足招标文件要求且响应价格最低的响应报价为评标基准价。】最低报价不是中标的唯一依据。</w:t>
            </w:r>
          </w:p>
          <w:p>
            <w:pPr>
              <w:pStyle w:val="2"/>
              <w:numPr>
                <w:ilvl w:val="0"/>
                <w:numId w:val="0"/>
              </w:numPr>
              <w:ind w:firstLine="220" w:firstLineChars="100"/>
              <w:rPr>
                <w:rFonts w:hint="default" w:ascii="仿宋_GB2312" w:hAnsi="Calibri" w:eastAsia="仿宋_GB2312" w:cs="Times New Roman"/>
                <w:b w:val="0"/>
                <w:bCs w:val="0"/>
                <w:kern w:val="2"/>
                <w:sz w:val="22"/>
                <w:szCs w:val="22"/>
                <w:highlight w:val="none"/>
                <w:lang w:val="en-US" w:eastAsia="zh-CN" w:bidi="ar-SA"/>
              </w:rPr>
            </w:pPr>
            <w:r>
              <w:rPr>
                <w:rFonts w:hint="default" w:ascii="仿宋_GB2312" w:eastAsia="仿宋_GB2312" w:cs="Times New Roman"/>
                <w:b w:val="0"/>
                <w:bCs w:val="0"/>
                <w:kern w:val="2"/>
                <w:sz w:val="22"/>
                <w:szCs w:val="22"/>
                <w:highlight w:val="none"/>
                <w:lang w:val="en-US" w:eastAsia="zh-CN" w:bidi="ar-SA"/>
              </w:rPr>
              <w:t>2.</w:t>
            </w:r>
            <w:r>
              <w:rPr>
                <w:rFonts w:hint="eastAsia" w:ascii="仿宋_GB2312" w:hAnsi="Calibri" w:eastAsia="仿宋_GB2312" w:cs="Times New Roman"/>
                <w:b w:val="0"/>
                <w:bCs w:val="0"/>
                <w:kern w:val="2"/>
                <w:sz w:val="22"/>
                <w:szCs w:val="22"/>
                <w:highlight w:val="none"/>
                <w:lang w:val="en-US" w:eastAsia="zh-CN" w:bidi="ar-SA"/>
              </w:rPr>
              <w:t>按照项目服务内容列明详细服务报价的得5分</w:t>
            </w:r>
            <w:r>
              <w:rPr>
                <w:rFonts w:hint="eastAsia" w:ascii="仿宋_GB2312" w:eastAsia="仿宋_GB2312" w:cs="Times New Roman"/>
                <w:b w:val="0"/>
                <w:bCs w:val="0"/>
                <w:kern w:val="2"/>
                <w:sz w:val="2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仿宋_GB2312" w:eastAsia="仿宋_GB2312"/>
                <w:b w:val="0"/>
                <w:bCs w:val="0"/>
                <w:sz w:val="22"/>
                <w:szCs w:val="22"/>
              </w:rPr>
            </w:pPr>
          </w:p>
        </w:tc>
      </w:tr>
    </w:tbl>
    <w:p>
      <w:pPr>
        <w:adjustRightInd/>
        <w:snapToGrid/>
        <w:spacing w:before="156" w:beforeLines="50" w:after="156" w:afterLines="50" w:line="320" w:lineRule="exact"/>
        <w:ind w:firstLine="420" w:firstLineChars="200"/>
        <w:jc w:val="left"/>
        <w:rPr>
          <w:rFonts w:hint="eastAsia" w:ascii="CESI仿宋-GB2312" w:hAnsi="CESI仿宋-GB2312" w:eastAsia="CESI仿宋-GB2312" w:cs="CESI仿宋-GB2312"/>
          <w:bCs w:val="0"/>
          <w:color w:val="auto"/>
          <w:sz w:val="21"/>
          <w:szCs w:val="21"/>
          <w:lang w:val="en-US"/>
        </w:rPr>
      </w:pPr>
      <w:r>
        <w:rPr>
          <w:rFonts w:hint="eastAsia" w:ascii="CESI仿宋-GB2312" w:hAnsi="CESI仿宋-GB2312" w:eastAsia="CESI仿宋-GB2312" w:cs="CESI仿宋-GB2312"/>
          <w:bCs w:val="0"/>
          <w:color w:val="auto"/>
          <w:sz w:val="21"/>
          <w:szCs w:val="21"/>
          <w:lang w:val="en-US"/>
        </w:rPr>
        <w:t>注：以上评审项均需提供相关佐证材料或说明。</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微软雅黑"/>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EF1C9"/>
    <w:multiLevelType w:val="singleLevel"/>
    <w:tmpl w:val="9F3EF1C9"/>
    <w:lvl w:ilvl="0" w:tentative="0">
      <w:start w:val="4"/>
      <w:numFmt w:val="chineseCounting"/>
      <w:suff w:val="nothing"/>
      <w:lvlText w:val="%1、"/>
      <w:lvlJc w:val="left"/>
      <w:rPr>
        <w:rFonts w:hint="eastAsia"/>
      </w:rPr>
    </w:lvl>
  </w:abstractNum>
  <w:abstractNum w:abstractNumId="1">
    <w:nsid w:val="EFEE7AEF"/>
    <w:multiLevelType w:val="singleLevel"/>
    <w:tmpl w:val="EFEE7AEF"/>
    <w:lvl w:ilvl="0" w:tentative="0">
      <w:start w:val="3"/>
      <w:numFmt w:val="chineseCounting"/>
      <w:suff w:val="nothing"/>
      <w:lvlText w:val="%1、"/>
      <w:lvlJc w:val="left"/>
      <w:rPr>
        <w:rFonts w:hint="eastAsia"/>
      </w:rPr>
    </w:lvl>
  </w:abstractNum>
  <w:abstractNum w:abstractNumId="2">
    <w:nsid w:val="FFEE8E02"/>
    <w:multiLevelType w:val="singleLevel"/>
    <w:tmpl w:val="FFEE8E02"/>
    <w:lvl w:ilvl="0" w:tentative="0">
      <w:start w:val="1"/>
      <w:numFmt w:val="chineseCounting"/>
      <w:suff w:val="nothing"/>
      <w:lvlText w:val="%1、"/>
      <w:lvlJc w:val="left"/>
      <w:rPr>
        <w:rFonts w:hint="eastAsia"/>
      </w:rPr>
    </w:lvl>
  </w:abstractNum>
  <w:abstractNum w:abstractNumId="3">
    <w:nsid w:val="64896890"/>
    <w:multiLevelType w:val="singleLevel"/>
    <w:tmpl w:val="64896890"/>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FFD760"/>
    <w:rsid w:val="2B99D777"/>
    <w:rsid w:val="36A74EB8"/>
    <w:rsid w:val="4A1947CF"/>
    <w:rsid w:val="5B7903B2"/>
    <w:rsid w:val="67FA8F46"/>
    <w:rsid w:val="7E741739"/>
    <w:rsid w:val="7FBB43DC"/>
    <w:rsid w:val="7FBF6717"/>
    <w:rsid w:val="7FF06E93"/>
    <w:rsid w:val="B95BE110"/>
    <w:rsid w:val="CDFFF654"/>
    <w:rsid w:val="DBDF290D"/>
    <w:rsid w:val="DF33ABC9"/>
    <w:rsid w:val="DF7FAC6A"/>
    <w:rsid w:val="F36B5A6C"/>
    <w:rsid w:val="F53D736A"/>
    <w:rsid w:val="F5EA9C8C"/>
    <w:rsid w:val="FBFEF78E"/>
    <w:rsid w:val="FFFDC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 w:type="paragraph" w:customStyle="1" w:styleId="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admin</cp:lastModifiedBy>
  <dcterms:modified xsi:type="dcterms:W3CDTF">2025-08-21T15:42:05Z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751F20E29A5EA9972BD00D67CBE01C38</vt:lpwstr>
  </property>
</Properties>
</file>