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shd w:val="clear" w:color="auto" w:fill="FFFFFF"/>
          <w:lang w:bidi="ar"/>
          <w14:textFill>
            <w14:solidFill>
              <w14:schemeClr w14:val="tx1"/>
            </w14:solidFill>
          </w14:textFill>
        </w:rPr>
        <w:t>江门市市场监督管理局2025年市级媒体版面及融媒体宣传项目合同（审阅版）</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bidi w:val="0"/>
        <w:spacing w:line="52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kinsoku/>
        <w:wordWrap/>
        <w:overflowPunct/>
        <w:topLinePunct w:val="0"/>
        <w:bidi w:val="0"/>
        <w:spacing w:line="52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keepNext w:val="0"/>
        <w:keepLines w:val="0"/>
        <w:pageBreakBefore w:val="0"/>
        <w:kinsoku/>
        <w:wordWrap/>
        <w:overflowPunct/>
        <w:topLinePunct w:val="0"/>
        <w:bidi w:val="0"/>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甲、乙双方根据“江门市市场监督管理局2025年市级媒体版面及融媒体宣传项目”（项目编号：</w:t>
      </w:r>
      <w:r>
        <w:rPr>
          <w:rFonts w:hint="eastAsia" w:ascii="仿宋" w:hAnsi="仿宋" w:eastAsia="仿宋" w:cs="仿宋"/>
          <w:sz w:val="28"/>
          <w:szCs w:val="28"/>
          <w:lang w:val="en-US" w:eastAsia="zh-CN"/>
        </w:rPr>
        <w:t>2025039</w:t>
      </w:r>
      <w:r>
        <w:rPr>
          <w:rFonts w:hint="eastAsia" w:ascii="仿宋" w:hAnsi="仿宋" w:eastAsia="仿宋" w:cs="仿宋"/>
          <w:sz w:val="28"/>
          <w:szCs w:val="28"/>
        </w:rPr>
        <w:t xml:space="preserve">）（以下简称项目）的采购公告、项目采购结果公告的要求，按照《中华人民共和国政府采购法》及其实施条例等相关法律法规的规定，经双方协商，本着平等互利和诚实信用的原则，一致同意签订本合同如下： </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keepNext w:val="0"/>
        <w:keepLines w:val="0"/>
        <w:pageBreakBefore w:val="0"/>
        <w:widowControl/>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甲方委托乙方就“江门市市场监督管理局2025年市级媒体版面及融媒体宣传项目”提供技术服务工作，合同签订生效之日起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乙方应按采购公告、甲方要求及标准制定《江门市市场监督管理局2025年市级媒体版面及融媒体宣传项目工作实施方案》并报甲方审定，乙方应按甲方审定后的《工作方案》在约定期限内，向甲方提供服务，并提交相关工作成果。甲方对《工作方案》的审定不视为对乙方最终工作成果的认可，也不免除乙方按合同约定和质量标准完成项目的责任。</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keepNext w:val="0"/>
        <w:keepLines w:val="0"/>
        <w:pageBreakBefore w:val="0"/>
        <w:numPr>
          <w:ilvl w:val="0"/>
          <w:numId w:val="1"/>
        </w:numPr>
        <w:kinsoku/>
        <w:wordWrap/>
        <w:overflowPunct/>
        <w:topLinePunct w:val="0"/>
        <w:bidi w:val="0"/>
        <w:spacing w:line="52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第一期：双方签订合同合格且乙方无任何违约行为，甲方收到乙方开具的相对应金额发票之日起30个工作日内向乙方支付本项目费用总价的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keepNext w:val="0"/>
        <w:keepLines w:val="0"/>
        <w:pageBreakBefore w:val="0"/>
        <w:kinsoku/>
        <w:wordWrap/>
        <w:overflowPunct/>
        <w:topLinePunct w:val="0"/>
        <w:bidi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2"/>
        <w:keepNext w:val="0"/>
        <w:keepLines w:val="0"/>
        <w:pageBreakBefore w:val="0"/>
        <w:numPr>
          <w:ilvl w:val="255"/>
          <w:numId w:val="0"/>
        </w:numPr>
        <w:kinsoku/>
        <w:wordWrap/>
        <w:overflowPunct/>
        <w:topLinePunct w:val="0"/>
        <w:bidi w:val="0"/>
        <w:spacing w:line="520" w:lineRule="exact"/>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2"/>
        <w:keepNext w:val="0"/>
        <w:keepLines w:val="0"/>
        <w:pageBreakBefore w:val="0"/>
        <w:numPr>
          <w:ilvl w:val="255"/>
          <w:numId w:val="0"/>
        </w:numPr>
        <w:kinsoku/>
        <w:wordWrap/>
        <w:overflowPunct/>
        <w:topLinePunct w:val="0"/>
        <w:bidi w:val="0"/>
        <w:spacing w:line="520" w:lineRule="exact"/>
        <w:ind w:firstLine="608" w:firstLineChars="200"/>
      </w:pPr>
      <w:r>
        <w:rPr>
          <w:rFonts w:hint="eastAsia" w:ascii="仿宋" w:hAnsi="仿宋" w:eastAsia="仿宋" w:cs="仿宋"/>
          <w:szCs w:val="28"/>
        </w:rPr>
        <w:t>3. 甲方支付以乙方无违约为前提，若乙方违约，甲方有权在应付款中做相应扣除。</w:t>
      </w:r>
    </w:p>
    <w:p>
      <w:pPr>
        <w:keepNext w:val="0"/>
        <w:keepLines w:val="0"/>
        <w:pageBreakBefore w:val="0"/>
        <w:numPr>
          <w:ilvl w:val="0"/>
          <w:numId w:val="1"/>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乙方账户信息如下：</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9"/>
        <w:keepNext w:val="0"/>
        <w:keepLines w:val="0"/>
        <w:pageBreakBefore w:val="0"/>
        <w:numPr>
          <w:ilvl w:val="0"/>
          <w:numId w:val="1"/>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9"/>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keepNext w:val="0"/>
        <w:keepLines w:val="0"/>
        <w:pageBreakBefore w:val="0"/>
        <w:kinsoku/>
        <w:wordWrap/>
        <w:overflowPunct/>
        <w:topLinePunct w:val="0"/>
        <w:bidi w:val="0"/>
        <w:spacing w:line="52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乙方完成新闻稿撰写，相关内容对外发布</w:t>
      </w:r>
      <w:r>
        <w:rPr>
          <w:rFonts w:hint="eastAsia" w:ascii="仿宋" w:hAnsi="仿宋" w:eastAsia="仿宋" w:cs="仿宋"/>
          <w:sz w:val="28"/>
          <w:szCs w:val="28"/>
          <w:lang w:eastAsia="zh-Hans"/>
        </w:rPr>
        <w:t>前</w:t>
      </w:r>
      <w:r>
        <w:rPr>
          <w:rFonts w:hint="eastAsia" w:ascii="仿宋" w:hAnsi="仿宋" w:eastAsia="仿宋" w:cs="仿宋"/>
          <w:sz w:val="28"/>
          <w:szCs w:val="28"/>
        </w:rPr>
        <w:t>都应提交甲方审核验收，甲方应在收到样稿之日起</w:t>
      </w:r>
      <w:r>
        <w:rPr>
          <w:rFonts w:ascii="仿宋" w:hAnsi="仿宋" w:eastAsia="仿宋" w:cs="仿宋"/>
          <w:sz w:val="28"/>
          <w:szCs w:val="28"/>
        </w:rPr>
        <w:t>3</w:t>
      </w:r>
      <w:r>
        <w:rPr>
          <w:rFonts w:hint="eastAsia" w:ascii="仿宋" w:hAnsi="仿宋" w:eastAsia="仿宋" w:cs="仿宋"/>
          <w:sz w:val="28"/>
          <w:szCs w:val="28"/>
        </w:rPr>
        <w:t>个工作日内完成审核，经甲方审核通过的方可发布；若甲方认为不合格的，应明确告知乙方具体的修改要求，乙方应当根据甲方的要求及时修改，并再次提交甲方验收。乙方应预留甲方审核验收的时间，因甲方的验收工作导致乙方逾期发布的，乙方按本合同约定承担逾期违约责任。</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行业规范或标准以及采购公告、本合同约定的技术、服务标准进行验收，验收内容包括但不限于：内容真实性、政治导向正确性、纸媒版面设计、画面清晰度、视频格式、播出平台级别、传播效果数据等。</w:t>
      </w:r>
    </w:p>
    <w:p>
      <w:pPr>
        <w:keepNext w:val="0"/>
        <w:keepLines w:val="0"/>
        <w:pageBreakBefore w:val="0"/>
        <w:numPr>
          <w:ilvl w:val="0"/>
          <w:numId w:val="2"/>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的，乙方应在甲方指定期限内采取弥补措施并再次提交给甲方验收；验收合格后由甲方和乙方共同签字确认并作为结算及甲方支付第二期款项的依据。若经甲方连续两次验收未通过的，甲方有权解除合同，</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keepNext w:val="0"/>
        <w:keepLines w:val="0"/>
        <w:pageBreakBefore w:val="0"/>
        <w:numPr>
          <w:ilvl w:val="0"/>
          <w:numId w:val="3"/>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甲方有权对乙方提交的《工作方案》提出修改意见，乙方应在收到修改意见后3个工作日内完成修改并重新提交甲方审定；</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keepNext w:val="0"/>
        <w:keepLines w:val="0"/>
        <w:pageBreakBefore w:val="0"/>
        <w:numPr>
          <w:ilvl w:val="0"/>
          <w:numId w:val="3"/>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乙方应对其工作人员进行保密教育，并与其签订保密承诺书，乙方工作人员违反保密义务的，视为乙方违约。所有工作时间内，乙方对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本条款约定的保密义务永久有效。</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hint="eastAsia" w:ascii="仿宋" w:hAnsi="仿宋" w:eastAsia="仿宋" w:cs="仿宋"/>
          <w:sz w:val="28"/>
          <w:szCs w:val="28"/>
          <w:lang w:bidi="ar"/>
        </w:rPr>
      </w:pPr>
      <w:r>
        <w:rPr>
          <w:rFonts w:hint="eastAsia" w:ascii="仿宋" w:hAnsi="仿宋" w:eastAsia="仿宋" w:cs="仿宋"/>
          <w:sz w:val="28"/>
          <w:szCs w:val="28"/>
          <w:lang w:bidi="ar"/>
        </w:rPr>
        <w:t>乙方有权要求甲方按照本合同约定支付相应款项。</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hint="eastAsia" w:ascii="仿宋" w:hAnsi="仿宋" w:eastAsia="仿宋" w:cs="仿宋"/>
          <w:sz w:val="28"/>
          <w:szCs w:val="28"/>
          <w:lang w:bidi="ar"/>
        </w:rPr>
      </w:pPr>
      <w:r>
        <w:rPr>
          <w:rFonts w:hint="eastAsia" w:ascii="仿宋" w:hAnsi="仿宋" w:eastAsia="仿宋" w:cs="仿宋"/>
          <w:sz w:val="28"/>
          <w:szCs w:val="28"/>
          <w:lang w:bidi="ar"/>
        </w:rPr>
        <w:t>未经甲方同意，乙方不得更换项目负责人或主要创作人员。</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hint="eastAsia" w:ascii="仿宋" w:hAnsi="仿宋" w:eastAsia="仿宋" w:cs="仿宋"/>
          <w:sz w:val="28"/>
          <w:szCs w:val="28"/>
          <w:lang w:bidi="ar"/>
        </w:rPr>
      </w:pPr>
      <w:r>
        <w:rPr>
          <w:rFonts w:hint="eastAsia" w:ascii="仿宋" w:hAnsi="仿宋" w:eastAsia="仿宋" w:cs="仿宋"/>
          <w:sz w:val="28"/>
          <w:szCs w:val="28"/>
          <w:lang w:bidi="ar"/>
        </w:rPr>
        <w:t>乙方发布的内容如引发负面舆情或法律纠纷，乙方应在24小时内响应并处理，并承担由此产生的一切法律责任和舆论后果。</w:t>
      </w:r>
    </w:p>
    <w:p>
      <w:pPr>
        <w:keepNext w:val="0"/>
        <w:keepLines w:val="0"/>
        <w:pageBreakBefore w:val="0"/>
        <w:numPr>
          <w:ilvl w:val="0"/>
          <w:numId w:val="4"/>
        </w:numPr>
        <w:kinsoku/>
        <w:wordWrap/>
        <w:overflowPunct/>
        <w:topLinePunct w:val="0"/>
        <w:bidi w:val="0"/>
        <w:adjustRightInd w:val="0"/>
        <w:snapToGrid w:val="0"/>
        <w:spacing w:line="520" w:lineRule="exact"/>
        <w:ind w:firstLine="560" w:firstLineChars="200"/>
        <w:jc w:val="left"/>
        <w:rPr>
          <w:rFonts w:hint="eastAsia" w:ascii="仿宋" w:hAnsi="仿宋" w:eastAsia="仿宋" w:cs="仿宋"/>
          <w:sz w:val="28"/>
          <w:szCs w:val="28"/>
          <w:lang w:bidi="ar"/>
        </w:rPr>
      </w:pPr>
      <w:r>
        <w:rPr>
          <w:rFonts w:hint="eastAsia" w:ascii="仿宋" w:hAnsi="仿宋" w:eastAsia="仿宋" w:cs="仿宋"/>
          <w:sz w:val="28"/>
          <w:szCs w:val="28"/>
          <w:lang w:bidi="ar"/>
        </w:rPr>
        <w:t>乙方应在项目结束后10个工作日内向甲方提交完整的项目档案（包括视频成片、文案原稿、发布截图、传播数据等），甲方有权永久保存并使用。</w:t>
      </w:r>
    </w:p>
    <w:p>
      <w:pPr>
        <w:keepNext w:val="0"/>
        <w:keepLines w:val="0"/>
        <w:pageBreakBefore w:val="0"/>
        <w:numPr>
          <w:ilvl w:val="0"/>
          <w:numId w:val="5"/>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keepNext w:val="0"/>
        <w:keepLines w:val="0"/>
        <w:pageBreakBefore w:val="0"/>
        <w:numPr>
          <w:ilvl w:val="0"/>
          <w:numId w:val="6"/>
        </w:numPr>
        <w:tabs>
          <w:tab w:val="left" w:pos="720"/>
        </w:tabs>
        <w:kinsoku/>
        <w:wordWrap/>
        <w:overflowPunct/>
        <w:topLinePunct w:val="0"/>
        <w:bidi w:val="0"/>
        <w:adjustRightInd w:val="0"/>
        <w:spacing w:line="52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keepNext w:val="0"/>
        <w:keepLines w:val="0"/>
        <w:pageBreakBefore w:val="0"/>
        <w:numPr>
          <w:ilvl w:val="255"/>
          <w:numId w:val="0"/>
        </w:numPr>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在不可抗力发生之日起5日内通报另一方不能履行或不能完全履行的理由，并提供市级以上政府部门或公证机构出具的权威证明，以减轻可能给各方造成的损失，在取得有关机构证明后，允许延期履行、部分履行或不履行合同，并根据情况可部分或全部免予承担违约责任。</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keepNext w:val="0"/>
        <w:keepLines w:val="0"/>
        <w:pageBreakBefore w:val="0"/>
        <w:numPr>
          <w:ilvl w:val="0"/>
          <w:numId w:val="7"/>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keepNext w:val="0"/>
        <w:keepLines w:val="0"/>
        <w:pageBreakBefore w:val="0"/>
        <w:numPr>
          <w:ilvl w:val="0"/>
          <w:numId w:val="8"/>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乙方的违约责任：</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（1）乙方不具备履行本合同所需的全部资质、许可及专业技术能力，导致项目无法正常进行或甲方受到行政处罚的；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（2）乙方逾期提交项目成果性文件或者逾期完成项目工作超过15日以上的；</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）乙方因自身原因不能提供服务（不包括本条第1点的情形）或提供的服务质量不符合本合同约定以及相关法律法规规定的，甲方有权拒收；</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）未经甲方同意，乙方将本合同项目部分或全部技术服务工作转让第三人负责的。</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发生不可抗力。</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keepNext w:val="0"/>
        <w:keepLines w:val="0"/>
        <w:pageBreakBefore w:val="0"/>
        <w:numPr>
          <w:ilvl w:val="0"/>
          <w:numId w:val="9"/>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keepNext w:val="0"/>
        <w:keepLines w:val="0"/>
        <w:pageBreakBefore w:val="0"/>
        <w:kinsoku/>
        <w:wordWrap/>
        <w:overflowPunct/>
        <w:topLinePunct w:val="0"/>
        <w:bidi w:val="0"/>
        <w:spacing w:line="52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keepNext w:val="0"/>
        <w:keepLines w:val="0"/>
        <w:pageBreakBefore w:val="0"/>
        <w:numPr>
          <w:ilvl w:val="255"/>
          <w:numId w:val="0"/>
        </w:numPr>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keepNext w:val="0"/>
        <w:keepLines w:val="0"/>
        <w:pageBreakBefore w:val="0"/>
        <w:kinsoku/>
        <w:wordWrap/>
        <w:overflowPunct/>
        <w:topLinePunct w:val="0"/>
        <w:bidi w:val="0"/>
        <w:spacing w:line="52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keepNext w:val="0"/>
        <w:keepLines w:val="0"/>
        <w:pageBreakBefore w:val="0"/>
        <w:numPr>
          <w:ilvl w:val="0"/>
          <w:numId w:val="10"/>
        </w:numPr>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2"/>
        <w:keepNext w:val="0"/>
        <w:keepLines w:val="0"/>
        <w:pageBreakBefore w:val="0"/>
        <w:numPr>
          <w:ilvl w:val="0"/>
          <w:numId w:val="10"/>
        </w:numPr>
        <w:kinsoku/>
        <w:wordWrap/>
        <w:overflowPunct/>
        <w:topLinePunct w:val="0"/>
        <w:bidi w:val="0"/>
        <w:spacing w:line="520" w:lineRule="exact"/>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江门市市场监督管理局2025年市级媒体版面及融媒体宣传项目采购公告；</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2"/>
        <w:keepNext w:val="0"/>
        <w:keepLines w:val="0"/>
        <w:pageBreakBefore w:val="0"/>
        <w:numPr>
          <w:ilvl w:val="0"/>
          <w:numId w:val="11"/>
        </w:numPr>
        <w:kinsoku/>
        <w:wordWrap/>
        <w:overflowPunct/>
        <w:topLinePunct w:val="0"/>
        <w:bidi w:val="0"/>
        <w:spacing w:line="52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keepNext w:val="0"/>
        <w:keepLines w:val="0"/>
        <w:pageBreakBefore w:val="0"/>
        <w:kinsoku/>
        <w:wordWrap/>
        <w:overflowPunct/>
        <w:topLinePunct w:val="0"/>
        <w:bidi w:val="0"/>
        <w:spacing w:before="156" w:beforeLines="50" w:line="52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2"/>
        <w:keepNext w:val="0"/>
        <w:keepLines w:val="0"/>
        <w:pageBreakBefore w:val="0"/>
        <w:kinsoku/>
        <w:wordWrap/>
        <w:overflowPunct/>
        <w:topLinePunct w:val="0"/>
        <w:bidi w:val="0"/>
        <w:spacing w:line="520" w:lineRule="exact"/>
        <w:ind w:left="0" w:firstLine="0" w:firstLineChars="0"/>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pStyle w:val="2"/>
        <w:keepNext w:val="0"/>
        <w:keepLines w:val="0"/>
        <w:pageBreakBefore w:val="0"/>
        <w:kinsoku/>
        <w:wordWrap/>
        <w:overflowPunct/>
        <w:topLinePunct w:val="0"/>
        <w:bidi w:val="0"/>
        <w:spacing w:line="520" w:lineRule="exact"/>
        <w:ind w:firstLine="608"/>
        <w:rPr>
          <w:rFonts w:ascii="仿宋" w:hAnsi="仿宋" w:eastAsia="仿宋" w:cs="仿宋"/>
          <w:szCs w:val="28"/>
        </w:rPr>
      </w:pP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keepNext w:val="0"/>
        <w:keepLines w:val="0"/>
        <w:pageBreakBefore w:val="0"/>
        <w:kinsoku/>
        <w:wordWrap/>
        <w:overflowPunct/>
        <w:topLinePunct w:val="0"/>
        <w:bidi w:val="0"/>
        <w:spacing w:line="52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keepNext w:val="0"/>
        <w:keepLines w:val="0"/>
        <w:pageBreakBefore w:val="0"/>
        <w:kinsoku/>
        <w:wordWrap/>
        <w:overflowPunct/>
        <w:topLinePunct w:val="0"/>
        <w:bidi w:val="0"/>
        <w:spacing w:line="520" w:lineRule="exact"/>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bidi w:val="0"/>
        <w:spacing w:line="52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keepNext w:val="0"/>
        <w:keepLines w:val="0"/>
        <w:pageBreakBefore w:val="0"/>
        <w:kinsoku/>
        <w:wordWrap/>
        <w:overflowPunct/>
        <w:topLinePunct w:val="0"/>
        <w:bidi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keepNext w:val="0"/>
        <w:keepLines w:val="0"/>
        <w:pageBreakBefore w:val="0"/>
        <w:kinsoku/>
        <w:wordWrap/>
        <w:overflowPunct/>
        <w:topLinePunct w:val="0"/>
        <w:bidi w:val="0"/>
        <w:spacing w:line="52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Lohit Devanagari"/>
    <w:panose1 w:val="020B0500000000000000"/>
    <w:charset w:val="00"/>
    <w:family w:val="swiss"/>
    <w:pitch w:val="default"/>
    <w:sig w:usb0="00000000" w:usb1="00000000" w:usb2="00000000" w:usb3="00000000" w:csb0="00000001" w:csb1="00000000"/>
  </w:font>
  <w:font w:name="Lohit Devanagari">
    <w:panose1 w:val="020B0600000000000000"/>
    <w:charset w:val="00"/>
    <w:family w:val="auto"/>
    <w:pitch w:val="default"/>
    <w:sig w:usb0="80008023" w:usb1="00002042"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086760"/>
    <w:rsid w:val="001D7567"/>
    <w:rsid w:val="00201EA2"/>
    <w:rsid w:val="00215BF2"/>
    <w:rsid w:val="00290CDD"/>
    <w:rsid w:val="0046359B"/>
    <w:rsid w:val="004A2DE1"/>
    <w:rsid w:val="004A3BF5"/>
    <w:rsid w:val="004B6D83"/>
    <w:rsid w:val="004C2119"/>
    <w:rsid w:val="00510F17"/>
    <w:rsid w:val="00572DC4"/>
    <w:rsid w:val="005969B3"/>
    <w:rsid w:val="006010FD"/>
    <w:rsid w:val="006202FE"/>
    <w:rsid w:val="00684C29"/>
    <w:rsid w:val="006A7F32"/>
    <w:rsid w:val="006F4B00"/>
    <w:rsid w:val="00715B62"/>
    <w:rsid w:val="00772CCD"/>
    <w:rsid w:val="007B7D3B"/>
    <w:rsid w:val="008060A4"/>
    <w:rsid w:val="00807C23"/>
    <w:rsid w:val="008559F9"/>
    <w:rsid w:val="00861501"/>
    <w:rsid w:val="008629F6"/>
    <w:rsid w:val="00867F79"/>
    <w:rsid w:val="009625F6"/>
    <w:rsid w:val="009D264D"/>
    <w:rsid w:val="00A31356"/>
    <w:rsid w:val="00B52496"/>
    <w:rsid w:val="00B753A9"/>
    <w:rsid w:val="00CD0E6C"/>
    <w:rsid w:val="00CE1CBE"/>
    <w:rsid w:val="00D30BA7"/>
    <w:rsid w:val="00D538C5"/>
    <w:rsid w:val="00DD273E"/>
    <w:rsid w:val="00E57922"/>
    <w:rsid w:val="00E82D8C"/>
    <w:rsid w:val="00E86C04"/>
    <w:rsid w:val="00E952F4"/>
    <w:rsid w:val="00EB55B6"/>
    <w:rsid w:val="00FA3A92"/>
    <w:rsid w:val="00FC0857"/>
    <w:rsid w:val="00FC585E"/>
    <w:rsid w:val="05B73E89"/>
    <w:rsid w:val="09D77ACF"/>
    <w:rsid w:val="09DE0A66"/>
    <w:rsid w:val="0AF740DB"/>
    <w:rsid w:val="0BEA35C3"/>
    <w:rsid w:val="0DDF3CA5"/>
    <w:rsid w:val="0FB72321"/>
    <w:rsid w:val="10FC4243"/>
    <w:rsid w:val="12F319EB"/>
    <w:rsid w:val="160C41FE"/>
    <w:rsid w:val="171724B5"/>
    <w:rsid w:val="1A19383D"/>
    <w:rsid w:val="1F4F0480"/>
    <w:rsid w:val="20075F93"/>
    <w:rsid w:val="24EA28FA"/>
    <w:rsid w:val="24EE444C"/>
    <w:rsid w:val="28DA0F7D"/>
    <w:rsid w:val="28F2788A"/>
    <w:rsid w:val="293A0576"/>
    <w:rsid w:val="2ACF1D94"/>
    <w:rsid w:val="2D016C87"/>
    <w:rsid w:val="2F027959"/>
    <w:rsid w:val="2F391B33"/>
    <w:rsid w:val="33FC47D9"/>
    <w:rsid w:val="391A5AE0"/>
    <w:rsid w:val="3AA7F51C"/>
    <w:rsid w:val="3B19643C"/>
    <w:rsid w:val="3B1F36D7"/>
    <w:rsid w:val="3BAFE5C9"/>
    <w:rsid w:val="3E58EAC1"/>
    <w:rsid w:val="3EDA8E5F"/>
    <w:rsid w:val="3F277E94"/>
    <w:rsid w:val="3FA76621"/>
    <w:rsid w:val="404A6C17"/>
    <w:rsid w:val="43F43818"/>
    <w:rsid w:val="452404E0"/>
    <w:rsid w:val="453851EC"/>
    <w:rsid w:val="454308F0"/>
    <w:rsid w:val="47C7B3FB"/>
    <w:rsid w:val="481348F4"/>
    <w:rsid w:val="4B562BFB"/>
    <w:rsid w:val="4D261BEA"/>
    <w:rsid w:val="4DD70C4E"/>
    <w:rsid w:val="4EE2057D"/>
    <w:rsid w:val="4FAE24F9"/>
    <w:rsid w:val="526E4AB6"/>
    <w:rsid w:val="556F433E"/>
    <w:rsid w:val="5789094D"/>
    <w:rsid w:val="5A6B35D5"/>
    <w:rsid w:val="5BB2671C"/>
    <w:rsid w:val="5F662158"/>
    <w:rsid w:val="63540324"/>
    <w:rsid w:val="63A745D5"/>
    <w:rsid w:val="65415E9E"/>
    <w:rsid w:val="67BEFAA3"/>
    <w:rsid w:val="68FF06F7"/>
    <w:rsid w:val="690D3BC4"/>
    <w:rsid w:val="693B3F28"/>
    <w:rsid w:val="6B7E7578"/>
    <w:rsid w:val="6C7B1287"/>
    <w:rsid w:val="6D8F7300"/>
    <w:rsid w:val="6E494777"/>
    <w:rsid w:val="6E66103F"/>
    <w:rsid w:val="6F3831F6"/>
    <w:rsid w:val="6F5F4F93"/>
    <w:rsid w:val="6F7DFE84"/>
    <w:rsid w:val="70A44682"/>
    <w:rsid w:val="72AF67A9"/>
    <w:rsid w:val="76A81E4D"/>
    <w:rsid w:val="79276609"/>
    <w:rsid w:val="7B73CA44"/>
    <w:rsid w:val="7BBD089B"/>
    <w:rsid w:val="7BFFAB1F"/>
    <w:rsid w:val="7DBC6052"/>
    <w:rsid w:val="7E2A3303"/>
    <w:rsid w:val="7E7EE503"/>
    <w:rsid w:val="7EBDCDBD"/>
    <w:rsid w:val="7ECF7E82"/>
    <w:rsid w:val="7EFEE140"/>
    <w:rsid w:val="7F122F69"/>
    <w:rsid w:val="7FAA1B2C"/>
    <w:rsid w:val="7FBE0EF2"/>
    <w:rsid w:val="7FE77338"/>
    <w:rsid w:val="7FF7FB7B"/>
    <w:rsid w:val="937F3F54"/>
    <w:rsid w:val="BAEDCC93"/>
    <w:rsid w:val="BDB75198"/>
    <w:rsid w:val="BEAE25BA"/>
    <w:rsid w:val="BEFF6587"/>
    <w:rsid w:val="BFDF8B7B"/>
    <w:rsid w:val="CF773FEE"/>
    <w:rsid w:val="DB778ECF"/>
    <w:rsid w:val="DBBA6F22"/>
    <w:rsid w:val="DEFD6CC9"/>
    <w:rsid w:val="DF77FF56"/>
    <w:rsid w:val="E7CF742A"/>
    <w:rsid w:val="EB7F1B78"/>
    <w:rsid w:val="EBFEC8EC"/>
    <w:rsid w:val="EDEF27BF"/>
    <w:rsid w:val="EFE756A1"/>
    <w:rsid w:val="EFFD4EE6"/>
    <w:rsid w:val="F77DDEE5"/>
    <w:rsid w:val="F7BBEABA"/>
    <w:rsid w:val="F9FD8AC9"/>
    <w:rsid w:val="FBA41717"/>
    <w:rsid w:val="FBE9E3EA"/>
    <w:rsid w:val="FBEDA0AC"/>
    <w:rsid w:val="FBFD0665"/>
    <w:rsid w:val="FE2F2466"/>
    <w:rsid w:val="FEB722D5"/>
    <w:rsid w:val="FEF731C1"/>
    <w:rsid w:val="FF7D6377"/>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宋体" w:hAnsi="MS Sans Serif"/>
      <w:spacing w:val="12"/>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Normal Indent"/>
    <w:basedOn w:val="1"/>
    <w:qFormat/>
    <w:uiPriority w:val="99"/>
    <w:pPr>
      <w:widowControl/>
      <w:ind w:firstLine="420" w:firstLineChars="200"/>
    </w:pPr>
  </w:style>
  <w:style w:type="paragraph" w:styleId="5">
    <w:name w:val="annotation text"/>
    <w:basedOn w:val="1"/>
    <w:link w:val="17"/>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5"/>
    <w:next w:val="5"/>
    <w:link w:val="18"/>
    <w:qFormat/>
    <w:uiPriority w:val="0"/>
    <w:rPr>
      <w:b/>
      <w:bCs/>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6"/>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5"/>
    <w:qFormat/>
    <w:uiPriority w:val="0"/>
    <w:rPr>
      <w:rFonts w:eastAsia="仿宋_GB2312"/>
      <w:kern w:val="2"/>
      <w:sz w:val="30"/>
    </w:rPr>
  </w:style>
  <w:style w:type="character" w:customStyle="1" w:styleId="18">
    <w:name w:val="批注主题 Char"/>
    <w:basedOn w:val="17"/>
    <w:link w:val="10"/>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667</Words>
  <Characters>3806</Characters>
  <Lines>31</Lines>
  <Paragraphs>8</Paragraphs>
  <TotalTime>50</TotalTime>
  <ScaleCrop>false</ScaleCrop>
  <LinksUpToDate>false</LinksUpToDate>
  <CharactersWithSpaces>4465</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2023-03-05T23:03:00Z</dcterms:created>
  <dc:creator>Administrator</dc:creator>
  <cp:lastModifiedBy>greatwall</cp:lastModifiedBy>
  <cp:lastPrinted>2023-03-05T23:11:00Z</cp:lastPrinted>
  <dcterms:modified xsi:type="dcterms:W3CDTF">2025-09-02T11:16:19Z</dcterms:modified>
  <dc:title>2020年江门市工业产品生产许可证证后</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4EDF9B65F7E34D79B78AA290D042A754</vt:lpwstr>
  </property>
</Properties>
</file>