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540" w:lineRule="exact"/>
        <w:jc w:val="center"/>
        <w:rPr>
          <w:rFonts w:hint="eastAsia" w:ascii="Times New Roman" w:hAnsi="Times New Roman" w:cs="Times New Roman"/>
          <w:b/>
          <w:kern w:val="2"/>
          <w:sz w:val="44"/>
          <w:szCs w:val="44"/>
          <w:lang w:val="en-US" w:eastAsia="zh-CN"/>
        </w:rPr>
      </w:pPr>
      <w:bookmarkStart w:id="0" w:name="_GoBack"/>
      <w:bookmarkEnd w:id="0"/>
      <w:r>
        <w:rPr>
          <w:rFonts w:hint="eastAsia" w:ascii="Times New Roman" w:hAnsi="Times New Roman" w:cs="Times New Roman"/>
          <w:b/>
          <w:kern w:val="2"/>
          <w:sz w:val="44"/>
          <w:szCs w:val="44"/>
          <w:lang w:eastAsia="zh-CN"/>
        </w:rPr>
        <w:t>2025年广东省咖啡师职业技能大赛</w:t>
      </w:r>
      <w:r>
        <w:rPr>
          <w:rFonts w:hint="eastAsia" w:ascii="Times New Roman" w:hAnsi="Times New Roman" w:cs="Times New Roman"/>
          <w:b/>
          <w:kern w:val="2"/>
          <w:sz w:val="44"/>
          <w:szCs w:val="44"/>
          <w:lang w:val="en-US" w:eastAsia="zh-CN"/>
        </w:rPr>
        <w:t>项目</w:t>
      </w:r>
      <w:r>
        <w:rPr>
          <w:rFonts w:hint="eastAsia" w:ascii="Times New Roman" w:hAnsi="Times New Roman" w:cs="Times New Roman"/>
          <w:b/>
          <w:kern w:val="2"/>
          <w:sz w:val="44"/>
          <w:szCs w:val="44"/>
        </w:rPr>
        <w:t>评分</w:t>
      </w:r>
      <w:r>
        <w:rPr>
          <w:rFonts w:hint="eastAsia" w:ascii="Times New Roman" w:hAnsi="Times New Roman" w:cs="Times New Roman"/>
          <w:b/>
          <w:kern w:val="2"/>
          <w:sz w:val="44"/>
          <w:szCs w:val="44"/>
          <w:lang w:val="en-US" w:eastAsia="zh-CN"/>
        </w:rPr>
        <w:t>标准</w:t>
      </w:r>
    </w:p>
    <w:p>
      <w:pPr>
        <w:spacing w:line="540" w:lineRule="exact"/>
        <w:jc w:val="center"/>
        <w:rPr>
          <w:rFonts w:hint="eastAsia" w:ascii="Times New Roman" w:hAnsi="Times New Roman" w:eastAsia="方正仿宋_GBK"/>
          <w:kern w:val="2"/>
          <w:sz w:val="32"/>
          <w:szCs w:val="32"/>
          <w:lang w:val="en-US" w:eastAsia="zh-CN" w:bidi="ar-SA"/>
        </w:rPr>
      </w:pPr>
    </w:p>
    <w:p>
      <w:pPr>
        <w:spacing w:line="560" w:lineRule="exact"/>
        <w:ind w:firstLine="640" w:firstLineChars="200"/>
        <w:rPr>
          <w:rFonts w:ascii="黑体" w:hAnsi="黑体" w:eastAsia="黑体"/>
          <w:sz w:val="32"/>
          <w:szCs w:val="32"/>
        </w:rPr>
      </w:pPr>
      <w:r>
        <w:rPr>
          <w:rFonts w:hint="eastAsia" w:ascii="黑体" w:hAnsi="黑体" w:eastAsia="黑体"/>
          <w:sz w:val="32"/>
          <w:szCs w:val="32"/>
        </w:rPr>
        <w:t>一、资格性审核表</w:t>
      </w:r>
    </w:p>
    <w:tbl>
      <w:tblPr>
        <w:tblStyle w:val="8"/>
        <w:tblW w:w="106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2"/>
        <w:gridCol w:w="3957"/>
        <w:gridCol w:w="5109"/>
        <w:gridCol w:w="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2" w:type="dxa"/>
            <w:shd w:val="clear" w:color="auto" w:fill="D6DCE4" w:themeFill="text2" w:themeFillTint="33"/>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序号</w:t>
            </w:r>
          </w:p>
        </w:tc>
        <w:tc>
          <w:tcPr>
            <w:tcW w:w="3957" w:type="dxa"/>
            <w:shd w:val="clear" w:color="auto" w:fill="D6DCE4" w:themeFill="text2" w:themeFillTint="33"/>
            <w:vAlign w:val="center"/>
          </w:tcPr>
          <w:p>
            <w:pPr>
              <w:spacing w:line="560" w:lineRule="exact"/>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内容</w:t>
            </w:r>
          </w:p>
        </w:tc>
        <w:tc>
          <w:tcPr>
            <w:tcW w:w="5109" w:type="dxa"/>
            <w:shd w:val="clear" w:color="auto" w:fill="D6DCE4" w:themeFill="text2" w:themeFillTint="33"/>
            <w:vAlign w:val="center"/>
          </w:tcPr>
          <w:p>
            <w:pPr>
              <w:spacing w:line="560" w:lineRule="exact"/>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需查验资料清单</w:t>
            </w:r>
          </w:p>
        </w:tc>
        <w:tc>
          <w:tcPr>
            <w:tcW w:w="972" w:type="dxa"/>
            <w:shd w:val="clear" w:color="auto" w:fill="D6DCE4" w:themeFill="text2" w:themeFillTint="33"/>
            <w:vAlign w:val="center"/>
          </w:tcPr>
          <w:p>
            <w:pPr>
              <w:spacing w:line="560" w:lineRule="exact"/>
              <w:jc w:val="center"/>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是否符合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4" w:hRule="atLeast"/>
          <w:jc w:val="center"/>
        </w:trPr>
        <w:tc>
          <w:tcPr>
            <w:tcW w:w="622" w:type="dxa"/>
            <w:vAlign w:val="center"/>
          </w:tcPr>
          <w:p>
            <w:pPr>
              <w:spacing w:line="400" w:lineRule="exact"/>
              <w:jc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1</w:t>
            </w:r>
          </w:p>
        </w:tc>
        <w:tc>
          <w:tcPr>
            <w:tcW w:w="3957" w:type="dxa"/>
            <w:vAlign w:val="center"/>
          </w:tcPr>
          <w:p>
            <w:pPr>
              <w:numPr>
                <w:ilvl w:val="-1"/>
                <w:numId w:val="0"/>
              </w:numPr>
              <w:autoSpaceDE w:val="0"/>
              <w:autoSpaceDN w:val="0"/>
              <w:adjustRightInd w:val="0"/>
              <w:snapToGrid w:val="0"/>
              <w:spacing w:line="360" w:lineRule="exact"/>
              <w:ind w:firstLine="0" w:firstLineChars="0"/>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sz w:val="24"/>
                <w:szCs w:val="24"/>
                <w:lang w:val="en-US" w:eastAsia="zh-CN"/>
              </w:rPr>
              <w:t>审查</w:t>
            </w:r>
            <w:r>
              <w:rPr>
                <w:rFonts w:hint="default" w:ascii="Times New Roman" w:hAnsi="Times New Roman" w:eastAsia="方正仿宋_GBK" w:cs="Times New Roman"/>
                <w:color w:val="auto"/>
                <w:sz w:val="24"/>
                <w:szCs w:val="24"/>
                <w:highlight w:val="none"/>
                <w:lang w:val="en-US" w:eastAsia="zh-CN"/>
              </w:rPr>
              <w:t>服务</w:t>
            </w:r>
            <w:r>
              <w:rPr>
                <w:rFonts w:hint="default" w:ascii="Times New Roman" w:hAnsi="Times New Roman" w:eastAsia="方正仿宋_GBK" w:cs="Times New Roman"/>
                <w:color w:val="auto"/>
                <w:sz w:val="24"/>
                <w:szCs w:val="24"/>
                <w:highlight w:val="none"/>
              </w:rPr>
              <w:t>供应商</w:t>
            </w:r>
            <w:r>
              <w:rPr>
                <w:rFonts w:hint="default" w:ascii="Times New Roman" w:hAnsi="Times New Roman" w:eastAsia="方正仿宋_GBK" w:cs="Times New Roman"/>
                <w:color w:val="auto"/>
                <w:sz w:val="24"/>
                <w:szCs w:val="24"/>
                <w:highlight w:val="none"/>
                <w:lang w:val="en-US" w:eastAsia="zh-CN"/>
              </w:rPr>
              <w:t>应具备《中华人民共和国政府采购法》第二十二条规定的条件：</w:t>
            </w:r>
          </w:p>
          <w:p>
            <w:pPr>
              <w:numPr>
                <w:ilvl w:val="-1"/>
                <w:numId w:val="0"/>
              </w:numPr>
              <w:autoSpaceDE w:val="0"/>
              <w:autoSpaceDN w:val="0"/>
              <w:adjustRightInd w:val="0"/>
              <w:snapToGrid w:val="0"/>
              <w:spacing w:line="360" w:lineRule="exact"/>
              <w:ind w:firstLine="0" w:firstLineChars="0"/>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sz w:val="24"/>
                <w:szCs w:val="24"/>
                <w:highlight w:val="none"/>
                <w:lang w:val="en-US" w:eastAsia="zh-CN"/>
              </w:rPr>
              <w:t>1.具有独立承担民事责任的能力。</w:t>
            </w:r>
          </w:p>
          <w:p>
            <w:pPr>
              <w:numPr>
                <w:ilvl w:val="-1"/>
                <w:numId w:val="0"/>
              </w:numPr>
              <w:autoSpaceDE w:val="0"/>
              <w:autoSpaceDN w:val="0"/>
              <w:adjustRightInd w:val="0"/>
              <w:snapToGrid w:val="0"/>
              <w:spacing w:line="360" w:lineRule="exact"/>
              <w:ind w:firstLine="0" w:firstLineChars="0"/>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sz w:val="24"/>
                <w:szCs w:val="24"/>
                <w:highlight w:val="none"/>
                <w:lang w:val="en-US" w:eastAsia="zh-CN"/>
              </w:rPr>
              <w:t>2.有依法缴纳税收和社会保障资金的良好记录。</w:t>
            </w:r>
          </w:p>
          <w:p>
            <w:pPr>
              <w:numPr>
                <w:ilvl w:val="-1"/>
                <w:numId w:val="0"/>
              </w:numPr>
              <w:autoSpaceDE w:val="0"/>
              <w:autoSpaceDN w:val="0"/>
              <w:adjustRightInd w:val="0"/>
              <w:snapToGrid w:val="0"/>
              <w:spacing w:line="360" w:lineRule="exact"/>
              <w:ind w:firstLine="0" w:firstLineChars="0"/>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sz w:val="24"/>
                <w:szCs w:val="24"/>
                <w:highlight w:val="none"/>
                <w:lang w:val="en-US" w:eastAsia="zh-CN"/>
              </w:rPr>
              <w:t>3.具有良好的商业信誉和健全的财务会计制度</w:t>
            </w:r>
            <w:r>
              <w:rPr>
                <w:rFonts w:hint="default" w:ascii="Times New Roman" w:hAnsi="Times New Roman" w:eastAsia="方正仿宋_GBK" w:cs="Times New Roman"/>
                <w:b w:val="0"/>
                <w:bCs w:val="0"/>
                <w:color w:val="auto"/>
                <w:sz w:val="24"/>
                <w:szCs w:val="24"/>
                <w:highlight w:val="none"/>
                <w:u w:val="none"/>
                <w:lang w:val="en-US" w:eastAsia="zh-CN"/>
              </w:rPr>
              <w:t>。</w:t>
            </w:r>
          </w:p>
          <w:p>
            <w:pPr>
              <w:numPr>
                <w:ilvl w:val="-1"/>
                <w:numId w:val="0"/>
              </w:numPr>
              <w:autoSpaceDE w:val="0"/>
              <w:autoSpaceDN w:val="0"/>
              <w:adjustRightInd w:val="0"/>
              <w:snapToGrid w:val="0"/>
              <w:spacing w:line="360" w:lineRule="exact"/>
              <w:ind w:firstLine="0" w:firstLineChars="0"/>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sz w:val="24"/>
                <w:szCs w:val="24"/>
                <w:highlight w:val="none"/>
                <w:lang w:val="en-US" w:eastAsia="zh-CN"/>
              </w:rPr>
              <w:t>4.履行合同所必需的设备和专业技术能力。</w:t>
            </w:r>
          </w:p>
          <w:p>
            <w:pPr>
              <w:numPr>
                <w:ilvl w:val="-1"/>
                <w:numId w:val="0"/>
              </w:numPr>
              <w:autoSpaceDE w:val="0"/>
              <w:autoSpaceDN w:val="0"/>
              <w:adjustRightInd w:val="0"/>
              <w:snapToGrid w:val="0"/>
              <w:spacing w:line="360" w:lineRule="exact"/>
              <w:ind w:firstLine="0" w:firstLineChars="0"/>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sz w:val="24"/>
                <w:szCs w:val="24"/>
                <w:highlight w:val="none"/>
                <w:lang w:val="en-US" w:eastAsia="zh-CN"/>
              </w:rPr>
              <w:t>5.参加采购活动前3年内，在经营活动中没有重大违法记录</w:t>
            </w:r>
            <w:r>
              <w:rPr>
                <w:rFonts w:hint="default" w:ascii="Times New Roman" w:hAnsi="Times New Roman" w:eastAsia="方正仿宋_GBK" w:cs="Times New Roman"/>
                <w:sz w:val="24"/>
                <w:szCs w:val="24"/>
                <w:lang w:val="en-US" w:eastAsia="zh-CN"/>
              </w:rPr>
              <w:t>。</w:t>
            </w:r>
          </w:p>
          <w:p>
            <w:pPr>
              <w:autoSpaceDE w:val="0"/>
              <w:autoSpaceDN w:val="0"/>
              <w:adjustRightInd w:val="0"/>
              <w:snapToGrid w:val="0"/>
              <w:spacing w:line="360" w:lineRule="exact"/>
              <w:rPr>
                <w:rFonts w:hint="default" w:ascii="Times New Roman" w:hAnsi="Times New Roman" w:eastAsia="方正仿宋_GBK" w:cs="Times New Roman"/>
                <w:sz w:val="24"/>
                <w:szCs w:val="24"/>
              </w:rPr>
            </w:pPr>
          </w:p>
        </w:tc>
        <w:tc>
          <w:tcPr>
            <w:tcW w:w="5109" w:type="dxa"/>
            <w:vAlign w:val="center"/>
          </w:tcPr>
          <w:p>
            <w:pPr>
              <w:numPr>
                <w:ilvl w:val="0"/>
                <w:numId w:val="0"/>
              </w:numPr>
              <w:autoSpaceDE w:val="0"/>
              <w:autoSpaceDN w:val="0"/>
              <w:adjustRightInd w:val="0"/>
              <w:snapToGrid w:val="0"/>
              <w:spacing w:line="360" w:lineRule="exact"/>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val="en-US" w:eastAsia="zh-CN"/>
              </w:rPr>
              <w:t>1.</w:t>
            </w:r>
            <w:r>
              <w:rPr>
                <w:rFonts w:hint="default" w:ascii="Times New Roman" w:hAnsi="Times New Roman" w:eastAsia="方正仿宋_GBK" w:cs="Times New Roman"/>
                <w:sz w:val="24"/>
                <w:szCs w:val="24"/>
              </w:rPr>
              <w:t>提供</w:t>
            </w:r>
            <w:r>
              <w:rPr>
                <w:rFonts w:hint="default" w:ascii="Times New Roman" w:hAnsi="Times New Roman" w:eastAsia="方正仿宋_GBK" w:cs="Times New Roman"/>
                <w:sz w:val="24"/>
                <w:szCs w:val="24"/>
                <w:lang w:val="en-US" w:eastAsia="zh-CN"/>
              </w:rPr>
              <w:t>营业执照（或事业法人登记证或身份证等相关证明）复印件</w:t>
            </w:r>
            <w:r>
              <w:rPr>
                <w:rFonts w:hint="default" w:ascii="Times New Roman" w:hAnsi="Times New Roman" w:eastAsia="方正仿宋_GBK" w:cs="Times New Roman"/>
                <w:b w:val="0"/>
                <w:bCs w:val="0"/>
                <w:sz w:val="24"/>
                <w:szCs w:val="24"/>
                <w:lang w:eastAsia="zh-CN"/>
              </w:rPr>
              <w:t>（加盖公章）</w:t>
            </w:r>
            <w:r>
              <w:rPr>
                <w:rFonts w:hint="default" w:ascii="Times New Roman" w:hAnsi="Times New Roman" w:eastAsia="方正仿宋_GBK" w:cs="Times New Roman"/>
                <w:sz w:val="24"/>
                <w:szCs w:val="24"/>
                <w:lang w:val="en-US" w:eastAsia="zh-CN"/>
              </w:rPr>
              <w:t>。分支机构响应的，须提供总公司和分公司营业执照复印件，总公司出具给分支机构的授权书</w:t>
            </w:r>
            <w:r>
              <w:rPr>
                <w:rFonts w:hint="default" w:ascii="Times New Roman" w:hAnsi="Times New Roman" w:eastAsia="方正仿宋_GBK" w:cs="Times New Roman"/>
                <w:b w:val="0"/>
                <w:bCs w:val="0"/>
                <w:sz w:val="24"/>
                <w:szCs w:val="24"/>
                <w:lang w:eastAsia="zh-CN"/>
              </w:rPr>
              <w:t>（加盖公章）</w:t>
            </w:r>
            <w:r>
              <w:rPr>
                <w:rFonts w:hint="default" w:ascii="Times New Roman" w:hAnsi="Times New Roman" w:eastAsia="方正仿宋_GBK" w:cs="Times New Roman"/>
                <w:sz w:val="24"/>
                <w:szCs w:val="24"/>
                <w:lang w:val="en-US" w:eastAsia="zh-CN"/>
              </w:rPr>
              <w:t>。</w:t>
            </w:r>
          </w:p>
          <w:p>
            <w:pPr>
              <w:numPr>
                <w:ilvl w:val="0"/>
                <w:numId w:val="0"/>
              </w:numPr>
              <w:autoSpaceDE w:val="0"/>
              <w:autoSpaceDN w:val="0"/>
              <w:adjustRightInd w:val="0"/>
              <w:snapToGrid w:val="0"/>
              <w:spacing w:line="360" w:lineRule="exact"/>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2.提供2024年1月至今任意1个月依法缴纳税收和社会保障资金的相关材料</w:t>
            </w:r>
            <w:r>
              <w:rPr>
                <w:rFonts w:hint="default" w:ascii="Times New Roman" w:hAnsi="Times New Roman" w:eastAsia="方正仿宋_GBK" w:cs="Times New Roman"/>
                <w:b w:val="0"/>
                <w:bCs w:val="0"/>
                <w:sz w:val="24"/>
                <w:szCs w:val="24"/>
                <w:lang w:eastAsia="zh-CN"/>
              </w:rPr>
              <w:t>（加盖公章）</w:t>
            </w:r>
            <w:r>
              <w:rPr>
                <w:rFonts w:hint="default" w:ascii="Times New Roman" w:hAnsi="Times New Roman" w:eastAsia="方正仿宋_GBK" w:cs="Times New Roman"/>
                <w:sz w:val="24"/>
                <w:szCs w:val="24"/>
                <w:lang w:val="en-US" w:eastAsia="zh-CN"/>
              </w:rPr>
              <w:t>。如依法免税或不需要缴纳社会保障资金的，提供相应证明材料</w:t>
            </w:r>
            <w:r>
              <w:rPr>
                <w:rFonts w:hint="default" w:ascii="Times New Roman" w:hAnsi="Times New Roman" w:eastAsia="方正仿宋_GBK" w:cs="Times New Roman"/>
                <w:b w:val="0"/>
                <w:bCs w:val="0"/>
                <w:sz w:val="24"/>
                <w:szCs w:val="24"/>
                <w:lang w:eastAsia="zh-CN"/>
              </w:rPr>
              <w:t>（加盖公章）</w:t>
            </w:r>
            <w:r>
              <w:rPr>
                <w:rFonts w:hint="default" w:ascii="Times New Roman" w:hAnsi="Times New Roman" w:eastAsia="方正仿宋_GBK" w:cs="Times New Roman"/>
                <w:sz w:val="24"/>
                <w:szCs w:val="24"/>
                <w:lang w:val="en-US" w:eastAsia="zh-CN"/>
              </w:rPr>
              <w:t>。</w:t>
            </w:r>
          </w:p>
          <w:p>
            <w:pPr>
              <w:numPr>
                <w:ilvl w:val="0"/>
                <w:numId w:val="0"/>
              </w:numPr>
              <w:autoSpaceDE w:val="0"/>
              <w:autoSpaceDN w:val="0"/>
              <w:adjustRightInd w:val="0"/>
              <w:snapToGrid w:val="0"/>
              <w:spacing w:line="360" w:lineRule="exact"/>
              <w:rPr>
                <w:rFonts w:hint="default" w:ascii="Times New Roman" w:hAnsi="Times New Roman" w:eastAsia="方正仿宋_GBK" w:cs="Times New Roman"/>
                <w:b w:val="0"/>
                <w:bCs w:val="0"/>
                <w:sz w:val="24"/>
                <w:szCs w:val="24"/>
                <w:u w:val="none"/>
                <w:lang w:val="en-US" w:eastAsia="zh-CN"/>
              </w:rPr>
            </w:pPr>
            <w:r>
              <w:rPr>
                <w:rFonts w:hint="default" w:ascii="Times New Roman" w:hAnsi="Times New Roman" w:eastAsia="方正仿宋_GBK" w:cs="Times New Roman"/>
                <w:sz w:val="24"/>
                <w:szCs w:val="24"/>
                <w:lang w:val="en-US" w:eastAsia="zh-CN"/>
              </w:rPr>
              <w:t>3.</w:t>
            </w:r>
            <w:r>
              <w:rPr>
                <w:rFonts w:hint="default" w:ascii="Times New Roman" w:hAnsi="Times New Roman" w:eastAsia="方正仿宋_GBK" w:cs="Times New Roman"/>
                <w:b w:val="0"/>
                <w:bCs w:val="0"/>
                <w:sz w:val="24"/>
                <w:szCs w:val="24"/>
                <w:u w:val="none"/>
                <w:lang w:val="en-US" w:eastAsia="zh-CN"/>
              </w:rPr>
              <w:t>提供2024年1月至今任意1个月的财务状况报告或银行出具的资信证明复印件</w:t>
            </w:r>
            <w:r>
              <w:rPr>
                <w:rFonts w:hint="default" w:ascii="Times New Roman" w:hAnsi="Times New Roman" w:eastAsia="方正仿宋_GBK" w:cs="Times New Roman"/>
                <w:b w:val="0"/>
                <w:bCs w:val="0"/>
                <w:sz w:val="24"/>
                <w:szCs w:val="24"/>
                <w:lang w:eastAsia="zh-CN"/>
              </w:rPr>
              <w:t>（加盖公章）</w:t>
            </w:r>
            <w:r>
              <w:rPr>
                <w:rFonts w:hint="default" w:ascii="Times New Roman" w:hAnsi="Times New Roman" w:eastAsia="方正仿宋_GBK" w:cs="Times New Roman"/>
                <w:b w:val="0"/>
                <w:bCs w:val="0"/>
                <w:sz w:val="24"/>
                <w:szCs w:val="24"/>
                <w:u w:val="none"/>
                <w:lang w:val="en-US" w:eastAsia="zh-CN"/>
              </w:rPr>
              <w:t>；提供2024年1月至今任意1个月的依法缴纳税收和社会保障资金的相关材料复印件</w:t>
            </w:r>
            <w:r>
              <w:rPr>
                <w:rFonts w:hint="default" w:ascii="Times New Roman" w:hAnsi="Times New Roman" w:eastAsia="方正仿宋_GBK" w:cs="Times New Roman"/>
                <w:b w:val="0"/>
                <w:bCs w:val="0"/>
                <w:sz w:val="24"/>
                <w:szCs w:val="24"/>
                <w:lang w:eastAsia="zh-CN"/>
              </w:rPr>
              <w:t>（加盖公章）</w:t>
            </w:r>
            <w:r>
              <w:rPr>
                <w:rFonts w:hint="default" w:ascii="Times New Roman" w:hAnsi="Times New Roman" w:eastAsia="方正仿宋_GBK" w:cs="Times New Roman"/>
                <w:b w:val="0"/>
                <w:bCs w:val="0"/>
                <w:sz w:val="24"/>
                <w:szCs w:val="24"/>
                <w:u w:val="none"/>
                <w:lang w:val="en-US" w:eastAsia="zh-CN"/>
              </w:rPr>
              <w:t>；如依法免税或不需要缴纳社会保障资金的，应当提供相应证明文件复印件</w:t>
            </w:r>
            <w:r>
              <w:rPr>
                <w:rFonts w:hint="default" w:ascii="Times New Roman" w:hAnsi="Times New Roman" w:eastAsia="方正仿宋_GBK" w:cs="Times New Roman"/>
                <w:b w:val="0"/>
                <w:bCs w:val="0"/>
                <w:sz w:val="24"/>
                <w:szCs w:val="24"/>
                <w:lang w:eastAsia="zh-CN"/>
              </w:rPr>
              <w:t>（加盖公章）</w:t>
            </w:r>
            <w:r>
              <w:rPr>
                <w:rFonts w:hint="default" w:ascii="Times New Roman" w:hAnsi="Times New Roman" w:eastAsia="方正仿宋_GBK" w:cs="Times New Roman"/>
                <w:b w:val="0"/>
                <w:bCs w:val="0"/>
                <w:sz w:val="24"/>
                <w:szCs w:val="24"/>
                <w:u w:val="none"/>
                <w:lang w:val="en-US" w:eastAsia="zh-CN"/>
              </w:rPr>
              <w:t>。</w:t>
            </w:r>
          </w:p>
          <w:p>
            <w:pPr>
              <w:numPr>
                <w:ilvl w:val="0"/>
                <w:numId w:val="0"/>
              </w:numPr>
              <w:autoSpaceDE w:val="0"/>
              <w:autoSpaceDN w:val="0"/>
              <w:adjustRightInd w:val="0"/>
              <w:snapToGrid w:val="0"/>
              <w:spacing w:line="360" w:lineRule="exact"/>
              <w:rPr>
                <w:rFonts w:hint="default" w:ascii="Times New Roman" w:hAnsi="Times New Roman" w:eastAsia="方正仿宋_GBK" w:cs="Times New Roman"/>
                <w:sz w:val="24"/>
                <w:szCs w:val="24"/>
                <w:u w:val="none"/>
                <w:lang w:val="en-US" w:eastAsia="zh-CN"/>
              </w:rPr>
            </w:pPr>
            <w:r>
              <w:rPr>
                <w:rFonts w:hint="default" w:ascii="Times New Roman" w:hAnsi="Times New Roman" w:eastAsia="方正仿宋_GBK" w:cs="Times New Roman"/>
                <w:sz w:val="24"/>
                <w:szCs w:val="24"/>
                <w:u w:val="none"/>
                <w:lang w:val="en-US" w:eastAsia="zh-CN"/>
              </w:rPr>
              <w:t>4.提供承诺函（</w:t>
            </w:r>
            <w:r>
              <w:rPr>
                <w:rFonts w:hint="default" w:ascii="Times New Roman" w:hAnsi="Times New Roman" w:eastAsia="方正仿宋_GBK" w:cs="Times New Roman"/>
                <w:b w:val="0"/>
                <w:bCs w:val="0"/>
                <w:sz w:val="24"/>
                <w:szCs w:val="24"/>
                <w:lang w:eastAsia="zh-CN"/>
              </w:rPr>
              <w:t>加盖公章，</w:t>
            </w:r>
            <w:r>
              <w:rPr>
                <w:rFonts w:hint="default" w:ascii="Times New Roman" w:hAnsi="Times New Roman" w:eastAsia="方正仿宋_GBK" w:cs="Times New Roman"/>
                <w:sz w:val="24"/>
                <w:szCs w:val="24"/>
                <w:u w:val="none"/>
                <w:lang w:val="en-US" w:eastAsia="zh-CN"/>
              </w:rPr>
              <w:t>格式自拟，承诺内容包括但不限于“我方具有履行本项目合同所必需的设备及专业技术能力”）或提供《设备和专业技术能力情况表》（格式自拟，需同时提供设备和专业技术能力（人员）两类信息）。</w:t>
            </w:r>
          </w:p>
          <w:p>
            <w:pPr>
              <w:numPr>
                <w:ilvl w:val="0"/>
                <w:numId w:val="0"/>
              </w:numPr>
              <w:autoSpaceDE w:val="0"/>
              <w:autoSpaceDN w:val="0"/>
              <w:adjustRightInd w:val="0"/>
              <w:snapToGrid w:val="0"/>
              <w:spacing w:line="360" w:lineRule="exact"/>
              <w:rPr>
                <w:rFonts w:hint="default" w:ascii="Times New Roman" w:hAnsi="Times New Roman" w:cs="Times New Roman"/>
                <w:sz w:val="24"/>
                <w:lang w:val="en-US" w:eastAsia="zh-CN"/>
              </w:rPr>
            </w:pPr>
            <w:r>
              <w:rPr>
                <w:rFonts w:hint="default" w:ascii="Times New Roman" w:hAnsi="Times New Roman" w:eastAsia="方正仿宋_GBK" w:cs="Times New Roman"/>
                <w:sz w:val="24"/>
                <w:szCs w:val="24"/>
                <w:u w:val="none"/>
                <w:lang w:val="en-US" w:eastAsia="zh-CN"/>
              </w:rPr>
              <w:t>5.</w:t>
            </w:r>
            <w:r>
              <w:rPr>
                <w:rFonts w:hint="default" w:ascii="Times New Roman" w:hAnsi="Times New Roman" w:eastAsia="方正仿宋_GBK" w:cs="Times New Roman"/>
                <w:b w:val="0"/>
                <w:bCs w:val="0"/>
                <w:sz w:val="24"/>
                <w:szCs w:val="24"/>
                <w:u w:val="none"/>
                <w:lang w:eastAsia="zh-CN"/>
              </w:rPr>
              <w:t>《</w:t>
            </w:r>
            <w:r>
              <w:rPr>
                <w:rFonts w:hint="default" w:ascii="Times New Roman" w:hAnsi="Times New Roman" w:eastAsia="方正仿宋_GBK" w:cs="Times New Roman"/>
                <w:b w:val="0"/>
                <w:bCs w:val="0"/>
                <w:sz w:val="24"/>
                <w:szCs w:val="24"/>
                <w:u w:val="none"/>
              </w:rPr>
              <w:t>履</w:t>
            </w:r>
            <w:r>
              <w:rPr>
                <w:rFonts w:hint="default" w:ascii="Times New Roman" w:hAnsi="Times New Roman" w:eastAsia="方正仿宋_GBK" w:cs="Times New Roman"/>
                <w:b w:val="0"/>
                <w:bCs w:val="0"/>
                <w:sz w:val="24"/>
                <w:szCs w:val="24"/>
              </w:rPr>
              <w:t>约承诺函</w:t>
            </w:r>
            <w:r>
              <w:rPr>
                <w:rFonts w:hint="default" w:ascii="Times New Roman" w:hAnsi="Times New Roman" w:eastAsia="方正仿宋_GBK" w:cs="Times New Roman"/>
                <w:b w:val="0"/>
                <w:bCs w:val="0"/>
                <w:sz w:val="24"/>
                <w:szCs w:val="24"/>
                <w:lang w:eastAsia="zh-CN"/>
              </w:rPr>
              <w:t>》（加盖公章）。</w:t>
            </w:r>
          </w:p>
        </w:tc>
        <w:tc>
          <w:tcPr>
            <w:tcW w:w="972" w:type="dxa"/>
            <w:vAlign w:val="center"/>
          </w:tcPr>
          <w:p>
            <w:pPr>
              <w:autoSpaceDE w:val="0"/>
              <w:autoSpaceDN w:val="0"/>
              <w:adjustRightInd w:val="0"/>
              <w:snapToGrid w:val="0"/>
              <w:spacing w:line="360" w:lineRule="exact"/>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622" w:type="dxa"/>
            <w:vAlign w:val="center"/>
          </w:tcPr>
          <w:p>
            <w:pPr>
              <w:spacing w:line="4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w:t>
            </w:r>
          </w:p>
        </w:tc>
        <w:tc>
          <w:tcPr>
            <w:tcW w:w="3957" w:type="dxa"/>
            <w:vAlign w:val="center"/>
          </w:tcPr>
          <w:p>
            <w:pPr>
              <w:autoSpaceDE w:val="0"/>
              <w:autoSpaceDN w:val="0"/>
              <w:adjustRightInd w:val="0"/>
              <w:snapToGrid w:val="0"/>
              <w:spacing w:line="360" w:lineRule="exact"/>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rPr>
              <w:t>供应商未被列入“信用中国”网站(www.creditchina.gov.cn)“记录失信被执行人或重大税收违法失信主体或政府采购严重违法失信行为”记录名单</w:t>
            </w:r>
            <w:r>
              <w:rPr>
                <w:rFonts w:hint="default" w:ascii="Times New Roman" w:hAnsi="Times New Roman" w:eastAsia="方正仿宋_GBK" w:cs="Times New Roman"/>
                <w:sz w:val="24"/>
                <w:szCs w:val="24"/>
                <w:lang w:eastAsia="zh-CN"/>
              </w:rPr>
              <w:t>。</w:t>
            </w:r>
          </w:p>
        </w:tc>
        <w:tc>
          <w:tcPr>
            <w:tcW w:w="5109" w:type="dxa"/>
            <w:vAlign w:val="center"/>
          </w:tcPr>
          <w:p>
            <w:pPr>
              <w:spacing w:line="360" w:lineRule="exact"/>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rPr>
              <w:t>需要提供于报价截止日之前在“信用中国”网站（www.creditchina.gov.cn）查询结果证明，如相关失信记录已失效，报价人需提供相关证明资料</w:t>
            </w:r>
            <w:r>
              <w:rPr>
                <w:rFonts w:hint="default" w:ascii="Times New Roman" w:hAnsi="Times New Roman" w:eastAsia="方正仿宋_GBK" w:cs="Times New Roman"/>
                <w:sz w:val="24"/>
                <w:szCs w:val="24"/>
                <w:lang w:eastAsia="zh-CN"/>
              </w:rPr>
              <w:t>。</w:t>
            </w:r>
          </w:p>
        </w:tc>
        <w:tc>
          <w:tcPr>
            <w:tcW w:w="972" w:type="dxa"/>
            <w:vAlign w:val="center"/>
          </w:tcPr>
          <w:p>
            <w:pPr>
              <w:spacing w:line="360" w:lineRule="exact"/>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622" w:type="dxa"/>
            <w:vAlign w:val="center"/>
          </w:tcPr>
          <w:p>
            <w:pPr>
              <w:spacing w:line="400" w:lineRule="exact"/>
              <w:jc w:val="center"/>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val="en-US" w:eastAsia="zh-CN"/>
              </w:rPr>
              <w:t>3</w:t>
            </w:r>
          </w:p>
        </w:tc>
        <w:tc>
          <w:tcPr>
            <w:tcW w:w="3957" w:type="dxa"/>
            <w:vAlign w:val="center"/>
          </w:tcPr>
          <w:p>
            <w:pPr>
              <w:spacing w:line="36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单位负责人为同一人或者存在直接控股、管理关系的不同供应商，不得同时参加本项目响应。</w:t>
            </w:r>
            <w:r>
              <w:rPr>
                <w:rFonts w:hint="default" w:ascii="Times New Roman" w:hAnsi="Times New Roman" w:eastAsia="方正仿宋_GBK" w:cs="Times New Roman"/>
                <w:b w:val="0"/>
                <w:bCs w:val="0"/>
                <w:color w:val="auto"/>
                <w:sz w:val="24"/>
                <w:szCs w:val="24"/>
                <w:highlight w:val="none"/>
              </w:rPr>
              <w:t>本项目不接受联合体服务、不得</w:t>
            </w:r>
            <w:r>
              <w:rPr>
                <w:rFonts w:hint="default" w:ascii="Times New Roman" w:hAnsi="Times New Roman" w:eastAsia="方正仿宋_GBK" w:cs="Times New Roman"/>
                <w:b w:val="0"/>
                <w:bCs w:val="0"/>
                <w:color w:val="auto"/>
                <w:sz w:val="24"/>
                <w:szCs w:val="24"/>
                <w:highlight w:val="none"/>
                <w:lang w:eastAsia="zh-CN"/>
              </w:rPr>
              <w:t>以任何形式</w:t>
            </w:r>
            <w:r>
              <w:rPr>
                <w:rFonts w:hint="default" w:ascii="Times New Roman" w:hAnsi="Times New Roman" w:eastAsia="方正仿宋_GBK" w:cs="Times New Roman"/>
                <w:b w:val="0"/>
                <w:bCs w:val="0"/>
                <w:color w:val="auto"/>
                <w:sz w:val="24"/>
                <w:szCs w:val="24"/>
                <w:highlight w:val="none"/>
              </w:rPr>
              <w:t>转包</w:t>
            </w:r>
            <w:r>
              <w:rPr>
                <w:rFonts w:hint="default" w:ascii="Times New Roman" w:hAnsi="Times New Roman" w:eastAsia="方正仿宋_GBK" w:cs="Times New Roman"/>
                <w:b w:val="0"/>
                <w:bCs w:val="0"/>
                <w:color w:val="auto"/>
                <w:sz w:val="24"/>
                <w:szCs w:val="24"/>
                <w:highlight w:val="none"/>
                <w:lang w:eastAsia="zh-CN"/>
              </w:rPr>
              <w:t>、分包</w:t>
            </w:r>
            <w:r>
              <w:rPr>
                <w:rFonts w:hint="default" w:ascii="Times New Roman" w:hAnsi="Times New Roman" w:eastAsia="方正仿宋_GBK" w:cs="Times New Roman"/>
                <w:b w:val="0"/>
                <w:bCs w:val="0"/>
                <w:color w:val="auto"/>
                <w:sz w:val="24"/>
                <w:szCs w:val="24"/>
                <w:highlight w:val="none"/>
              </w:rPr>
              <w:t>。</w:t>
            </w:r>
          </w:p>
        </w:tc>
        <w:tc>
          <w:tcPr>
            <w:tcW w:w="5109" w:type="dxa"/>
            <w:vAlign w:val="center"/>
          </w:tcPr>
          <w:p>
            <w:pPr>
              <w:spacing w:line="360" w:lineRule="exact"/>
              <w:jc w:val="left"/>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rPr>
              <w:t>由供应商在《履约承诺函》</w:t>
            </w:r>
            <w:r>
              <w:rPr>
                <w:rFonts w:hint="default" w:ascii="Times New Roman" w:hAnsi="Times New Roman" w:eastAsia="方正仿宋_GBK" w:cs="Times New Roman"/>
                <w:b w:val="0"/>
                <w:bCs w:val="0"/>
                <w:sz w:val="24"/>
                <w:szCs w:val="24"/>
                <w:lang w:eastAsia="zh-CN"/>
              </w:rPr>
              <w:t>（加盖公章）</w:t>
            </w:r>
            <w:r>
              <w:rPr>
                <w:rFonts w:hint="default" w:ascii="Times New Roman" w:hAnsi="Times New Roman" w:eastAsia="方正仿宋_GBK" w:cs="Times New Roman"/>
                <w:sz w:val="24"/>
                <w:szCs w:val="24"/>
              </w:rPr>
              <w:t>中作出承诺</w:t>
            </w:r>
            <w:r>
              <w:rPr>
                <w:rFonts w:hint="default" w:ascii="Times New Roman" w:hAnsi="Times New Roman" w:eastAsia="方正仿宋_GBK" w:cs="Times New Roman"/>
                <w:sz w:val="24"/>
                <w:szCs w:val="24"/>
                <w:lang w:eastAsia="zh-CN"/>
              </w:rPr>
              <w:t>。</w:t>
            </w:r>
          </w:p>
        </w:tc>
        <w:tc>
          <w:tcPr>
            <w:tcW w:w="972" w:type="dxa"/>
            <w:vAlign w:val="center"/>
          </w:tcPr>
          <w:p>
            <w:pPr>
              <w:spacing w:line="360" w:lineRule="exact"/>
              <w:jc w:val="left"/>
              <w:rPr>
                <w:rFonts w:hint="default" w:ascii="Times New Roman" w:hAnsi="Times New Roman" w:eastAsia="方正仿宋_GBK" w:cs="Times New Roman"/>
                <w:sz w:val="24"/>
                <w:szCs w:val="24"/>
              </w:rPr>
            </w:pPr>
          </w:p>
        </w:tc>
      </w:tr>
    </w:tbl>
    <w:p>
      <w:pPr>
        <w:numPr>
          <w:ilvl w:val="-1"/>
          <w:numId w:val="0"/>
        </w:numPr>
        <w:spacing w:line="400" w:lineRule="exact"/>
        <w:jc w:val="left"/>
        <w:rPr>
          <w:rFonts w:hint="default" w:ascii="Times New Roman" w:hAnsi="Times New Roman" w:eastAsia="方正仿宋_GBK" w:cs="Times New Roman"/>
          <w:b/>
          <w:bCs/>
          <w:sz w:val="28"/>
          <w:szCs w:val="28"/>
          <w:lang w:eastAsia="zh-CN"/>
        </w:rPr>
      </w:pPr>
      <w:r>
        <w:rPr>
          <w:rFonts w:hint="default" w:ascii="Times New Roman" w:hAnsi="Times New Roman" w:eastAsia="方正仿宋_GBK" w:cs="Times New Roman"/>
          <w:b/>
          <w:bCs/>
          <w:sz w:val="28"/>
          <w:szCs w:val="28"/>
          <w:lang w:val="en-US" w:eastAsia="zh-CN"/>
        </w:rPr>
        <w:t>注：经</w:t>
      </w:r>
      <w:r>
        <w:rPr>
          <w:rFonts w:hint="eastAsia" w:ascii="Times New Roman" w:hAnsi="Times New Roman" w:eastAsia="方正仿宋_GBK" w:cs="Times New Roman"/>
          <w:b/>
          <w:bCs/>
          <w:sz w:val="28"/>
          <w:szCs w:val="28"/>
          <w:lang w:val="en-US" w:eastAsia="zh-CN"/>
        </w:rPr>
        <w:t>采购方</w:t>
      </w:r>
      <w:r>
        <w:rPr>
          <w:rFonts w:hint="default" w:ascii="Times New Roman" w:hAnsi="Times New Roman" w:eastAsia="方正仿宋_GBK" w:cs="Times New Roman"/>
          <w:b/>
          <w:bCs/>
          <w:sz w:val="28"/>
          <w:szCs w:val="28"/>
          <w:lang w:val="en-US" w:eastAsia="zh-CN"/>
        </w:rPr>
        <w:t>查验资料，服务供应商</w:t>
      </w:r>
      <w:r>
        <w:rPr>
          <w:rFonts w:hint="default" w:ascii="Times New Roman" w:hAnsi="Times New Roman" w:eastAsia="方正仿宋_GBK" w:cs="Times New Roman"/>
          <w:b/>
          <w:bCs/>
          <w:sz w:val="28"/>
          <w:szCs w:val="28"/>
          <w:lang w:eastAsia="zh-CN"/>
        </w:rPr>
        <w:t>均符合</w:t>
      </w:r>
      <w:r>
        <w:rPr>
          <w:rFonts w:hint="default" w:ascii="Times New Roman" w:hAnsi="Times New Roman" w:eastAsia="方正仿宋_GBK" w:cs="Times New Roman"/>
          <w:b/>
          <w:bCs/>
          <w:sz w:val="28"/>
          <w:szCs w:val="28"/>
          <w:lang w:val="en-US" w:eastAsia="zh-CN"/>
        </w:rPr>
        <w:t>上述三项</w:t>
      </w:r>
      <w:r>
        <w:rPr>
          <w:rFonts w:hint="default" w:ascii="Times New Roman" w:hAnsi="Times New Roman" w:eastAsia="方正仿宋_GBK" w:cs="Times New Roman"/>
          <w:b/>
          <w:bCs/>
          <w:sz w:val="28"/>
          <w:szCs w:val="28"/>
        </w:rPr>
        <w:t>资格性审核</w:t>
      </w:r>
      <w:r>
        <w:rPr>
          <w:rFonts w:hint="default" w:ascii="Times New Roman" w:hAnsi="Times New Roman" w:eastAsia="方正仿宋_GBK" w:cs="Times New Roman"/>
          <w:b/>
          <w:bCs/>
          <w:sz w:val="28"/>
          <w:szCs w:val="28"/>
          <w:lang w:eastAsia="zh-CN"/>
        </w:rPr>
        <w:t>，方可进入评分环节。</w:t>
      </w:r>
    </w:p>
    <w:p>
      <w:pPr>
        <w:spacing w:line="560" w:lineRule="exact"/>
        <w:ind w:firstLine="640" w:firstLineChars="200"/>
        <w:rPr>
          <w:rFonts w:hint="eastAsia" w:ascii="黑体" w:hAnsi="黑体" w:eastAsia="黑体"/>
          <w:sz w:val="32"/>
          <w:szCs w:val="32"/>
          <w:lang w:eastAsia="zh-CN"/>
        </w:rPr>
      </w:pPr>
      <w:r>
        <w:rPr>
          <w:rFonts w:hint="eastAsia" w:ascii="黑体" w:hAnsi="黑体" w:eastAsia="黑体"/>
          <w:sz w:val="32"/>
          <w:szCs w:val="32"/>
          <w:lang w:eastAsia="zh-CN"/>
        </w:rPr>
        <w:t>二、</w:t>
      </w:r>
      <w:r>
        <w:rPr>
          <w:rFonts w:hint="eastAsia" w:ascii="黑体" w:hAnsi="黑体" w:eastAsia="黑体"/>
          <w:sz w:val="32"/>
          <w:szCs w:val="32"/>
        </w:rPr>
        <w:t>评</w:t>
      </w:r>
      <w:r>
        <w:rPr>
          <w:rFonts w:hint="eastAsia" w:ascii="黑体" w:hAnsi="黑体" w:eastAsia="黑体"/>
          <w:sz w:val="32"/>
          <w:szCs w:val="32"/>
          <w:lang w:eastAsia="zh-CN"/>
        </w:rPr>
        <w:t>分表（满分</w:t>
      </w:r>
      <w:r>
        <w:rPr>
          <w:rFonts w:hint="eastAsia" w:ascii="黑体" w:hAnsi="黑体" w:eastAsia="黑体"/>
          <w:sz w:val="32"/>
          <w:szCs w:val="32"/>
          <w:lang w:val="en-US" w:eastAsia="zh-CN"/>
        </w:rPr>
        <w:t>100分</w:t>
      </w:r>
      <w:r>
        <w:rPr>
          <w:rFonts w:hint="eastAsia" w:ascii="黑体" w:hAnsi="黑体" w:eastAsia="黑体"/>
          <w:sz w:val="32"/>
          <w:szCs w:val="32"/>
          <w:lang w:eastAsia="zh-CN"/>
        </w:rPr>
        <w:t>）</w:t>
      </w:r>
    </w:p>
    <w:tbl>
      <w:tblPr>
        <w:tblStyle w:val="7"/>
        <w:tblW w:w="98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5"/>
        <w:gridCol w:w="1425"/>
        <w:gridCol w:w="5968"/>
        <w:gridCol w:w="1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5" w:type="dxa"/>
            <w:vAlign w:val="center"/>
          </w:tcPr>
          <w:p>
            <w:pPr>
              <w:spacing w:line="500" w:lineRule="exact"/>
              <w:ind w:left="0" w:firstLine="0"/>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highlight w:val="none"/>
              </w:rPr>
              <w:t>评审</w:t>
            </w:r>
          </w:p>
          <w:p>
            <w:pPr>
              <w:spacing w:line="500" w:lineRule="exact"/>
              <w:ind w:left="0" w:firstLine="0"/>
              <w:jc w:val="center"/>
              <w:rPr>
                <w:rFonts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因素</w:t>
            </w:r>
          </w:p>
        </w:tc>
        <w:tc>
          <w:tcPr>
            <w:tcW w:w="7393" w:type="dxa"/>
            <w:gridSpan w:val="2"/>
            <w:vAlign w:val="center"/>
          </w:tcPr>
          <w:p>
            <w:pPr>
              <w:spacing w:line="500" w:lineRule="exact"/>
              <w:jc w:val="center"/>
              <w:rPr>
                <w:rFonts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评审标准</w:t>
            </w:r>
          </w:p>
        </w:tc>
        <w:tc>
          <w:tcPr>
            <w:tcW w:w="1165" w:type="dxa"/>
            <w:vAlign w:val="center"/>
          </w:tcPr>
          <w:p>
            <w:pPr>
              <w:spacing w:line="500" w:lineRule="exact"/>
              <w:jc w:val="center"/>
              <w:rPr>
                <w:rFonts w:hint="default" w:ascii="Times New Roman" w:hAnsi="Times New Roman" w:eastAsia="黑体" w:cs="Times New Roman"/>
                <w:sz w:val="32"/>
                <w:szCs w:val="32"/>
                <w:highlight w:val="none"/>
                <w:lang w:eastAsia="zh-CN"/>
              </w:rPr>
            </w:pPr>
            <w:r>
              <w:rPr>
                <w:rFonts w:hint="default" w:ascii="Times New Roman" w:hAnsi="Times New Roman" w:eastAsia="黑体" w:cs="Times New Roman"/>
                <w:sz w:val="32"/>
                <w:szCs w:val="32"/>
                <w:highlight w:val="none"/>
                <w:lang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5" w:type="dxa"/>
            <w:vAlign w:val="center"/>
          </w:tcPr>
          <w:p>
            <w:pPr>
              <w:spacing w:line="480" w:lineRule="exact"/>
              <w:ind w:left="868" w:hanging="868"/>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分值构成</w:t>
            </w:r>
          </w:p>
        </w:tc>
        <w:tc>
          <w:tcPr>
            <w:tcW w:w="7393" w:type="dxa"/>
            <w:gridSpan w:val="2"/>
            <w:vAlign w:val="center"/>
          </w:tcPr>
          <w:p>
            <w:pPr>
              <w:spacing w:line="480" w:lineRule="exact"/>
              <w:jc w:val="left"/>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商务部分</w:t>
            </w:r>
            <w:r>
              <w:rPr>
                <w:rFonts w:hint="eastAsia" w:asciiTheme="minorEastAsia" w:hAnsiTheme="minorEastAsia"/>
                <w:sz w:val="24"/>
                <w:szCs w:val="24"/>
                <w:highlight w:val="none"/>
                <w:lang w:eastAsia="zh-CN"/>
              </w:rPr>
              <w:t>得分</w:t>
            </w:r>
            <w:r>
              <w:rPr>
                <w:rFonts w:hint="eastAsia" w:asciiTheme="minorEastAsia" w:hAnsiTheme="minorEastAsia" w:eastAsiaTheme="minorEastAsia"/>
                <w:sz w:val="24"/>
                <w:szCs w:val="24"/>
                <w:highlight w:val="none"/>
              </w:rPr>
              <w:t>22.0分</w:t>
            </w:r>
          </w:p>
          <w:p>
            <w:pPr>
              <w:spacing w:line="480" w:lineRule="exact"/>
              <w:jc w:val="left"/>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技术部分</w:t>
            </w:r>
            <w:r>
              <w:rPr>
                <w:rFonts w:hint="eastAsia" w:asciiTheme="minorEastAsia" w:hAnsiTheme="minorEastAsia"/>
                <w:sz w:val="24"/>
                <w:szCs w:val="24"/>
                <w:highlight w:val="none"/>
                <w:lang w:eastAsia="zh-CN"/>
              </w:rPr>
              <w:t>得分</w:t>
            </w:r>
            <w:r>
              <w:rPr>
                <w:rFonts w:hint="eastAsia" w:asciiTheme="minorEastAsia" w:hAnsiTheme="minorEastAsia" w:eastAsiaTheme="minorEastAsia"/>
                <w:sz w:val="24"/>
                <w:szCs w:val="24"/>
                <w:highlight w:val="none"/>
              </w:rPr>
              <w:t>68.0分</w:t>
            </w:r>
          </w:p>
          <w:p>
            <w:pPr>
              <w:spacing w:line="480" w:lineRule="exact"/>
              <w:jc w:val="left"/>
              <w:rPr>
                <w:rFonts w:asciiTheme="minorEastAsia" w:hAnsiTheme="minorEastAsia" w:eastAsiaTheme="minorEastAsia"/>
                <w:sz w:val="24"/>
                <w:szCs w:val="24"/>
                <w:highlight w:val="none"/>
              </w:rPr>
            </w:pPr>
            <w:r>
              <w:rPr>
                <w:rFonts w:hint="eastAsia" w:asciiTheme="minorEastAsia" w:hAnsiTheme="minorEastAsia"/>
                <w:sz w:val="24"/>
                <w:szCs w:val="24"/>
                <w:highlight w:val="none"/>
                <w:lang w:eastAsia="zh-CN"/>
              </w:rPr>
              <w:t>响应</w:t>
            </w:r>
            <w:r>
              <w:rPr>
                <w:rFonts w:hint="eastAsia" w:asciiTheme="minorEastAsia" w:hAnsiTheme="minorEastAsia" w:eastAsiaTheme="minorEastAsia"/>
                <w:sz w:val="24"/>
                <w:szCs w:val="24"/>
                <w:highlight w:val="none"/>
              </w:rPr>
              <w:t>报价得分10.0分</w:t>
            </w:r>
          </w:p>
        </w:tc>
        <w:tc>
          <w:tcPr>
            <w:tcW w:w="1165" w:type="dxa"/>
            <w:vAlign w:val="center"/>
          </w:tcPr>
          <w:p>
            <w:pPr>
              <w:spacing w:line="480" w:lineRule="exact"/>
              <w:jc w:val="left"/>
              <w:rPr>
                <w:rFonts w:hint="eastAsia" w:asciiTheme="minorEastAsia" w:hAnsiTheme="minorEastAsia" w:eastAsia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5" w:type="dxa"/>
            <w:vMerge w:val="restart"/>
            <w:vAlign w:val="center"/>
          </w:tcPr>
          <w:p>
            <w:pPr>
              <w:spacing w:line="480" w:lineRule="exact"/>
              <w:jc w:val="center"/>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商务部分</w:t>
            </w:r>
          </w:p>
        </w:tc>
        <w:tc>
          <w:tcPr>
            <w:tcW w:w="1425" w:type="dxa"/>
            <w:vAlign w:val="center"/>
          </w:tcPr>
          <w:p>
            <w:pPr>
              <w:spacing w:line="480" w:lineRule="exact"/>
              <w:rPr>
                <w:rFonts w:hint="eastAsia" w:asciiTheme="minorEastAsia" w:hAnsiTheme="minorEastAsia" w:eastAsiaTheme="minorEastAsia"/>
                <w:sz w:val="24"/>
                <w:szCs w:val="24"/>
                <w:highlight w:val="none"/>
              </w:rPr>
            </w:pPr>
            <w:r>
              <w:rPr>
                <w:rFonts w:asciiTheme="minorEastAsia" w:hAnsiTheme="minorEastAsia" w:eastAsiaTheme="minorEastAsia"/>
                <w:sz w:val="24"/>
                <w:szCs w:val="24"/>
                <w:highlight w:val="none"/>
              </w:rPr>
              <w:t>项目负责人</w:t>
            </w:r>
            <w:r>
              <w:rPr>
                <w:rFonts w:hint="eastAsia" w:asciiTheme="minorEastAsia" w:hAnsiTheme="minorEastAsia" w:eastAsiaTheme="minorEastAsia"/>
                <w:sz w:val="24"/>
                <w:szCs w:val="24"/>
                <w:highlight w:val="none"/>
              </w:rPr>
              <w:t>（7分）</w:t>
            </w:r>
          </w:p>
        </w:tc>
        <w:tc>
          <w:tcPr>
            <w:tcW w:w="5968" w:type="dxa"/>
            <w:vAlign w:val="top"/>
          </w:tcPr>
          <w:p>
            <w:pPr>
              <w:pStyle w:val="3"/>
              <w:spacing w:line="480" w:lineRule="exact"/>
              <w:rPr>
                <w:rFonts w:asciiTheme="minorEastAsia" w:hAnsiTheme="minorEastAsia" w:eastAsiaTheme="minorEastAsia"/>
                <w:sz w:val="24"/>
                <w:szCs w:val="24"/>
                <w:highlight w:val="none"/>
              </w:rPr>
            </w:pPr>
            <w:r>
              <w:rPr>
                <w:rFonts w:asciiTheme="minorEastAsia" w:hAnsiTheme="minorEastAsia" w:eastAsiaTheme="minorEastAsia"/>
                <w:sz w:val="24"/>
                <w:szCs w:val="24"/>
                <w:highlight w:val="none"/>
              </w:rPr>
              <w:t>项目负责人</w:t>
            </w:r>
            <w:r>
              <w:rPr>
                <w:rFonts w:hint="eastAsia" w:asciiTheme="minorEastAsia" w:hAnsiTheme="minorEastAsia" w:eastAsiaTheme="minorEastAsia"/>
                <w:sz w:val="24"/>
                <w:szCs w:val="24"/>
                <w:highlight w:val="none"/>
              </w:rPr>
              <w:t>202</w:t>
            </w:r>
            <w:r>
              <w:rPr>
                <w:rFonts w:hint="eastAsia" w:asciiTheme="minorEastAsia" w:hAnsiTheme="minorEastAsia"/>
                <w:sz w:val="24"/>
                <w:szCs w:val="24"/>
                <w:highlight w:val="none"/>
                <w:lang w:val="en-US" w:eastAsia="zh-CN"/>
              </w:rPr>
              <w:t>3</w:t>
            </w:r>
            <w:r>
              <w:rPr>
                <w:rFonts w:hint="eastAsia" w:asciiTheme="minorEastAsia" w:hAnsiTheme="minorEastAsia" w:eastAsiaTheme="minorEastAsia"/>
                <w:sz w:val="24"/>
                <w:szCs w:val="24"/>
                <w:highlight w:val="none"/>
              </w:rPr>
              <w:t>年1月1日</w:t>
            </w:r>
            <w:r>
              <w:rPr>
                <w:rFonts w:asciiTheme="minorEastAsia" w:hAnsiTheme="minorEastAsia" w:eastAsiaTheme="minorEastAsia"/>
                <w:sz w:val="24"/>
                <w:szCs w:val="24"/>
                <w:highlight w:val="none"/>
              </w:rPr>
              <w:t>至今</w:t>
            </w:r>
            <w:r>
              <w:rPr>
                <w:rFonts w:asciiTheme="minorEastAsia" w:hAnsiTheme="minorEastAsia" w:eastAsiaTheme="minorEastAsia"/>
                <w:kern w:val="0"/>
                <w:sz w:val="24"/>
                <w:szCs w:val="24"/>
                <w:highlight w:val="none"/>
              </w:rPr>
              <w:t>（以合同签订日期为准）</w:t>
            </w:r>
            <w:r>
              <w:rPr>
                <w:rFonts w:hint="eastAsia" w:asciiTheme="minorEastAsia" w:hAnsiTheme="minorEastAsia" w:eastAsiaTheme="minorEastAsia"/>
                <w:sz w:val="24"/>
                <w:szCs w:val="24"/>
                <w:highlight w:val="none"/>
              </w:rPr>
              <w:t>具有</w:t>
            </w:r>
            <w:r>
              <w:rPr>
                <w:rFonts w:asciiTheme="minorEastAsia" w:hAnsiTheme="minorEastAsia" w:eastAsiaTheme="minorEastAsia"/>
                <w:sz w:val="24"/>
                <w:szCs w:val="24"/>
                <w:highlight w:val="none"/>
              </w:rPr>
              <w:t>担任过</w:t>
            </w:r>
            <w:r>
              <w:rPr>
                <w:rFonts w:hint="eastAsia" w:asciiTheme="minorEastAsia" w:hAnsiTheme="minorEastAsia" w:eastAsiaTheme="minorEastAsia"/>
                <w:sz w:val="24"/>
                <w:szCs w:val="24"/>
                <w:highlight w:val="none"/>
              </w:rPr>
              <w:t>政府部门主办的省级及以上的赛事及活动综合服务类项目负责人的经验的，每个得1分，政府部门主办的</w:t>
            </w:r>
            <w:r>
              <w:rPr>
                <w:rFonts w:hint="eastAsia" w:asciiTheme="minorEastAsia" w:hAnsiTheme="minorEastAsia"/>
                <w:sz w:val="24"/>
                <w:szCs w:val="24"/>
                <w:highlight w:val="none"/>
                <w:lang w:eastAsia="zh-CN"/>
              </w:rPr>
              <w:t>市</w:t>
            </w:r>
            <w:r>
              <w:rPr>
                <w:rFonts w:hint="eastAsia" w:asciiTheme="minorEastAsia" w:hAnsiTheme="minorEastAsia" w:eastAsiaTheme="minorEastAsia"/>
                <w:sz w:val="24"/>
                <w:szCs w:val="24"/>
                <w:highlight w:val="none"/>
              </w:rPr>
              <w:t>级的赛事及活动综合服务类项目负责人的经验的，每个得</w:t>
            </w:r>
            <w:r>
              <w:rPr>
                <w:rFonts w:hint="eastAsia" w:asciiTheme="minorEastAsia" w:hAnsiTheme="minorEastAsia"/>
                <w:sz w:val="24"/>
                <w:szCs w:val="24"/>
                <w:highlight w:val="none"/>
                <w:lang w:val="en-US" w:eastAsia="zh-CN"/>
              </w:rPr>
              <w:t>0.5</w:t>
            </w:r>
            <w:r>
              <w:rPr>
                <w:rFonts w:hint="eastAsia" w:asciiTheme="minorEastAsia" w:hAnsiTheme="minorEastAsia" w:eastAsiaTheme="minorEastAsia"/>
                <w:sz w:val="24"/>
                <w:szCs w:val="24"/>
                <w:highlight w:val="none"/>
              </w:rPr>
              <w:t>分，其他或没有的不得分，本项最高得分为7分。</w:t>
            </w:r>
          </w:p>
          <w:p>
            <w:pPr>
              <w:spacing w:line="480" w:lineRule="exact"/>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同一项目经验不重复计分。</w:t>
            </w:r>
          </w:p>
          <w:p>
            <w:pPr>
              <w:spacing w:line="480" w:lineRule="exact"/>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需提供项目经验证明材料（即项目合同关键页，若项目合同关键页无法体现上述人员经验情况，可由合同甲方出具相应证明材料以作佐证）、在本单位</w:t>
            </w:r>
            <w:r>
              <w:rPr>
                <w:rFonts w:hint="eastAsia" w:cs="宋体" w:asciiTheme="minorEastAsia" w:hAnsiTheme="minorEastAsia" w:eastAsiaTheme="minorEastAsia"/>
                <w:sz w:val="24"/>
                <w:szCs w:val="24"/>
                <w:highlight w:val="none"/>
              </w:rPr>
              <w:t>任职的外部证明材料（加盖政府有关部门印章的</w:t>
            </w:r>
            <w:r>
              <w:rPr>
                <w:rFonts w:hint="eastAsia" w:asciiTheme="minorEastAsia" w:hAnsiTheme="minorEastAsia" w:eastAsiaTheme="minorEastAsia"/>
                <w:sz w:val="24"/>
                <w:szCs w:val="24"/>
                <w:highlight w:val="none"/>
              </w:rPr>
              <w:t>202</w:t>
            </w:r>
            <w:r>
              <w:rPr>
                <w:rFonts w:hint="eastAsia" w:asciiTheme="minorEastAsia" w:hAnsiTheme="minorEastAsia"/>
                <w:sz w:val="24"/>
                <w:szCs w:val="24"/>
                <w:highlight w:val="none"/>
                <w:lang w:val="en-US" w:eastAsia="zh-CN"/>
              </w:rPr>
              <w:t>5</w:t>
            </w:r>
            <w:r>
              <w:rPr>
                <w:rFonts w:hint="eastAsia" w:asciiTheme="minorEastAsia" w:hAnsiTheme="minorEastAsia" w:eastAsiaTheme="minorEastAsia"/>
                <w:sz w:val="24"/>
                <w:szCs w:val="24"/>
                <w:highlight w:val="none"/>
              </w:rPr>
              <w:t>年1月至今任意</w:t>
            </w:r>
            <w:r>
              <w:rPr>
                <w:rFonts w:asciiTheme="minorEastAsia" w:hAnsiTheme="minorEastAsia" w:eastAsiaTheme="minorEastAsia"/>
                <w:sz w:val="24"/>
                <w:szCs w:val="24"/>
                <w:highlight w:val="none"/>
              </w:rPr>
              <w:t>1</w:t>
            </w:r>
            <w:r>
              <w:rPr>
                <w:rFonts w:hint="eastAsia" w:asciiTheme="minorEastAsia" w:hAnsiTheme="minorEastAsia" w:eastAsiaTheme="minorEastAsia"/>
                <w:sz w:val="24"/>
                <w:szCs w:val="24"/>
                <w:highlight w:val="none"/>
              </w:rPr>
              <w:t>个月</w:t>
            </w:r>
            <w:r>
              <w:rPr>
                <w:rFonts w:hint="eastAsia" w:cs="宋体" w:asciiTheme="minorEastAsia" w:hAnsiTheme="minorEastAsia" w:eastAsiaTheme="minorEastAsia"/>
                <w:sz w:val="24"/>
                <w:szCs w:val="24"/>
                <w:highlight w:val="none"/>
              </w:rPr>
              <w:t>的《投保单》或《社会保险参保人员证明》，或单位代缴个人所得税税单等）复印件，并加盖</w:t>
            </w:r>
            <w:r>
              <w:rPr>
                <w:rFonts w:hint="eastAsia" w:asciiTheme="minorEastAsia" w:hAnsiTheme="minorEastAsia"/>
                <w:sz w:val="24"/>
                <w:szCs w:val="24"/>
                <w:highlight w:val="none"/>
                <w:lang w:eastAsia="zh-CN"/>
              </w:rPr>
              <w:t>服务供应商</w:t>
            </w:r>
            <w:r>
              <w:rPr>
                <w:rFonts w:hint="eastAsia" w:cs="宋体" w:asciiTheme="minorEastAsia" w:hAnsiTheme="minorEastAsia" w:eastAsiaTheme="minorEastAsia"/>
                <w:sz w:val="24"/>
                <w:szCs w:val="24"/>
                <w:highlight w:val="none"/>
              </w:rPr>
              <w:t>单位公章，否则不得分。</w:t>
            </w:r>
          </w:p>
        </w:tc>
        <w:tc>
          <w:tcPr>
            <w:tcW w:w="1165" w:type="dxa"/>
            <w:vAlign w:val="center"/>
          </w:tcPr>
          <w:p>
            <w:pPr>
              <w:spacing w:line="480" w:lineRule="exact"/>
              <w:jc w:val="left"/>
              <w:rPr>
                <w:rFonts w:hint="eastAsia" w:asciiTheme="minorEastAsia" w:hAnsiTheme="minorEastAsia" w:eastAsia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5" w:type="dxa"/>
            <w:vMerge w:val="continue"/>
            <w:vAlign w:val="center"/>
          </w:tcPr>
          <w:p>
            <w:pPr>
              <w:spacing w:line="480" w:lineRule="exact"/>
              <w:jc w:val="center"/>
              <w:rPr>
                <w:rFonts w:hint="eastAsia" w:asciiTheme="minorEastAsia" w:hAnsiTheme="minorEastAsia" w:eastAsiaTheme="minorEastAsia"/>
                <w:sz w:val="24"/>
                <w:szCs w:val="24"/>
                <w:highlight w:val="none"/>
              </w:rPr>
            </w:pPr>
          </w:p>
        </w:tc>
        <w:tc>
          <w:tcPr>
            <w:tcW w:w="1425" w:type="dxa"/>
            <w:vAlign w:val="center"/>
          </w:tcPr>
          <w:p>
            <w:pPr>
              <w:pStyle w:val="3"/>
              <w:spacing w:line="480" w:lineRule="exact"/>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经营业绩（1</w:t>
            </w:r>
            <w:r>
              <w:rPr>
                <w:rFonts w:hint="eastAsia" w:asciiTheme="minorEastAsia" w:hAnsiTheme="minorEastAsia"/>
                <w:sz w:val="24"/>
                <w:szCs w:val="24"/>
                <w:highlight w:val="none"/>
                <w:lang w:val="en-US" w:eastAsia="zh-CN"/>
              </w:rPr>
              <w:t>5</w:t>
            </w:r>
            <w:r>
              <w:rPr>
                <w:rFonts w:hint="eastAsia" w:asciiTheme="minorEastAsia" w:hAnsiTheme="minorEastAsia" w:eastAsiaTheme="minorEastAsia"/>
                <w:sz w:val="24"/>
                <w:szCs w:val="24"/>
                <w:highlight w:val="none"/>
              </w:rPr>
              <w:t>分）</w:t>
            </w:r>
          </w:p>
        </w:tc>
        <w:tc>
          <w:tcPr>
            <w:tcW w:w="5968" w:type="dxa"/>
            <w:vAlign w:val="center"/>
          </w:tcPr>
          <w:p>
            <w:pPr>
              <w:pStyle w:val="3"/>
              <w:spacing w:line="480" w:lineRule="exact"/>
              <w:rPr>
                <w:rFonts w:asciiTheme="minorEastAsia" w:hAnsiTheme="minorEastAsia" w:eastAsiaTheme="minorEastAsia"/>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kern w:val="0"/>
                <w:sz w:val="24"/>
                <w:szCs w:val="24"/>
                <w:highlight w:val="none"/>
              </w:rPr>
              <w:t>1、</w:t>
            </w:r>
            <w:r>
              <w:rPr>
                <w:rFonts w:hint="eastAsia" w:cs="宋体" w:asciiTheme="minorEastAsia" w:hAnsiTheme="minorEastAsia"/>
                <w:kern w:val="0"/>
                <w:sz w:val="24"/>
                <w:szCs w:val="24"/>
                <w:highlight w:val="none"/>
                <w:lang w:eastAsia="zh-CN"/>
              </w:rPr>
              <w:t>服务供应商</w:t>
            </w:r>
            <w:r>
              <w:rPr>
                <w:rFonts w:hint="eastAsia" w:asciiTheme="minorEastAsia" w:hAnsiTheme="minorEastAsia" w:eastAsiaTheme="minorEastAsia"/>
                <w:sz w:val="24"/>
                <w:szCs w:val="24"/>
                <w:highlight w:val="none"/>
              </w:rPr>
              <w:t>202</w:t>
            </w:r>
            <w:r>
              <w:rPr>
                <w:rFonts w:hint="eastAsia" w:asciiTheme="minorEastAsia" w:hAnsiTheme="minorEastAsia"/>
                <w:sz w:val="24"/>
                <w:szCs w:val="24"/>
                <w:highlight w:val="none"/>
                <w:lang w:val="en-US" w:eastAsia="zh-CN"/>
              </w:rPr>
              <w:t>3</w:t>
            </w:r>
            <w:r>
              <w:rPr>
                <w:rFonts w:hint="eastAsia" w:asciiTheme="minorEastAsia" w:hAnsiTheme="minorEastAsia" w:eastAsiaTheme="minorEastAsia"/>
                <w:sz w:val="24"/>
                <w:szCs w:val="24"/>
                <w:highlight w:val="none"/>
              </w:rPr>
              <w:t>年1月1日</w:t>
            </w:r>
            <w:r>
              <w:rPr>
                <w:rFonts w:asciiTheme="minorEastAsia" w:hAnsiTheme="minorEastAsia" w:eastAsiaTheme="minorEastAsia"/>
                <w:sz w:val="24"/>
                <w:szCs w:val="24"/>
                <w:highlight w:val="none"/>
              </w:rPr>
              <w:t>至今（以合同签订日期为准）</w:t>
            </w:r>
            <w:r>
              <w:rPr>
                <w:rFonts w:hint="eastAsia" w:asciiTheme="minorEastAsia" w:hAnsiTheme="minorEastAsia" w:eastAsiaTheme="minorEastAsia"/>
                <w:sz w:val="24"/>
                <w:szCs w:val="24"/>
                <w:highlight w:val="none"/>
              </w:rPr>
              <w:t>承担过政府部门主办的赛事</w:t>
            </w:r>
            <w:r>
              <w:rPr>
                <w:rFonts w:hint="eastAsia" w:asciiTheme="minorEastAsia" w:hAnsiTheme="minorEastAsia"/>
                <w:sz w:val="24"/>
                <w:szCs w:val="24"/>
                <w:highlight w:val="none"/>
                <w:lang w:eastAsia="zh-CN"/>
              </w:rPr>
              <w:t>或</w:t>
            </w:r>
            <w:r>
              <w:rPr>
                <w:rFonts w:hint="eastAsia" w:asciiTheme="minorEastAsia" w:hAnsiTheme="minorEastAsia" w:eastAsiaTheme="minorEastAsia"/>
                <w:sz w:val="24"/>
                <w:szCs w:val="24"/>
                <w:highlight w:val="none"/>
              </w:rPr>
              <w:t>活动综</w:t>
            </w:r>
            <w:r>
              <w:rPr>
                <w:rFonts w:asciiTheme="minorEastAsia" w:hAnsiTheme="minorEastAsia" w:eastAsiaTheme="minorEastAsia"/>
                <w:sz w:val="24"/>
                <w:szCs w:val="24"/>
                <w:highlight w:val="none"/>
              </w:rPr>
              <w:t>合服务</w:t>
            </w:r>
            <w:r>
              <w:rPr>
                <w:rFonts w:hint="eastAsia" w:asciiTheme="minorEastAsia" w:hAnsiTheme="minorEastAsia" w:eastAsiaTheme="minorEastAsia"/>
                <w:sz w:val="24"/>
                <w:szCs w:val="24"/>
                <w:highlight w:val="none"/>
              </w:rPr>
              <w:t>类项目</w:t>
            </w:r>
            <w:r>
              <w:rPr>
                <w:rFonts w:hint="eastAsia" w:asciiTheme="minorEastAsia" w:hAnsiTheme="minorEastAsia"/>
                <w:sz w:val="24"/>
                <w:szCs w:val="24"/>
                <w:highlight w:val="none"/>
                <w:lang w:eastAsia="zh-CN"/>
              </w:rPr>
              <w:t>：</w:t>
            </w:r>
            <w:r>
              <w:rPr>
                <w:rFonts w:hint="eastAsia" w:asciiTheme="minorEastAsia" w:hAnsiTheme="minorEastAsia" w:eastAsiaTheme="minorEastAsia"/>
                <w:sz w:val="24"/>
                <w:szCs w:val="24"/>
                <w:highlight w:val="none"/>
              </w:rPr>
              <w:t>承担过国家级项目</w:t>
            </w:r>
            <w:r>
              <w:rPr>
                <w:rFonts w:asciiTheme="minorEastAsia" w:hAnsiTheme="minorEastAsia" w:eastAsiaTheme="minorEastAsia"/>
                <w:sz w:val="24"/>
                <w:szCs w:val="24"/>
                <w:highlight w:val="none"/>
              </w:rPr>
              <w:t>的</w:t>
            </w:r>
            <w:r>
              <w:rPr>
                <w:rFonts w:hint="eastAsia" w:asciiTheme="minorEastAsia" w:hAnsiTheme="minorEastAsia"/>
                <w:sz w:val="24"/>
                <w:szCs w:val="24"/>
                <w:highlight w:val="none"/>
                <w:lang w:eastAsia="zh-CN"/>
              </w:rPr>
              <w:t>每项</w:t>
            </w:r>
            <w:r>
              <w:rPr>
                <w:rFonts w:hint="eastAsia" w:asciiTheme="minorEastAsia" w:hAnsiTheme="minorEastAsia" w:eastAsiaTheme="minorEastAsia"/>
                <w:sz w:val="24"/>
                <w:szCs w:val="24"/>
                <w:highlight w:val="none"/>
              </w:rPr>
              <w:t>得</w:t>
            </w:r>
            <w:r>
              <w:rPr>
                <w:rFonts w:asciiTheme="minorEastAsia" w:hAnsiTheme="minorEastAsia" w:eastAsiaTheme="minorEastAsia"/>
                <w:sz w:val="24"/>
                <w:szCs w:val="24"/>
                <w:highlight w:val="none"/>
              </w:rPr>
              <w:t>6分</w:t>
            </w:r>
            <w:r>
              <w:rPr>
                <w:rFonts w:hint="eastAsia" w:asciiTheme="minorEastAsia" w:hAnsiTheme="minorEastAsia" w:eastAsiaTheme="minorEastAsia"/>
                <w:sz w:val="24"/>
                <w:szCs w:val="24"/>
                <w:highlight w:val="none"/>
              </w:rPr>
              <w:t>，承担过</w:t>
            </w:r>
            <w:r>
              <w:rPr>
                <w:rFonts w:hint="eastAsia" w:asciiTheme="minorEastAsia" w:hAnsiTheme="minorEastAsia" w:eastAsiaTheme="minorEastAsia"/>
                <w:color w:val="000000" w:themeColor="text1"/>
                <w:sz w:val="24"/>
                <w:szCs w:val="24"/>
                <w:highlight w:val="none"/>
                <w14:textFill>
                  <w14:solidFill>
                    <w14:schemeClr w14:val="tx1"/>
                  </w14:solidFill>
                </w14:textFill>
              </w:rPr>
              <w:t>省级（不含县级市）</w:t>
            </w:r>
            <w:r>
              <w:rPr>
                <w:rFonts w:hint="eastAsia" w:asciiTheme="minorEastAsia" w:hAnsiTheme="minorEastAsia" w:eastAsiaTheme="minorEastAsia"/>
                <w:sz w:val="24"/>
                <w:szCs w:val="24"/>
                <w:highlight w:val="none"/>
              </w:rPr>
              <w:t>项目</w:t>
            </w:r>
            <w:r>
              <w:rPr>
                <w:rFonts w:hint="eastAsia" w:asciiTheme="minorEastAsia" w:hAnsiTheme="minorEastAsia" w:eastAsiaTheme="minorEastAsia"/>
                <w:color w:val="000000" w:themeColor="text1"/>
                <w:sz w:val="24"/>
                <w:szCs w:val="24"/>
                <w:highlight w:val="none"/>
                <w14:textFill>
                  <w14:solidFill>
                    <w14:schemeClr w14:val="tx1"/>
                  </w14:solidFill>
                </w14:textFill>
              </w:rPr>
              <w:t>的</w:t>
            </w:r>
            <w:r>
              <w:rPr>
                <w:rFonts w:hint="eastAsia" w:asciiTheme="minorEastAsia" w:hAnsiTheme="minorEastAsia"/>
                <w:color w:val="000000" w:themeColor="text1"/>
                <w:sz w:val="24"/>
                <w:szCs w:val="24"/>
                <w:highlight w:val="none"/>
                <w:lang w:eastAsia="zh-CN"/>
                <w14:textFill>
                  <w14:solidFill>
                    <w14:schemeClr w14:val="tx1"/>
                  </w14:solidFill>
                </w14:textFill>
              </w:rPr>
              <w:t>每项</w:t>
            </w:r>
            <w:r>
              <w:rPr>
                <w:rFonts w:hint="eastAsia" w:asciiTheme="minorEastAsia" w:hAnsiTheme="minorEastAsia" w:eastAsiaTheme="minorEastAsia"/>
                <w:sz w:val="24"/>
                <w:szCs w:val="24"/>
                <w:highlight w:val="none"/>
              </w:rPr>
              <w:t>得</w:t>
            </w:r>
            <w:r>
              <w:rPr>
                <w:rFonts w:hint="eastAsia" w:asciiTheme="minorEastAsia" w:hAnsiTheme="minorEastAsia"/>
                <w:color w:val="000000" w:themeColor="text1"/>
                <w:sz w:val="24"/>
                <w:szCs w:val="24"/>
                <w:highlight w:val="none"/>
                <w:lang w:val="en-US" w:eastAsia="zh-CN"/>
                <w14:textFill>
                  <w14:solidFill>
                    <w14:schemeClr w14:val="tx1"/>
                  </w14:solidFill>
                </w14:textFill>
              </w:rPr>
              <w:t>5</w:t>
            </w:r>
            <w:r>
              <w:rPr>
                <w:rFonts w:asciiTheme="minorEastAsia" w:hAnsiTheme="minorEastAsia" w:eastAsiaTheme="minorEastAsia"/>
                <w:color w:val="000000" w:themeColor="text1"/>
                <w:sz w:val="24"/>
                <w:szCs w:val="24"/>
                <w:highlight w:val="none"/>
                <w14:textFill>
                  <w14:solidFill>
                    <w14:schemeClr w14:val="tx1"/>
                  </w14:solidFill>
                </w14:textFill>
              </w:rPr>
              <w:t>分</w:t>
            </w:r>
            <w:r>
              <w:rPr>
                <w:rFonts w:hint="eastAsia" w:asciiTheme="minorEastAsia" w:hAnsiTheme="minorEastAsia" w:eastAsiaTheme="minorEastAsia"/>
                <w:color w:val="000000" w:themeColor="text1"/>
                <w:sz w:val="24"/>
                <w:szCs w:val="24"/>
                <w:highlight w:val="none"/>
                <w14:textFill>
                  <w14:solidFill>
                    <w14:schemeClr w14:val="tx1"/>
                  </w14:solidFill>
                </w14:textFill>
              </w:rPr>
              <w:t>，</w:t>
            </w:r>
            <w:r>
              <w:rPr>
                <w:rFonts w:hint="eastAsia" w:asciiTheme="minorEastAsia" w:hAnsiTheme="minorEastAsia" w:eastAsiaTheme="minorEastAsia"/>
                <w:sz w:val="24"/>
                <w:szCs w:val="24"/>
                <w:highlight w:val="none"/>
              </w:rPr>
              <w:t>承担过</w:t>
            </w:r>
            <w:r>
              <w:rPr>
                <w:rFonts w:hint="eastAsia" w:asciiTheme="minorEastAsia" w:hAnsiTheme="minorEastAsia"/>
                <w:sz w:val="24"/>
                <w:szCs w:val="24"/>
                <w:highlight w:val="none"/>
                <w:lang w:eastAsia="zh-CN"/>
              </w:rPr>
              <w:t>市</w:t>
            </w:r>
            <w:r>
              <w:rPr>
                <w:rFonts w:hint="eastAsia" w:asciiTheme="minorEastAsia" w:hAnsiTheme="minorEastAsia" w:eastAsiaTheme="minorEastAsia"/>
                <w:color w:val="000000" w:themeColor="text1"/>
                <w:sz w:val="24"/>
                <w:szCs w:val="24"/>
                <w:highlight w:val="none"/>
                <w14:textFill>
                  <w14:solidFill>
                    <w14:schemeClr w14:val="tx1"/>
                  </w14:solidFill>
                </w14:textFill>
              </w:rPr>
              <w:t>级（不含县级市）</w:t>
            </w:r>
            <w:r>
              <w:rPr>
                <w:rFonts w:hint="eastAsia" w:asciiTheme="minorEastAsia" w:hAnsiTheme="minorEastAsia" w:eastAsiaTheme="minorEastAsia"/>
                <w:sz w:val="24"/>
                <w:szCs w:val="24"/>
                <w:highlight w:val="none"/>
              </w:rPr>
              <w:t>项目</w:t>
            </w:r>
            <w:r>
              <w:rPr>
                <w:rFonts w:hint="eastAsia" w:asciiTheme="minorEastAsia" w:hAnsiTheme="minorEastAsia" w:eastAsiaTheme="minorEastAsia"/>
                <w:color w:val="000000" w:themeColor="text1"/>
                <w:sz w:val="24"/>
                <w:szCs w:val="24"/>
                <w:highlight w:val="none"/>
                <w14:textFill>
                  <w14:solidFill>
                    <w14:schemeClr w14:val="tx1"/>
                  </w14:solidFill>
                </w14:textFill>
              </w:rPr>
              <w:t>的</w:t>
            </w:r>
            <w:r>
              <w:rPr>
                <w:rFonts w:hint="eastAsia" w:asciiTheme="minorEastAsia" w:hAnsiTheme="minorEastAsia"/>
                <w:color w:val="000000" w:themeColor="text1"/>
                <w:sz w:val="24"/>
                <w:szCs w:val="24"/>
                <w:highlight w:val="none"/>
                <w:lang w:eastAsia="zh-CN"/>
                <w14:textFill>
                  <w14:solidFill>
                    <w14:schemeClr w14:val="tx1"/>
                  </w14:solidFill>
                </w14:textFill>
              </w:rPr>
              <w:t>每项</w:t>
            </w:r>
            <w:r>
              <w:rPr>
                <w:rFonts w:hint="eastAsia" w:asciiTheme="minorEastAsia" w:hAnsiTheme="minorEastAsia" w:eastAsiaTheme="minorEastAsia"/>
                <w:sz w:val="24"/>
                <w:szCs w:val="24"/>
                <w:highlight w:val="none"/>
              </w:rPr>
              <w:t>得</w:t>
            </w:r>
            <w:r>
              <w:rPr>
                <w:rFonts w:hint="eastAsia" w:asciiTheme="minorEastAsia" w:hAnsiTheme="minorEastAsia"/>
                <w:color w:val="000000" w:themeColor="text1"/>
                <w:sz w:val="24"/>
                <w:szCs w:val="24"/>
                <w:highlight w:val="none"/>
                <w:lang w:val="en-US" w:eastAsia="zh-CN"/>
                <w14:textFill>
                  <w14:solidFill>
                    <w14:schemeClr w14:val="tx1"/>
                  </w14:solidFill>
                </w14:textFill>
              </w:rPr>
              <w:t>3</w:t>
            </w:r>
            <w:r>
              <w:rPr>
                <w:rFonts w:asciiTheme="minorEastAsia" w:hAnsiTheme="minorEastAsia" w:eastAsiaTheme="minorEastAsia"/>
                <w:color w:val="000000" w:themeColor="text1"/>
                <w:sz w:val="24"/>
                <w:szCs w:val="24"/>
                <w:highlight w:val="none"/>
                <w14:textFill>
                  <w14:solidFill>
                    <w14:schemeClr w14:val="tx1"/>
                  </w14:solidFill>
                </w14:textFill>
              </w:rPr>
              <w:t>分</w:t>
            </w:r>
            <w:r>
              <w:rPr>
                <w:rFonts w:hint="eastAsia" w:asciiTheme="minorEastAsia" w:hAnsiTheme="minorEastAsia" w:eastAsiaTheme="minorEastAsia"/>
                <w:color w:val="000000" w:themeColor="text1"/>
                <w:sz w:val="24"/>
                <w:szCs w:val="24"/>
                <w:highlight w:val="none"/>
                <w14:textFill>
                  <w14:solidFill>
                    <w14:schemeClr w14:val="tx1"/>
                  </w14:solidFill>
                </w14:textFill>
              </w:rPr>
              <w:t>，承担过</w:t>
            </w:r>
            <w:r>
              <w:rPr>
                <w:rFonts w:hint="eastAsia" w:asciiTheme="minorEastAsia" w:hAnsiTheme="minorEastAsia"/>
                <w:color w:val="000000" w:themeColor="text1"/>
                <w:sz w:val="24"/>
                <w:szCs w:val="24"/>
                <w:highlight w:val="none"/>
                <w:lang w:eastAsia="zh-CN"/>
                <w14:textFill>
                  <w14:solidFill>
                    <w14:schemeClr w14:val="tx1"/>
                  </w14:solidFill>
                </w14:textFill>
              </w:rPr>
              <w:t>县</w:t>
            </w:r>
            <w:r>
              <w:rPr>
                <w:rFonts w:hint="eastAsia" w:asciiTheme="minorEastAsia" w:hAnsiTheme="minorEastAsia" w:eastAsiaTheme="minorEastAsia"/>
                <w:color w:val="000000" w:themeColor="text1"/>
                <w:sz w:val="24"/>
                <w:szCs w:val="24"/>
                <w:highlight w:val="none"/>
                <w14:textFill>
                  <w14:solidFill>
                    <w14:schemeClr w14:val="tx1"/>
                  </w14:solidFill>
                </w14:textFill>
              </w:rPr>
              <w:t>级</w:t>
            </w:r>
            <w:r>
              <w:rPr>
                <w:rFonts w:hint="eastAsia" w:asciiTheme="minorEastAsia" w:hAnsiTheme="minorEastAsia" w:eastAsiaTheme="minorEastAsia"/>
                <w:sz w:val="24"/>
                <w:szCs w:val="24"/>
                <w:highlight w:val="none"/>
              </w:rPr>
              <w:t>项目</w:t>
            </w:r>
            <w:r>
              <w:rPr>
                <w:rFonts w:asciiTheme="minorEastAsia" w:hAnsiTheme="minorEastAsia" w:eastAsiaTheme="minorEastAsia"/>
                <w:color w:val="000000" w:themeColor="text1"/>
                <w:sz w:val="24"/>
                <w:szCs w:val="24"/>
                <w:highlight w:val="none"/>
                <w14:textFill>
                  <w14:solidFill>
                    <w14:schemeClr w14:val="tx1"/>
                  </w14:solidFill>
                </w14:textFill>
              </w:rPr>
              <w:t>的</w:t>
            </w:r>
            <w:r>
              <w:rPr>
                <w:rFonts w:hint="eastAsia" w:asciiTheme="minorEastAsia" w:hAnsiTheme="minorEastAsia"/>
                <w:color w:val="000000" w:themeColor="text1"/>
                <w:sz w:val="24"/>
                <w:szCs w:val="24"/>
                <w:highlight w:val="none"/>
                <w:lang w:eastAsia="zh-CN"/>
                <w14:textFill>
                  <w14:solidFill>
                    <w14:schemeClr w14:val="tx1"/>
                  </w14:solidFill>
                </w14:textFill>
              </w:rPr>
              <w:t>每项</w:t>
            </w:r>
            <w:r>
              <w:rPr>
                <w:rFonts w:hint="eastAsia" w:asciiTheme="minorEastAsia" w:hAnsiTheme="minorEastAsia" w:eastAsiaTheme="minorEastAsia"/>
                <w:sz w:val="24"/>
                <w:szCs w:val="24"/>
                <w:highlight w:val="none"/>
              </w:rPr>
              <w:t>得</w:t>
            </w:r>
            <w:r>
              <w:rPr>
                <w:rFonts w:hint="eastAsia" w:asciiTheme="minorEastAsia" w:hAnsiTheme="minorEastAsia"/>
                <w:color w:val="000000" w:themeColor="text1"/>
                <w:sz w:val="24"/>
                <w:szCs w:val="24"/>
                <w:highlight w:val="none"/>
                <w:lang w:val="en-US" w:eastAsia="zh-CN"/>
                <w14:textFill>
                  <w14:solidFill>
                    <w14:schemeClr w14:val="tx1"/>
                  </w14:solidFill>
                </w14:textFill>
              </w:rPr>
              <w:t>1</w:t>
            </w:r>
            <w:r>
              <w:rPr>
                <w:rFonts w:asciiTheme="minorEastAsia" w:hAnsiTheme="minorEastAsia" w:eastAsiaTheme="minorEastAsia"/>
                <w:color w:val="000000" w:themeColor="text1"/>
                <w:sz w:val="24"/>
                <w:szCs w:val="24"/>
                <w:highlight w:val="none"/>
                <w14:textFill>
                  <w14:solidFill>
                    <w14:schemeClr w14:val="tx1"/>
                  </w14:solidFill>
                </w14:textFill>
              </w:rPr>
              <w:t>分</w:t>
            </w:r>
            <w:r>
              <w:rPr>
                <w:rFonts w:hint="eastAsia" w:asciiTheme="minorEastAsia" w:hAnsiTheme="minorEastAsia" w:eastAsiaTheme="minorEastAsia"/>
                <w:color w:val="000000" w:themeColor="text1"/>
                <w:sz w:val="24"/>
                <w:szCs w:val="24"/>
                <w:highlight w:val="none"/>
                <w14:textFill>
                  <w14:solidFill>
                    <w14:schemeClr w14:val="tx1"/>
                  </w14:solidFill>
                </w14:textFill>
              </w:rPr>
              <w:t>，</w:t>
            </w:r>
            <w:r>
              <w:rPr>
                <w:rFonts w:hint="eastAsia" w:asciiTheme="minorEastAsia" w:hAnsiTheme="minorEastAsia" w:eastAsiaTheme="minorEastAsia"/>
                <w:sz w:val="24"/>
                <w:szCs w:val="24"/>
                <w:highlight w:val="none"/>
              </w:rPr>
              <w:t>其他或没有的得0分</w:t>
            </w:r>
            <w:r>
              <w:rPr>
                <w:rFonts w:hint="eastAsia" w:asciiTheme="minorEastAsia" w:hAnsiTheme="minorEastAsia" w:eastAsiaTheme="minorEastAsia"/>
                <w:color w:val="000000" w:themeColor="text1"/>
                <w:sz w:val="24"/>
                <w:szCs w:val="24"/>
                <w:highlight w:val="none"/>
                <w14:textFill>
                  <w14:solidFill>
                    <w14:schemeClr w14:val="tx1"/>
                  </w14:solidFill>
                </w14:textFill>
              </w:rPr>
              <w:t>。</w:t>
            </w:r>
          </w:p>
          <w:p>
            <w:pPr>
              <w:pStyle w:val="3"/>
              <w:spacing w:line="480" w:lineRule="exact"/>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本项最高得分为1</w:t>
            </w:r>
            <w:r>
              <w:rPr>
                <w:rFonts w:hint="eastAsia" w:asciiTheme="minorEastAsia" w:hAnsiTheme="minorEastAsia"/>
                <w:sz w:val="24"/>
                <w:szCs w:val="24"/>
                <w:highlight w:val="none"/>
                <w:lang w:val="en-US" w:eastAsia="zh-CN"/>
              </w:rPr>
              <w:t>5</w:t>
            </w:r>
            <w:r>
              <w:rPr>
                <w:rFonts w:hint="eastAsia" w:asciiTheme="minorEastAsia" w:hAnsiTheme="minorEastAsia" w:eastAsiaTheme="minorEastAsia"/>
                <w:sz w:val="24"/>
                <w:szCs w:val="24"/>
                <w:highlight w:val="none"/>
              </w:rPr>
              <w:t>分。</w:t>
            </w:r>
          </w:p>
          <w:p>
            <w:pPr>
              <w:pStyle w:val="3"/>
              <w:spacing w:line="480" w:lineRule="exact"/>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需提供项目合同关键页，并加盖</w:t>
            </w:r>
            <w:r>
              <w:rPr>
                <w:rFonts w:hint="eastAsia" w:asciiTheme="minorEastAsia" w:hAnsiTheme="minorEastAsia"/>
                <w:sz w:val="24"/>
                <w:szCs w:val="24"/>
                <w:highlight w:val="none"/>
                <w:lang w:eastAsia="zh-CN"/>
              </w:rPr>
              <w:t>服务供应商</w:t>
            </w:r>
            <w:r>
              <w:rPr>
                <w:rFonts w:hint="eastAsia" w:asciiTheme="minorEastAsia" w:hAnsiTheme="minorEastAsia" w:eastAsiaTheme="minorEastAsia"/>
                <w:sz w:val="24"/>
                <w:szCs w:val="24"/>
                <w:highlight w:val="none"/>
              </w:rPr>
              <w:t>单位公章</w:t>
            </w:r>
            <w:r>
              <w:rPr>
                <w:rFonts w:hint="eastAsia" w:cs="宋体" w:asciiTheme="minorEastAsia" w:hAnsiTheme="minorEastAsia" w:eastAsiaTheme="minorEastAsia"/>
                <w:sz w:val="24"/>
                <w:szCs w:val="24"/>
                <w:highlight w:val="none"/>
              </w:rPr>
              <w:t>，否则不得分</w:t>
            </w:r>
            <w:r>
              <w:rPr>
                <w:rFonts w:hint="eastAsia" w:asciiTheme="minorEastAsia" w:hAnsiTheme="minorEastAsia" w:eastAsiaTheme="minorEastAsia"/>
                <w:sz w:val="24"/>
                <w:szCs w:val="24"/>
                <w:highlight w:val="none"/>
              </w:rPr>
              <w:t>。</w:t>
            </w:r>
          </w:p>
        </w:tc>
        <w:tc>
          <w:tcPr>
            <w:tcW w:w="1165" w:type="dxa"/>
            <w:vAlign w:val="center"/>
          </w:tcPr>
          <w:p>
            <w:pPr>
              <w:spacing w:line="480" w:lineRule="exact"/>
              <w:jc w:val="left"/>
              <w:rPr>
                <w:rFonts w:hint="eastAsia" w:asciiTheme="minorEastAsia" w:hAnsiTheme="minorEastAsia" w:eastAsia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5" w:type="dxa"/>
            <w:vMerge w:val="restart"/>
            <w:vAlign w:val="center"/>
          </w:tcPr>
          <w:p>
            <w:pPr>
              <w:spacing w:line="480" w:lineRule="exact"/>
              <w:jc w:val="center"/>
              <w:rPr>
                <w:rFonts w:asciiTheme="minorEastAsia" w:hAnsiTheme="minorEastAsia" w:eastAsiaTheme="minorEastAsia"/>
                <w:sz w:val="24"/>
                <w:szCs w:val="24"/>
                <w:highlight w:val="yellow"/>
              </w:rPr>
            </w:pPr>
            <w:r>
              <w:rPr>
                <w:rFonts w:hint="eastAsia" w:asciiTheme="minorEastAsia" w:hAnsiTheme="minorEastAsia" w:eastAsiaTheme="minorEastAsia"/>
                <w:sz w:val="24"/>
                <w:szCs w:val="24"/>
                <w:highlight w:val="none"/>
              </w:rPr>
              <w:t>技术部分</w:t>
            </w:r>
          </w:p>
        </w:tc>
        <w:tc>
          <w:tcPr>
            <w:tcW w:w="1425" w:type="dxa"/>
            <w:vAlign w:val="center"/>
          </w:tcPr>
          <w:p>
            <w:pPr>
              <w:spacing w:line="480" w:lineRule="exact"/>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项目目标和需求的理解（10分）</w:t>
            </w:r>
          </w:p>
        </w:tc>
        <w:tc>
          <w:tcPr>
            <w:tcW w:w="5968" w:type="dxa"/>
            <w:vAlign w:val="center"/>
          </w:tcPr>
          <w:p>
            <w:pPr>
              <w:spacing w:line="480" w:lineRule="exact"/>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根据</w:t>
            </w:r>
            <w:r>
              <w:rPr>
                <w:rFonts w:hint="eastAsia" w:asciiTheme="minorEastAsia" w:hAnsiTheme="minorEastAsia"/>
                <w:sz w:val="24"/>
                <w:szCs w:val="24"/>
                <w:highlight w:val="none"/>
                <w:lang w:eastAsia="zh-CN"/>
              </w:rPr>
              <w:t>服务供应商</w:t>
            </w:r>
            <w:r>
              <w:rPr>
                <w:rFonts w:hint="eastAsia" w:asciiTheme="minorEastAsia" w:hAnsiTheme="minorEastAsia" w:eastAsiaTheme="minorEastAsia"/>
                <w:sz w:val="24"/>
                <w:szCs w:val="24"/>
                <w:highlight w:val="none"/>
              </w:rPr>
              <w:t>对项目目标和需求的理解程度进行评审，包括是否准确把握项目目标，是否能够结合国家和省有关政策及结合江门当地产业情况提出项目建设思路和实施原则；是否详细分析现状和准确把握需求，是否能够对项目重难点分析及解决方案进行正确和合理阐述；对项目的总体需求的理解是否深入</w:t>
            </w:r>
            <w:r>
              <w:rPr>
                <w:rFonts w:hint="eastAsia" w:asciiTheme="minorEastAsia" w:hAnsiTheme="minorEastAsia"/>
                <w:sz w:val="24"/>
                <w:szCs w:val="24"/>
                <w:highlight w:val="none"/>
                <w:lang w:eastAsia="zh-CN"/>
              </w:rPr>
              <w:t>透彻</w:t>
            </w:r>
            <w:r>
              <w:rPr>
                <w:rFonts w:hint="eastAsia" w:asciiTheme="minorEastAsia" w:hAnsiTheme="minorEastAsia" w:eastAsiaTheme="minorEastAsia"/>
                <w:sz w:val="24"/>
                <w:szCs w:val="24"/>
                <w:highlight w:val="none"/>
              </w:rPr>
              <w:t>、定位准确。</w:t>
            </w:r>
          </w:p>
          <w:p>
            <w:pPr>
              <w:pStyle w:val="3"/>
              <w:spacing w:line="480" w:lineRule="exact"/>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项目目标和需求的理解全面、准确，满足且优于项目需求的，得10分；</w:t>
            </w:r>
          </w:p>
          <w:p>
            <w:pPr>
              <w:pStyle w:val="3"/>
              <w:spacing w:line="480" w:lineRule="exact"/>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项目目标和需求的理解较全面、较准确，满足项目需求的，得7分；</w:t>
            </w:r>
          </w:p>
          <w:p>
            <w:pPr>
              <w:pStyle w:val="3"/>
              <w:spacing w:line="480" w:lineRule="exact"/>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项目目标和需求的理解一般全面、一般准确，基本满足项目需求的，得4分；</w:t>
            </w:r>
          </w:p>
          <w:p>
            <w:pPr>
              <w:spacing w:line="480" w:lineRule="exact"/>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项目目标和需求的理解不够全面的，得1分；</w:t>
            </w:r>
          </w:p>
          <w:p>
            <w:pPr>
              <w:spacing w:line="480" w:lineRule="exact"/>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项目目标和需求的理解差或无提供相关描述的，得0分</w:t>
            </w:r>
            <w:r>
              <w:rPr>
                <w:rFonts w:hint="eastAsia" w:asciiTheme="minorEastAsia" w:hAnsiTheme="minorEastAsia" w:eastAsiaTheme="minorEastAsia"/>
                <w:bCs/>
                <w:sz w:val="24"/>
                <w:szCs w:val="24"/>
                <w:highlight w:val="none"/>
              </w:rPr>
              <w:t>。</w:t>
            </w:r>
          </w:p>
        </w:tc>
        <w:tc>
          <w:tcPr>
            <w:tcW w:w="1165" w:type="dxa"/>
            <w:vAlign w:val="center"/>
          </w:tcPr>
          <w:p>
            <w:pPr>
              <w:spacing w:line="480" w:lineRule="exact"/>
              <w:rPr>
                <w:rFonts w:hint="eastAsia" w:asciiTheme="minorEastAsia" w:hAnsiTheme="minorEastAsia" w:eastAsia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5" w:type="dxa"/>
            <w:vMerge w:val="continue"/>
            <w:vAlign w:val="center"/>
          </w:tcPr>
          <w:p>
            <w:pPr>
              <w:spacing w:line="480" w:lineRule="exact"/>
              <w:jc w:val="center"/>
              <w:rPr>
                <w:rFonts w:asciiTheme="minorEastAsia" w:hAnsiTheme="minorEastAsia" w:eastAsiaTheme="minorEastAsia"/>
                <w:sz w:val="24"/>
                <w:szCs w:val="24"/>
                <w:highlight w:val="yellow"/>
              </w:rPr>
            </w:pPr>
          </w:p>
        </w:tc>
        <w:tc>
          <w:tcPr>
            <w:tcW w:w="1425" w:type="dxa"/>
            <w:vAlign w:val="center"/>
          </w:tcPr>
          <w:p>
            <w:pPr>
              <w:spacing w:line="480" w:lineRule="exact"/>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项目组织实施及运作流程设计方案（20分）</w:t>
            </w:r>
          </w:p>
        </w:tc>
        <w:tc>
          <w:tcPr>
            <w:tcW w:w="5968" w:type="dxa"/>
          </w:tcPr>
          <w:p>
            <w:pPr>
              <w:spacing w:line="480" w:lineRule="exact"/>
              <w:rPr>
                <w:rFonts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根据</w:t>
            </w:r>
            <w:r>
              <w:rPr>
                <w:rFonts w:hint="eastAsia" w:cs="宋体" w:asciiTheme="minorEastAsia" w:hAnsiTheme="minorEastAsia"/>
                <w:sz w:val="24"/>
                <w:szCs w:val="24"/>
                <w:highlight w:val="none"/>
                <w:lang w:eastAsia="zh-CN"/>
              </w:rPr>
              <w:t>服务供应商</w:t>
            </w:r>
            <w:r>
              <w:rPr>
                <w:rFonts w:hint="eastAsia" w:asciiTheme="minorEastAsia" w:hAnsiTheme="minorEastAsia" w:eastAsiaTheme="minorEastAsia"/>
                <w:sz w:val="24"/>
                <w:szCs w:val="24"/>
                <w:highlight w:val="none"/>
              </w:rPr>
              <w:t>所提供项目组织实施及运作流程设计方案进行评审，包括项目组织实施方案、运作流程设计方案是否合理，是否贴近本项目实际情况，内容是否清晰详细。</w:t>
            </w:r>
          </w:p>
          <w:p>
            <w:pPr>
              <w:spacing w:line="480" w:lineRule="exact"/>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项目组织实施及运作流程设计方案合理、清晰、详细，满足且优于项目需求的，得20分；</w:t>
            </w:r>
          </w:p>
          <w:p>
            <w:pPr>
              <w:spacing w:line="480" w:lineRule="exact"/>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项目组织实施及运作流程设计方案较合理、较清晰、较详细，满足项目需求的，得14分；</w:t>
            </w:r>
          </w:p>
          <w:p>
            <w:pPr>
              <w:spacing w:line="480" w:lineRule="exact"/>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项目组织实施及运作流程设计方案一般合理、一般清晰、一般详细，基本满足项目需求的，得8分；</w:t>
            </w:r>
          </w:p>
          <w:p>
            <w:pPr>
              <w:spacing w:line="480" w:lineRule="exact"/>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项目组织实施及运作流程设计方案不够合理、不够清晰、不够详细的，得2分；</w:t>
            </w:r>
          </w:p>
          <w:p>
            <w:pPr>
              <w:spacing w:line="480" w:lineRule="exact"/>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项目组织实施及运作流程设计方案不合理、不清晰、不详细或无提供相关描述的，得0分。</w:t>
            </w:r>
          </w:p>
        </w:tc>
        <w:tc>
          <w:tcPr>
            <w:tcW w:w="1165" w:type="dxa"/>
          </w:tcPr>
          <w:p>
            <w:pPr>
              <w:spacing w:line="480" w:lineRule="exact"/>
              <w:rPr>
                <w:rFonts w:hint="eastAsia" w:asciiTheme="minorEastAsia" w:hAnsiTheme="minorEastAsia" w:eastAsia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5" w:type="dxa"/>
            <w:vMerge w:val="continue"/>
            <w:vAlign w:val="center"/>
          </w:tcPr>
          <w:p>
            <w:pPr>
              <w:spacing w:line="480" w:lineRule="exact"/>
              <w:jc w:val="center"/>
              <w:rPr>
                <w:rFonts w:asciiTheme="minorEastAsia" w:hAnsiTheme="minorEastAsia" w:eastAsiaTheme="minorEastAsia"/>
                <w:sz w:val="24"/>
                <w:szCs w:val="24"/>
                <w:highlight w:val="yellow"/>
              </w:rPr>
            </w:pPr>
          </w:p>
        </w:tc>
        <w:tc>
          <w:tcPr>
            <w:tcW w:w="1425" w:type="dxa"/>
            <w:vAlign w:val="center"/>
          </w:tcPr>
          <w:p>
            <w:pPr>
              <w:spacing w:line="480" w:lineRule="exact"/>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开闭幕式策划设计方案（9分）</w:t>
            </w:r>
          </w:p>
        </w:tc>
        <w:tc>
          <w:tcPr>
            <w:tcW w:w="5968" w:type="dxa"/>
          </w:tcPr>
          <w:p>
            <w:pPr>
              <w:spacing w:line="480" w:lineRule="exact"/>
              <w:rPr>
                <w:rFonts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根据</w:t>
            </w:r>
            <w:r>
              <w:rPr>
                <w:rFonts w:hint="eastAsia" w:cs="宋体" w:asciiTheme="minorEastAsia" w:hAnsiTheme="minorEastAsia"/>
                <w:sz w:val="24"/>
                <w:szCs w:val="24"/>
                <w:highlight w:val="none"/>
                <w:lang w:eastAsia="zh-CN"/>
              </w:rPr>
              <w:t>服务供应商</w:t>
            </w:r>
            <w:r>
              <w:rPr>
                <w:rFonts w:hint="eastAsia" w:asciiTheme="minorEastAsia" w:hAnsiTheme="minorEastAsia" w:eastAsiaTheme="minorEastAsia"/>
                <w:sz w:val="24"/>
                <w:szCs w:val="24"/>
                <w:highlight w:val="none"/>
              </w:rPr>
              <w:t>所提供开闭幕式策划设计方案进行评审，包括开闭幕式方案策划的创意性，环节设计的表现方式是否新颖且整体风格是否庄重大气，是否具备可执行性，能否结合国家和省市有关政策准确把握项目目标。</w:t>
            </w:r>
          </w:p>
          <w:p>
            <w:pPr>
              <w:spacing w:line="480" w:lineRule="exact"/>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开闭幕式策划设计方案新颖、可行，满足且优于项目需求的，得9分；</w:t>
            </w:r>
          </w:p>
          <w:p>
            <w:pPr>
              <w:spacing w:line="480" w:lineRule="exact"/>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开闭幕式策划设计方案较新颖、较可行，满足项目需求的，得6分；</w:t>
            </w:r>
          </w:p>
          <w:p>
            <w:pPr>
              <w:spacing w:line="480" w:lineRule="exact"/>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开闭幕式策划设计方案一般新颖、一般可行，基本满足项目需求的，得3分；</w:t>
            </w:r>
          </w:p>
          <w:p>
            <w:pPr>
              <w:spacing w:line="480" w:lineRule="exact"/>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开闭幕式策划设计方案不够新颖、不够可行的，得1分；</w:t>
            </w:r>
          </w:p>
          <w:p>
            <w:pPr>
              <w:spacing w:line="480" w:lineRule="exact"/>
              <w:rPr>
                <w:rFonts w:cs="宋体"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开闭幕式策划设计方案不新颖、不可行或无提供相关描述的，得0分。</w:t>
            </w:r>
          </w:p>
        </w:tc>
        <w:tc>
          <w:tcPr>
            <w:tcW w:w="1165" w:type="dxa"/>
          </w:tcPr>
          <w:p>
            <w:pPr>
              <w:spacing w:line="480" w:lineRule="exact"/>
              <w:rPr>
                <w:rFonts w:hint="eastAsia" w:asciiTheme="minorEastAsia" w:hAnsiTheme="minorEastAsia" w:eastAsia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5" w:type="dxa"/>
            <w:vMerge w:val="continue"/>
            <w:vAlign w:val="center"/>
          </w:tcPr>
          <w:p>
            <w:pPr>
              <w:spacing w:line="480" w:lineRule="exact"/>
              <w:jc w:val="center"/>
              <w:rPr>
                <w:rFonts w:asciiTheme="minorEastAsia" w:hAnsiTheme="minorEastAsia" w:eastAsiaTheme="minorEastAsia"/>
                <w:sz w:val="24"/>
                <w:szCs w:val="24"/>
                <w:highlight w:val="yellow"/>
              </w:rPr>
            </w:pPr>
          </w:p>
        </w:tc>
        <w:tc>
          <w:tcPr>
            <w:tcW w:w="1425" w:type="dxa"/>
            <w:vAlign w:val="center"/>
          </w:tcPr>
          <w:p>
            <w:pPr>
              <w:spacing w:line="480" w:lineRule="exact"/>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布展使用环保材料情况（6分）</w:t>
            </w:r>
          </w:p>
        </w:tc>
        <w:tc>
          <w:tcPr>
            <w:tcW w:w="5968" w:type="dxa"/>
          </w:tcPr>
          <w:p>
            <w:pPr>
              <w:spacing w:line="480" w:lineRule="exact"/>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根据</w:t>
            </w:r>
            <w:r>
              <w:rPr>
                <w:rFonts w:hint="eastAsia" w:asciiTheme="minorEastAsia" w:hAnsiTheme="minorEastAsia"/>
                <w:sz w:val="24"/>
                <w:szCs w:val="24"/>
                <w:highlight w:val="none"/>
                <w:lang w:eastAsia="zh-CN"/>
              </w:rPr>
              <w:t>服务供应商</w:t>
            </w:r>
            <w:r>
              <w:rPr>
                <w:rFonts w:hint="eastAsia" w:asciiTheme="minorEastAsia" w:hAnsiTheme="minorEastAsia" w:eastAsiaTheme="minorEastAsia"/>
                <w:sz w:val="24"/>
                <w:szCs w:val="24"/>
                <w:highlight w:val="none"/>
              </w:rPr>
              <w:t>所投报布展使用环保材料情况进行评审，包括配套设备、环保材料质量是否高，是否环保。</w:t>
            </w:r>
          </w:p>
          <w:p>
            <w:pPr>
              <w:spacing w:line="480" w:lineRule="exact"/>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布展使用环保材料质量高、环保，满足且优于项目需求的，得6分；</w:t>
            </w:r>
          </w:p>
          <w:p>
            <w:pPr>
              <w:spacing w:line="480" w:lineRule="exact"/>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布展使用环保材料质量较高、较环保，满足项目需求的，得4分；</w:t>
            </w:r>
          </w:p>
          <w:p>
            <w:pPr>
              <w:spacing w:line="480" w:lineRule="exact"/>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布展使用环保材料质量一般、一般环保，基本满足项目需求的，得2分；</w:t>
            </w:r>
          </w:p>
          <w:p>
            <w:pPr>
              <w:spacing w:line="480" w:lineRule="exact"/>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布展使用环保材料质量较低、不够环保的，得1分；</w:t>
            </w:r>
          </w:p>
          <w:p>
            <w:pPr>
              <w:spacing w:line="480" w:lineRule="exact"/>
              <w:rPr>
                <w:rFonts w:cs="宋体"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布展使用环保材料质量低、不环保或无提供相关描述的，得0分。</w:t>
            </w:r>
          </w:p>
        </w:tc>
        <w:tc>
          <w:tcPr>
            <w:tcW w:w="1165" w:type="dxa"/>
          </w:tcPr>
          <w:p>
            <w:pPr>
              <w:spacing w:line="480" w:lineRule="exact"/>
              <w:rPr>
                <w:rFonts w:hint="eastAsia" w:asciiTheme="minorEastAsia" w:hAnsiTheme="minorEastAsia" w:eastAsia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5" w:type="dxa"/>
            <w:vMerge w:val="continue"/>
            <w:vAlign w:val="center"/>
          </w:tcPr>
          <w:p>
            <w:pPr>
              <w:spacing w:line="480" w:lineRule="exact"/>
              <w:jc w:val="center"/>
              <w:rPr>
                <w:rFonts w:asciiTheme="minorEastAsia" w:hAnsiTheme="minorEastAsia" w:eastAsiaTheme="minorEastAsia"/>
                <w:sz w:val="24"/>
                <w:szCs w:val="24"/>
                <w:highlight w:val="yellow"/>
              </w:rPr>
            </w:pPr>
          </w:p>
        </w:tc>
        <w:tc>
          <w:tcPr>
            <w:tcW w:w="1425" w:type="dxa"/>
            <w:vAlign w:val="center"/>
          </w:tcPr>
          <w:p>
            <w:pPr>
              <w:spacing w:line="480" w:lineRule="exact"/>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基础保障服务方案（7分）</w:t>
            </w:r>
          </w:p>
        </w:tc>
        <w:tc>
          <w:tcPr>
            <w:tcW w:w="5968" w:type="dxa"/>
          </w:tcPr>
          <w:p>
            <w:pPr>
              <w:spacing w:line="480" w:lineRule="exact"/>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根据</w:t>
            </w:r>
            <w:r>
              <w:rPr>
                <w:rFonts w:hint="eastAsia" w:asciiTheme="minorEastAsia" w:hAnsiTheme="minorEastAsia"/>
                <w:sz w:val="24"/>
                <w:szCs w:val="24"/>
                <w:highlight w:val="none"/>
                <w:lang w:eastAsia="zh-CN"/>
              </w:rPr>
              <w:t>服务供应商</w:t>
            </w:r>
            <w:r>
              <w:rPr>
                <w:rFonts w:hint="eastAsia" w:asciiTheme="minorEastAsia" w:hAnsiTheme="minorEastAsia" w:eastAsiaTheme="minorEastAsia"/>
                <w:sz w:val="24"/>
                <w:szCs w:val="24"/>
                <w:highlight w:val="none"/>
              </w:rPr>
              <w:t>所提供各类基础保障服务方案进行评审，包括针对本项目的安检设备设施配套、消防、监控管理、卫生管理等服务实施方案与落实措施是否完善、可行。</w:t>
            </w:r>
          </w:p>
          <w:p>
            <w:pPr>
              <w:spacing w:line="480" w:lineRule="exact"/>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各类基础保障服务方案完善、可行，满足且优于项目需求的，得7分；</w:t>
            </w:r>
          </w:p>
          <w:p>
            <w:pPr>
              <w:spacing w:line="480" w:lineRule="exact"/>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各类基础保障服务方案较完善、较可行，满足项目需求的，得5分；</w:t>
            </w:r>
          </w:p>
          <w:p>
            <w:pPr>
              <w:spacing w:line="480" w:lineRule="exact"/>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各类基础保障服务方案一般完善、一般可行，基本满足项目需求的，得3分；</w:t>
            </w:r>
          </w:p>
          <w:p>
            <w:pPr>
              <w:spacing w:line="480" w:lineRule="exact"/>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各类基础保障服务方案不够完善、不够可行的，得1分；</w:t>
            </w:r>
          </w:p>
          <w:p>
            <w:pPr>
              <w:spacing w:line="480" w:lineRule="exact"/>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各类基础保障服务方案不完善、不可行或无提供相关描述的，得0分。</w:t>
            </w:r>
          </w:p>
        </w:tc>
        <w:tc>
          <w:tcPr>
            <w:tcW w:w="1165" w:type="dxa"/>
          </w:tcPr>
          <w:p>
            <w:pPr>
              <w:spacing w:line="480" w:lineRule="exact"/>
              <w:rPr>
                <w:rFonts w:hint="eastAsia" w:asciiTheme="minorEastAsia" w:hAnsiTheme="minorEastAsia" w:eastAsiaTheme="minorEastAsia"/>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5" w:type="dxa"/>
            <w:vMerge w:val="continue"/>
            <w:vAlign w:val="center"/>
          </w:tcPr>
          <w:p>
            <w:pPr>
              <w:spacing w:line="480" w:lineRule="exact"/>
              <w:jc w:val="center"/>
              <w:rPr>
                <w:rFonts w:asciiTheme="minorEastAsia" w:hAnsiTheme="minorEastAsia" w:eastAsiaTheme="minorEastAsia"/>
                <w:sz w:val="24"/>
                <w:szCs w:val="24"/>
                <w:highlight w:val="yellow"/>
              </w:rPr>
            </w:pPr>
          </w:p>
        </w:tc>
        <w:tc>
          <w:tcPr>
            <w:tcW w:w="1425" w:type="dxa"/>
            <w:vAlign w:val="center"/>
          </w:tcPr>
          <w:p>
            <w:pPr>
              <w:spacing w:line="480" w:lineRule="exact"/>
              <w:rPr>
                <w:rFonts w:asciiTheme="minorEastAsia" w:hAnsiTheme="minorEastAsia" w:eastAsiaTheme="minorEastAsia"/>
                <w:sz w:val="24"/>
                <w:szCs w:val="24"/>
                <w:highlight w:val="none"/>
              </w:rPr>
            </w:pPr>
            <w:r>
              <w:rPr>
                <w:rFonts w:asciiTheme="minorEastAsia" w:hAnsiTheme="minorEastAsia" w:eastAsiaTheme="minorEastAsia"/>
                <w:sz w:val="24"/>
                <w:szCs w:val="24"/>
                <w:highlight w:val="none"/>
              </w:rPr>
              <w:t>服务</w:t>
            </w:r>
            <w:r>
              <w:rPr>
                <w:rFonts w:hint="eastAsia" w:asciiTheme="minorEastAsia" w:hAnsiTheme="minorEastAsia" w:eastAsiaTheme="minorEastAsia"/>
                <w:sz w:val="24"/>
                <w:szCs w:val="24"/>
                <w:highlight w:val="none"/>
              </w:rPr>
              <w:t>保障及应急措施方案（8分）</w:t>
            </w:r>
          </w:p>
        </w:tc>
        <w:tc>
          <w:tcPr>
            <w:tcW w:w="5968" w:type="dxa"/>
          </w:tcPr>
          <w:p>
            <w:pPr>
              <w:spacing w:line="480" w:lineRule="exact"/>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根据</w:t>
            </w:r>
            <w:r>
              <w:rPr>
                <w:rFonts w:hint="eastAsia" w:asciiTheme="minorEastAsia" w:hAnsiTheme="minorEastAsia"/>
                <w:sz w:val="24"/>
                <w:szCs w:val="24"/>
                <w:highlight w:val="none"/>
                <w:lang w:eastAsia="zh-CN"/>
              </w:rPr>
              <w:t>服务供应商</w:t>
            </w:r>
            <w:r>
              <w:rPr>
                <w:rFonts w:hint="eastAsia" w:asciiTheme="minorEastAsia" w:hAnsiTheme="minorEastAsia" w:eastAsiaTheme="minorEastAsia"/>
                <w:sz w:val="24"/>
                <w:szCs w:val="24"/>
                <w:highlight w:val="none"/>
              </w:rPr>
              <w:t>所提供</w:t>
            </w:r>
            <w:r>
              <w:rPr>
                <w:rFonts w:asciiTheme="minorEastAsia" w:hAnsiTheme="minorEastAsia" w:eastAsiaTheme="minorEastAsia"/>
                <w:sz w:val="24"/>
                <w:szCs w:val="24"/>
                <w:highlight w:val="none"/>
              </w:rPr>
              <w:t>服务</w:t>
            </w:r>
            <w:r>
              <w:rPr>
                <w:rFonts w:hint="eastAsia" w:asciiTheme="minorEastAsia" w:hAnsiTheme="minorEastAsia" w:eastAsiaTheme="minorEastAsia"/>
                <w:sz w:val="24"/>
                <w:szCs w:val="24"/>
                <w:highlight w:val="none"/>
              </w:rPr>
              <w:t>保障及应急措施方案进行评审，包括对本项目的现场维护服务、接故障、后勤供应不足或出现问题通知时及时到达现场排除或修复的响应承诺、布展应急保障措施是否完善、可行。</w:t>
            </w:r>
          </w:p>
          <w:p>
            <w:pPr>
              <w:spacing w:line="480" w:lineRule="exact"/>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服务保障及应急措施方案完善、可行，满足且优于项目需求的，得8分；</w:t>
            </w:r>
          </w:p>
          <w:p>
            <w:pPr>
              <w:spacing w:line="480" w:lineRule="exact"/>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服务保障及应急措施方案较完善、较可行，满足项目需求的，得6分；</w:t>
            </w:r>
          </w:p>
          <w:p>
            <w:pPr>
              <w:spacing w:line="480" w:lineRule="exact"/>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服务保障及应急措施方案一般完善、一般可行，基本满足项目需求的，得4分；</w:t>
            </w:r>
          </w:p>
          <w:p>
            <w:pPr>
              <w:spacing w:line="480" w:lineRule="exact"/>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服务保障及应急措施方案不够完善、不够可行的，得2分；</w:t>
            </w:r>
          </w:p>
          <w:p>
            <w:pPr>
              <w:spacing w:line="480" w:lineRule="exact"/>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服务保障及应急措施方案不完善、不可行或无提供相关描述的，得0分。</w:t>
            </w:r>
          </w:p>
        </w:tc>
        <w:tc>
          <w:tcPr>
            <w:tcW w:w="1165" w:type="dxa"/>
          </w:tcPr>
          <w:p>
            <w:pPr>
              <w:spacing w:line="480" w:lineRule="exact"/>
              <w:rPr>
                <w:rFonts w:hint="eastAsia" w:asciiTheme="minorEastAsia" w:hAnsiTheme="minorEastAsia" w:eastAsiaTheme="minorEastAsia"/>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5" w:type="dxa"/>
            <w:vMerge w:val="continue"/>
            <w:vAlign w:val="center"/>
          </w:tcPr>
          <w:p>
            <w:pPr>
              <w:spacing w:line="480" w:lineRule="exact"/>
              <w:jc w:val="center"/>
              <w:rPr>
                <w:rFonts w:asciiTheme="minorEastAsia" w:hAnsiTheme="minorEastAsia" w:eastAsiaTheme="minorEastAsia"/>
                <w:sz w:val="24"/>
                <w:szCs w:val="24"/>
                <w:highlight w:val="yellow"/>
              </w:rPr>
            </w:pPr>
          </w:p>
        </w:tc>
        <w:tc>
          <w:tcPr>
            <w:tcW w:w="1425" w:type="dxa"/>
            <w:vAlign w:val="center"/>
          </w:tcPr>
          <w:p>
            <w:pPr>
              <w:spacing w:line="480" w:lineRule="exact"/>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项目进度计划与项目重点难点等措施及管理方案（8分）</w:t>
            </w:r>
          </w:p>
        </w:tc>
        <w:tc>
          <w:tcPr>
            <w:tcW w:w="5968" w:type="dxa"/>
          </w:tcPr>
          <w:p>
            <w:pPr>
              <w:spacing w:line="480" w:lineRule="exact"/>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根据</w:t>
            </w:r>
            <w:r>
              <w:rPr>
                <w:rFonts w:hint="eastAsia" w:asciiTheme="minorEastAsia" w:hAnsiTheme="minorEastAsia"/>
                <w:sz w:val="24"/>
                <w:szCs w:val="24"/>
                <w:highlight w:val="none"/>
                <w:lang w:eastAsia="zh-CN"/>
              </w:rPr>
              <w:t>服务供应商</w:t>
            </w:r>
            <w:r>
              <w:rPr>
                <w:rFonts w:hint="eastAsia" w:asciiTheme="minorEastAsia" w:hAnsiTheme="minorEastAsia" w:eastAsiaTheme="minorEastAsia"/>
                <w:sz w:val="24"/>
                <w:szCs w:val="24"/>
                <w:highlight w:val="none"/>
              </w:rPr>
              <w:t>所提供项目进度计划与项目重点难点等措施及管理方案进行评审，包括对项目重点难点分析是否到位，保证措施是否合理，进度控制是否可行，是否满足总工期要求，</w:t>
            </w:r>
            <w:r>
              <w:rPr>
                <w:rFonts w:asciiTheme="minorEastAsia" w:hAnsiTheme="minorEastAsia" w:eastAsiaTheme="minorEastAsia"/>
                <w:sz w:val="24"/>
                <w:szCs w:val="24"/>
                <w:highlight w:val="none"/>
              </w:rPr>
              <w:t>项目实施管理</w:t>
            </w:r>
            <w:r>
              <w:rPr>
                <w:rFonts w:hint="eastAsia" w:asciiTheme="minorEastAsia" w:hAnsiTheme="minorEastAsia" w:eastAsiaTheme="minorEastAsia"/>
                <w:sz w:val="24"/>
                <w:szCs w:val="24"/>
                <w:highlight w:val="none"/>
              </w:rPr>
              <w:t>是否</w:t>
            </w:r>
            <w:r>
              <w:rPr>
                <w:rFonts w:asciiTheme="minorEastAsia" w:hAnsiTheme="minorEastAsia" w:eastAsiaTheme="minorEastAsia"/>
                <w:sz w:val="24"/>
                <w:szCs w:val="24"/>
                <w:highlight w:val="none"/>
              </w:rPr>
              <w:t>规范，任务划分</w:t>
            </w:r>
            <w:r>
              <w:rPr>
                <w:rFonts w:hint="eastAsia" w:asciiTheme="minorEastAsia" w:hAnsiTheme="minorEastAsia" w:eastAsiaTheme="minorEastAsia"/>
                <w:sz w:val="24"/>
                <w:szCs w:val="24"/>
                <w:highlight w:val="none"/>
              </w:rPr>
              <w:t>是否</w:t>
            </w:r>
            <w:r>
              <w:rPr>
                <w:rFonts w:asciiTheme="minorEastAsia" w:hAnsiTheme="minorEastAsia" w:eastAsiaTheme="minorEastAsia"/>
                <w:sz w:val="24"/>
                <w:szCs w:val="24"/>
                <w:highlight w:val="none"/>
              </w:rPr>
              <w:t>清晰</w:t>
            </w:r>
            <w:r>
              <w:rPr>
                <w:rFonts w:hint="eastAsia" w:asciiTheme="minorEastAsia" w:hAnsiTheme="minorEastAsia" w:eastAsiaTheme="minorEastAsia"/>
                <w:sz w:val="24"/>
                <w:szCs w:val="24"/>
                <w:highlight w:val="none"/>
              </w:rPr>
              <w:t>，</w:t>
            </w:r>
            <w:r>
              <w:rPr>
                <w:rFonts w:asciiTheme="minorEastAsia" w:hAnsiTheme="minorEastAsia" w:eastAsiaTheme="minorEastAsia"/>
                <w:sz w:val="24"/>
                <w:szCs w:val="24"/>
                <w:highlight w:val="none"/>
              </w:rPr>
              <w:t>人员分配</w:t>
            </w:r>
            <w:r>
              <w:rPr>
                <w:rFonts w:hint="eastAsia" w:asciiTheme="minorEastAsia" w:hAnsiTheme="minorEastAsia" w:eastAsiaTheme="minorEastAsia"/>
                <w:sz w:val="24"/>
                <w:szCs w:val="24"/>
                <w:highlight w:val="none"/>
              </w:rPr>
              <w:t>是否</w:t>
            </w:r>
            <w:r>
              <w:rPr>
                <w:rFonts w:asciiTheme="minorEastAsia" w:hAnsiTheme="minorEastAsia" w:eastAsiaTheme="minorEastAsia"/>
                <w:sz w:val="24"/>
                <w:szCs w:val="24"/>
                <w:highlight w:val="none"/>
              </w:rPr>
              <w:t>合理</w:t>
            </w:r>
            <w:r>
              <w:rPr>
                <w:rFonts w:hint="eastAsia" w:asciiTheme="minorEastAsia" w:hAnsiTheme="minorEastAsia" w:eastAsiaTheme="minorEastAsia"/>
                <w:sz w:val="24"/>
                <w:szCs w:val="24"/>
                <w:highlight w:val="none"/>
              </w:rPr>
              <w:t>，</w:t>
            </w:r>
            <w:r>
              <w:rPr>
                <w:rFonts w:asciiTheme="minorEastAsia" w:hAnsiTheme="minorEastAsia" w:eastAsiaTheme="minorEastAsia"/>
                <w:sz w:val="24"/>
                <w:szCs w:val="24"/>
                <w:highlight w:val="none"/>
              </w:rPr>
              <w:t>工期计划、考核及验收方案</w:t>
            </w:r>
            <w:r>
              <w:rPr>
                <w:rFonts w:hint="eastAsia" w:asciiTheme="minorEastAsia" w:hAnsiTheme="minorEastAsia" w:eastAsiaTheme="minorEastAsia"/>
                <w:sz w:val="24"/>
                <w:szCs w:val="24"/>
                <w:highlight w:val="none"/>
              </w:rPr>
              <w:t>是否</w:t>
            </w:r>
            <w:r>
              <w:rPr>
                <w:rFonts w:asciiTheme="minorEastAsia" w:hAnsiTheme="minorEastAsia" w:eastAsiaTheme="minorEastAsia"/>
                <w:sz w:val="24"/>
                <w:szCs w:val="24"/>
                <w:highlight w:val="none"/>
              </w:rPr>
              <w:t>可行、</w:t>
            </w:r>
            <w:r>
              <w:rPr>
                <w:rFonts w:hint="eastAsia" w:asciiTheme="minorEastAsia" w:hAnsiTheme="minorEastAsia" w:eastAsiaTheme="minorEastAsia"/>
                <w:sz w:val="24"/>
                <w:szCs w:val="24"/>
                <w:highlight w:val="none"/>
              </w:rPr>
              <w:t>是否具</w:t>
            </w:r>
            <w:r>
              <w:rPr>
                <w:rFonts w:asciiTheme="minorEastAsia" w:hAnsiTheme="minorEastAsia" w:eastAsiaTheme="minorEastAsia"/>
                <w:sz w:val="24"/>
                <w:szCs w:val="24"/>
                <w:highlight w:val="none"/>
              </w:rPr>
              <w:t>可操作性</w:t>
            </w:r>
            <w:r>
              <w:rPr>
                <w:rFonts w:hint="eastAsia" w:asciiTheme="minorEastAsia" w:hAnsiTheme="minorEastAsia" w:eastAsiaTheme="minorEastAsia"/>
                <w:sz w:val="24"/>
                <w:szCs w:val="24"/>
                <w:highlight w:val="none"/>
              </w:rPr>
              <w:t>。</w:t>
            </w:r>
          </w:p>
          <w:p>
            <w:pPr>
              <w:spacing w:line="480" w:lineRule="exact"/>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项目进度计划与项目重点难点等措施及管理方案完善、合理、可行，满足且优于项目需求的，得8分；</w:t>
            </w:r>
          </w:p>
          <w:p>
            <w:pPr>
              <w:spacing w:line="480" w:lineRule="exact"/>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项目进度计划与项目重点难点等措施及管理方案较完善、较合理、较可行，满足项目需求的，得6分；</w:t>
            </w:r>
          </w:p>
          <w:p>
            <w:pPr>
              <w:spacing w:line="480" w:lineRule="exact"/>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项目进度计划与项目重点难点等措施及管理方案一般完善、一般合理、一般可行，基本满足项目需求的，得4分；</w:t>
            </w:r>
          </w:p>
          <w:p>
            <w:pPr>
              <w:spacing w:line="480" w:lineRule="exact"/>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项目进度计划与项目重点难点等措施及管理方案不够完善、不够合理、不够可行的，得2分；</w:t>
            </w:r>
          </w:p>
          <w:p>
            <w:pPr>
              <w:spacing w:line="480" w:lineRule="exact"/>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项目进度计划与项目重点难点等措施及管理方案不完善、不合理、不可行或无提供相关描述的，得0分。</w:t>
            </w:r>
          </w:p>
        </w:tc>
        <w:tc>
          <w:tcPr>
            <w:tcW w:w="1165" w:type="dxa"/>
          </w:tcPr>
          <w:p>
            <w:pPr>
              <w:spacing w:line="480" w:lineRule="exact"/>
              <w:rPr>
                <w:rFonts w:hint="eastAsia" w:asciiTheme="minorEastAsia" w:hAnsiTheme="minorEastAsia" w:eastAsiaTheme="minorEastAsia"/>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5" w:type="dxa"/>
            <w:vAlign w:val="center"/>
          </w:tcPr>
          <w:p>
            <w:pPr>
              <w:tabs>
                <w:tab w:val="left" w:pos="1155"/>
                <w:tab w:val="right" w:leader="dot" w:pos="9351"/>
              </w:tabs>
              <w:spacing w:line="400" w:lineRule="exact"/>
              <w:jc w:val="center"/>
              <w:rPr>
                <w:rFonts w:asciiTheme="minorEastAsia" w:hAnsiTheme="minorEastAsia" w:eastAsiaTheme="minorEastAsia"/>
                <w:bCs/>
                <w:sz w:val="24"/>
                <w:szCs w:val="24"/>
                <w:highlight w:val="none"/>
              </w:rPr>
            </w:pPr>
            <w:r>
              <w:rPr>
                <w:rFonts w:hint="eastAsia" w:asciiTheme="minorEastAsia" w:hAnsiTheme="minorEastAsia"/>
                <w:bCs/>
                <w:sz w:val="24"/>
                <w:szCs w:val="24"/>
                <w:highlight w:val="none"/>
                <w:lang w:eastAsia="zh-CN"/>
              </w:rPr>
              <w:t>响应</w:t>
            </w:r>
            <w:r>
              <w:rPr>
                <w:rFonts w:hint="eastAsia" w:asciiTheme="minorEastAsia" w:hAnsiTheme="minorEastAsia" w:eastAsiaTheme="minorEastAsia"/>
                <w:bCs/>
                <w:sz w:val="24"/>
                <w:szCs w:val="24"/>
                <w:highlight w:val="none"/>
              </w:rPr>
              <w:t>报价</w:t>
            </w:r>
          </w:p>
        </w:tc>
        <w:tc>
          <w:tcPr>
            <w:tcW w:w="1425" w:type="dxa"/>
            <w:vAlign w:val="center"/>
          </w:tcPr>
          <w:p>
            <w:pPr>
              <w:spacing w:line="480" w:lineRule="exact"/>
              <w:jc w:val="left"/>
              <w:rPr>
                <w:rFonts w:asciiTheme="minorEastAsia" w:hAnsiTheme="minorEastAsia" w:eastAsiaTheme="minorEastAsia"/>
                <w:sz w:val="24"/>
                <w:szCs w:val="24"/>
                <w:highlight w:val="none"/>
              </w:rPr>
            </w:pPr>
            <w:r>
              <w:rPr>
                <w:rFonts w:hint="eastAsia" w:asciiTheme="minorEastAsia" w:hAnsiTheme="minorEastAsia"/>
                <w:sz w:val="24"/>
                <w:szCs w:val="24"/>
                <w:highlight w:val="none"/>
                <w:lang w:eastAsia="zh-CN"/>
              </w:rPr>
              <w:t>响应报价</w:t>
            </w:r>
            <w:r>
              <w:rPr>
                <w:rFonts w:hint="eastAsia" w:asciiTheme="minorEastAsia" w:hAnsiTheme="minorEastAsia" w:eastAsiaTheme="minorEastAsia"/>
                <w:sz w:val="24"/>
                <w:szCs w:val="24"/>
                <w:highlight w:val="none"/>
              </w:rPr>
              <w:t>得分(10分）</w:t>
            </w:r>
          </w:p>
        </w:tc>
        <w:tc>
          <w:tcPr>
            <w:tcW w:w="5968" w:type="dxa"/>
            <w:vAlign w:val="center"/>
          </w:tcPr>
          <w:p>
            <w:pPr>
              <w:spacing w:line="480" w:lineRule="exact"/>
              <w:jc w:val="left"/>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价格扣除后的</w:t>
            </w:r>
            <w:r>
              <w:rPr>
                <w:rFonts w:hint="eastAsia" w:asciiTheme="minorEastAsia" w:hAnsiTheme="minorEastAsia"/>
                <w:sz w:val="24"/>
                <w:szCs w:val="24"/>
                <w:highlight w:val="none"/>
                <w:lang w:eastAsia="zh-CN"/>
              </w:rPr>
              <w:t>响应报价</w:t>
            </w:r>
            <w:r>
              <w:rPr>
                <w:rFonts w:hint="eastAsia" w:asciiTheme="minorEastAsia" w:hAnsiTheme="minorEastAsia" w:eastAsiaTheme="minorEastAsia"/>
                <w:sz w:val="24"/>
                <w:szCs w:val="24"/>
                <w:highlight w:val="none"/>
              </w:rPr>
              <w:t>得分=（评标基准价/价格扣除后的</w:t>
            </w:r>
            <w:r>
              <w:rPr>
                <w:rFonts w:hint="eastAsia" w:asciiTheme="minorEastAsia" w:hAnsiTheme="minorEastAsia"/>
                <w:sz w:val="24"/>
                <w:szCs w:val="24"/>
                <w:highlight w:val="none"/>
                <w:lang w:eastAsia="zh-CN"/>
              </w:rPr>
              <w:t>响应报价</w:t>
            </w:r>
            <w:r>
              <w:rPr>
                <w:rFonts w:hint="eastAsia" w:asciiTheme="minorEastAsia" w:hAnsiTheme="minorEastAsia" w:eastAsiaTheme="minorEastAsia"/>
                <w:sz w:val="24"/>
                <w:szCs w:val="24"/>
                <w:highlight w:val="none"/>
              </w:rPr>
              <w:t>）×10（注：满足招标文件要求且价格扣除后的最低</w:t>
            </w:r>
            <w:r>
              <w:rPr>
                <w:rFonts w:hint="eastAsia" w:asciiTheme="minorEastAsia" w:hAnsiTheme="minorEastAsia"/>
                <w:sz w:val="24"/>
                <w:szCs w:val="24"/>
                <w:highlight w:val="none"/>
                <w:lang w:eastAsia="zh-CN"/>
              </w:rPr>
              <w:t>响应报价</w:t>
            </w:r>
            <w:r>
              <w:rPr>
                <w:rFonts w:hint="eastAsia" w:asciiTheme="minorEastAsia" w:hAnsiTheme="minorEastAsia" w:eastAsiaTheme="minorEastAsia"/>
                <w:sz w:val="24"/>
                <w:szCs w:val="24"/>
                <w:highlight w:val="none"/>
              </w:rPr>
              <w:t>为评标基准价。）最低报价不是</w:t>
            </w:r>
            <w:r>
              <w:rPr>
                <w:rFonts w:hint="eastAsia" w:asciiTheme="minorEastAsia" w:hAnsiTheme="minorEastAsia"/>
                <w:sz w:val="24"/>
                <w:szCs w:val="24"/>
                <w:highlight w:val="none"/>
                <w:lang w:eastAsia="zh-CN"/>
              </w:rPr>
              <w:t>中选</w:t>
            </w:r>
            <w:r>
              <w:rPr>
                <w:rFonts w:hint="eastAsia" w:asciiTheme="minorEastAsia" w:hAnsiTheme="minorEastAsia" w:eastAsiaTheme="minorEastAsia"/>
                <w:sz w:val="24"/>
                <w:szCs w:val="24"/>
                <w:highlight w:val="none"/>
              </w:rPr>
              <w:t>的唯一依据。</w:t>
            </w:r>
          </w:p>
        </w:tc>
        <w:tc>
          <w:tcPr>
            <w:tcW w:w="1165" w:type="dxa"/>
            <w:vAlign w:val="center"/>
          </w:tcPr>
          <w:p>
            <w:pPr>
              <w:spacing w:line="480" w:lineRule="exact"/>
              <w:jc w:val="left"/>
              <w:rPr>
                <w:rFonts w:hint="eastAsia" w:asciiTheme="minorEastAsia" w:hAnsiTheme="minorEastAsia" w:eastAsiaTheme="minorEastAsia"/>
                <w:sz w:val="24"/>
                <w:szCs w:val="24"/>
                <w:highlight w:val="yellow"/>
              </w:rPr>
            </w:pPr>
          </w:p>
        </w:tc>
      </w:tr>
    </w:tbl>
    <w:p/>
    <w:sectPr>
      <w:headerReference r:id="rId3" w:type="default"/>
      <w:footerReference r:id="rId4" w:type="default"/>
      <w:pgSz w:w="11906" w:h="16838"/>
      <w:pgMar w:top="1100" w:right="1179" w:bottom="1100" w:left="117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Agency FB"/>
    <w:panose1 w:val="020F0502020204030204"/>
    <w:charset w:val="00"/>
    <w:family w:val="swiss"/>
    <w:pitch w:val="default"/>
    <w:sig w:usb0="00000000" w:usb1="00000000" w:usb2="00000001" w:usb3="00000000" w:csb0="0000019F" w:csb1="00000000"/>
  </w:font>
  <w:font w:name="Agency FB">
    <w:panose1 w:val="020B0503020202020204"/>
    <w:charset w:val="00"/>
    <w:family w:val="auto"/>
    <w:pitch w:val="default"/>
    <w:sig w:usb0="00000003" w:usb1="00000000" w:usb2="00000000" w:usb3="00000000" w:csb0="2000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TrueTypeFonts/>
  <w:saveSubsetFonts/>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737E4F"/>
    <w:rsid w:val="04CE7B84"/>
    <w:rsid w:val="04D6370F"/>
    <w:rsid w:val="08724E46"/>
    <w:rsid w:val="0A836C21"/>
    <w:rsid w:val="0CCB48C2"/>
    <w:rsid w:val="13BC4830"/>
    <w:rsid w:val="1F503858"/>
    <w:rsid w:val="1FB06CED"/>
    <w:rsid w:val="21A640A6"/>
    <w:rsid w:val="26B61C14"/>
    <w:rsid w:val="273F13B1"/>
    <w:rsid w:val="27CA298E"/>
    <w:rsid w:val="2976035F"/>
    <w:rsid w:val="2C730DEE"/>
    <w:rsid w:val="2D9E72A3"/>
    <w:rsid w:val="31E7004C"/>
    <w:rsid w:val="364C4922"/>
    <w:rsid w:val="37D90EE2"/>
    <w:rsid w:val="38077801"/>
    <w:rsid w:val="3A9E2C71"/>
    <w:rsid w:val="3CA54D8C"/>
    <w:rsid w:val="405E363F"/>
    <w:rsid w:val="47E7124D"/>
    <w:rsid w:val="496B67EC"/>
    <w:rsid w:val="4A2238D8"/>
    <w:rsid w:val="4EEC4A65"/>
    <w:rsid w:val="50573D07"/>
    <w:rsid w:val="566B73C3"/>
    <w:rsid w:val="572B7C08"/>
    <w:rsid w:val="5935786B"/>
    <w:rsid w:val="596541F2"/>
    <w:rsid w:val="5BFD5AB4"/>
    <w:rsid w:val="5CD144E2"/>
    <w:rsid w:val="5D7D1B2E"/>
    <w:rsid w:val="5FDEA398"/>
    <w:rsid w:val="68B375A3"/>
    <w:rsid w:val="6D1D173A"/>
    <w:rsid w:val="70ED349F"/>
    <w:rsid w:val="736E02D2"/>
    <w:rsid w:val="73D11BB6"/>
    <w:rsid w:val="7478528F"/>
    <w:rsid w:val="74AB09E7"/>
    <w:rsid w:val="78336410"/>
    <w:rsid w:val="785D5F3F"/>
    <w:rsid w:val="798A33C0"/>
    <w:rsid w:val="7A066163"/>
    <w:rsid w:val="7A737E4F"/>
    <w:rsid w:val="7FBD30D9"/>
    <w:rsid w:val="7FEB03DE"/>
    <w:rsid w:val="9B32D8A0"/>
    <w:rsid w:val="AB7B8F10"/>
    <w:rsid w:val="AEBB3039"/>
    <w:rsid w:val="DFFF4E1F"/>
    <w:rsid w:val="EFF59F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99"/>
    <w:pPr>
      <w:keepNext/>
      <w:keepLines/>
      <w:spacing w:line="413" w:lineRule="auto"/>
      <w:outlineLvl w:val="2"/>
    </w:pPr>
    <w:rPr>
      <w:rFonts w:ascii="Times New Roman" w:hAnsi="Times New Roman" w:cs="Times New Roman"/>
      <w:b/>
      <w:bCs/>
      <w:sz w:val="32"/>
      <w:szCs w:val="32"/>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0"/>
    <w:pPr>
      <w:adjustRightInd/>
      <w:spacing w:line="240" w:lineRule="auto"/>
      <w:textAlignment w:val="auto"/>
    </w:pPr>
    <w:rPr>
      <w:rFonts w:ascii="宋体" w:hAnsi="Courier New"/>
      <w:kern w:val="2"/>
    </w:rPr>
  </w:style>
  <w:style w:type="paragraph" w:styleId="4">
    <w:name w:val="footer"/>
    <w:basedOn w:val="1"/>
    <w:next w:val="5"/>
    <w:unhideWhenUsed/>
    <w:qFormat/>
    <w:uiPriority w:val="99"/>
    <w:pPr>
      <w:tabs>
        <w:tab w:val="center" w:pos="4153"/>
        <w:tab w:val="right" w:pos="8306"/>
      </w:tabs>
      <w:snapToGrid w:val="0"/>
      <w:jc w:val="left"/>
    </w:pPr>
    <w:rPr>
      <w:sz w:val="18"/>
      <w:szCs w:val="18"/>
    </w:rPr>
  </w:style>
  <w:style w:type="paragraph" w:customStyle="1" w:styleId="5">
    <w:name w:val="toc 31"/>
    <w:next w:val="1"/>
    <w:qFormat/>
    <w:uiPriority w:val="0"/>
    <w:pPr>
      <w:wordWrap w:val="0"/>
      <w:ind w:left="850"/>
      <w:jc w:val="both"/>
    </w:pPr>
    <w:rPr>
      <w:rFonts w:ascii="Times New Roman" w:hAnsi="Times New Roman" w:eastAsia="宋体" w:cs="Times New Roman"/>
      <w:sz w:val="21"/>
      <w:lang w:val="en-US" w:eastAsia="zh-CN" w:bidi="ar-SA"/>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_Style 3"/>
    <w:basedOn w:val="1"/>
    <w:qFormat/>
    <w:uiPriority w:val="0"/>
    <w:pPr>
      <w:ind w:firstLine="420" w:firstLineChars="200"/>
    </w:pPr>
    <w:rPr>
      <w:sz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3380</Words>
  <Characters>3479</Characters>
  <Lines>0</Lines>
  <Paragraphs>0</Paragraphs>
  <TotalTime>1</TotalTime>
  <ScaleCrop>false</ScaleCrop>
  <LinksUpToDate>false</LinksUpToDate>
  <CharactersWithSpaces>3479</CharactersWithSpaces>
  <Application>WPS Office_11.8.2.1131_F1E327BC-269C-435d-A152-05C5408002CA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2024-11-21T15:04:00Z</dcterms:created>
  <dc:creator>陈琪琪</dc:creator>
  <cp:lastModifiedBy>陈政</cp:lastModifiedBy>
  <dcterms:modified xsi:type="dcterms:W3CDTF">2025-09-11T09:26:30Z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2052-11.8.2.1131</vt:lpwstr>
  </property>
  <property fmtid="{D5CDD505-2E9C-101B-9397-08002B2CF9AE}" pid="3" name="ICV">
    <vt:lpwstr>30CA69B43E444D1B99F4DB3DA65252D9_13</vt:lpwstr>
  </property>
  <property fmtid="{D5CDD505-2E9C-101B-9397-08002B2CF9AE}" pid="4" name="KSOTemplateDocerSaveRecord">
    <vt:lpwstr>eyJoZGlkIjoiMTQ5MjhmNmUzMWRjZDRlMjhmYmQxZDUzOWI3MTNiOTMiLCJ1c2VySWQiOiI1MTYxNjYwMjAifQ==</vt:lpwstr>
  </property>
</Properties>
</file>