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20717">
      <w:pPr>
        <w:spacing w:line="560" w:lineRule="exact"/>
        <w:jc w:val="center"/>
        <w:rPr>
          <w:rFonts w:hint="eastAsia"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rPr>
        <w:t>202</w:t>
      </w:r>
      <w:r>
        <w:rPr>
          <w:rFonts w:hint="eastAsia" w:ascii="Times New Roman" w:hAnsi="Times New Roman" w:eastAsia="方正小标宋_GBK" w:cs="Times New Roman"/>
          <w:color w:val="auto"/>
          <w:sz w:val="36"/>
          <w:szCs w:val="36"/>
          <w:highlight w:val="none"/>
          <w:lang w:val="en-US" w:eastAsia="zh-CN"/>
        </w:rPr>
        <w:t>5</w:t>
      </w:r>
      <w:r>
        <w:rPr>
          <w:rFonts w:hint="default" w:ascii="Times New Roman" w:hAnsi="Times New Roman" w:eastAsia="方正小标宋_GBK" w:cs="Times New Roman"/>
          <w:color w:val="auto"/>
          <w:sz w:val="36"/>
          <w:szCs w:val="36"/>
          <w:highlight w:val="none"/>
        </w:rPr>
        <w:t>-202</w:t>
      </w:r>
      <w:r>
        <w:rPr>
          <w:rFonts w:hint="eastAsia" w:ascii="Times New Roman" w:hAnsi="Times New Roman" w:eastAsia="方正小标宋_GBK" w:cs="Times New Roman"/>
          <w:color w:val="auto"/>
          <w:sz w:val="36"/>
          <w:szCs w:val="36"/>
          <w:highlight w:val="none"/>
          <w:lang w:val="en-US" w:eastAsia="zh-CN"/>
        </w:rPr>
        <w:t>6</w:t>
      </w:r>
      <w:r>
        <w:rPr>
          <w:rFonts w:hint="default" w:ascii="Times New Roman" w:hAnsi="Times New Roman" w:eastAsia="方正小标宋_GBK" w:cs="Times New Roman"/>
          <w:color w:val="auto"/>
          <w:sz w:val="36"/>
          <w:szCs w:val="36"/>
          <w:highlight w:val="none"/>
        </w:rPr>
        <w:t>年江门市环境空气质量及重点污染源实时监控服务</w:t>
      </w:r>
      <w:bookmarkStart w:id="0" w:name="_GoBack"/>
      <w:r>
        <w:rPr>
          <w:rFonts w:hint="default" w:ascii="Times New Roman" w:hAnsi="Times New Roman" w:eastAsia="方正小标宋_GBK" w:cs="Times New Roman"/>
          <w:color w:val="auto"/>
          <w:sz w:val="36"/>
          <w:szCs w:val="36"/>
          <w:highlight w:val="none"/>
        </w:rPr>
        <w:t>项目</w:t>
      </w:r>
      <w:r>
        <w:rPr>
          <w:rFonts w:hint="eastAsia" w:ascii="Times New Roman" w:hAnsi="Times New Roman" w:eastAsia="方正小标宋_GBK" w:cs="Times New Roman"/>
          <w:color w:val="auto"/>
          <w:sz w:val="36"/>
          <w:szCs w:val="36"/>
          <w:highlight w:val="none"/>
          <w:lang w:eastAsia="zh-CN"/>
        </w:rPr>
        <w:t>评分表</w:t>
      </w:r>
      <w:bookmarkEnd w:id="0"/>
    </w:p>
    <w:tbl>
      <w:tblPr>
        <w:tblStyle w:val="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502"/>
        <w:gridCol w:w="7232"/>
        <w:gridCol w:w="769"/>
        <w:gridCol w:w="1131"/>
        <w:gridCol w:w="1159"/>
        <w:gridCol w:w="1195"/>
        <w:gridCol w:w="958"/>
      </w:tblGrid>
      <w:tr w14:paraId="7B6D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101E5436">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序号</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6803B8B6">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lang w:eastAsia="zh-CN"/>
              </w:rPr>
              <w:t>评审因素</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5E14B25E">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评审内容</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737AE96D">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分值</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5A803D63">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1（得分）</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619A7D83">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2（得分）</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27D6EBBD">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3（得分）</w:t>
            </w:r>
          </w:p>
        </w:tc>
        <w:tc>
          <w:tcPr>
            <w:tcW w:w="324" w:type="pct"/>
            <w:tcBorders>
              <w:top w:val="single" w:color="auto" w:sz="4" w:space="0"/>
              <w:left w:val="single" w:color="auto" w:sz="4" w:space="0"/>
              <w:bottom w:val="single" w:color="auto" w:sz="4" w:space="0"/>
              <w:right w:val="single" w:color="auto" w:sz="4" w:space="0"/>
            </w:tcBorders>
            <w:noWrap w:val="0"/>
            <w:vAlign w:val="center"/>
          </w:tcPr>
          <w:p w14:paraId="4F6E2680">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备注</w:t>
            </w:r>
          </w:p>
        </w:tc>
      </w:tr>
      <w:tr w14:paraId="19B7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96" w:type="pct"/>
            <w:gridSpan w:val="4"/>
            <w:tcBorders>
              <w:top w:val="single" w:color="auto" w:sz="4" w:space="0"/>
              <w:left w:val="single" w:color="auto" w:sz="4" w:space="0"/>
              <w:bottom w:val="single" w:color="auto" w:sz="4" w:space="0"/>
              <w:right w:val="single" w:color="auto" w:sz="4" w:space="0"/>
            </w:tcBorders>
            <w:noWrap w:val="0"/>
            <w:vAlign w:val="center"/>
          </w:tcPr>
          <w:p w14:paraId="165DCAEF">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lang w:eastAsia="zh-CN"/>
              </w:rPr>
              <w:t>一、技术部分（</w:t>
            </w:r>
            <w:r>
              <w:rPr>
                <w:rFonts w:hint="default" w:ascii="Times New Roman" w:hAnsi="Times New Roman" w:eastAsia="仿宋_GB2312" w:cs="Times New Roman"/>
                <w:b/>
                <w:bCs/>
                <w:sz w:val="21"/>
                <w:szCs w:val="21"/>
                <w:lang w:val="en-US" w:eastAsia="zh-CN"/>
              </w:rPr>
              <w:t>35</w:t>
            </w:r>
            <w:r>
              <w:rPr>
                <w:rFonts w:hint="default" w:ascii="Times New Roman" w:hAnsi="Times New Roman" w:eastAsia="仿宋_GB2312" w:cs="Times New Roman"/>
                <w:b/>
                <w:bCs/>
                <w:sz w:val="21"/>
                <w:szCs w:val="21"/>
                <w:lang w:eastAsia="zh-CN"/>
              </w:rPr>
              <w:t>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723DC7A4">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bCs/>
                <w:sz w:val="21"/>
                <w:szCs w:val="21"/>
                <w:lang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2C0B6C97">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bCs/>
                <w:sz w:val="21"/>
                <w:szCs w:val="21"/>
                <w:lang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2A4CE999">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bCs/>
                <w:sz w:val="21"/>
                <w:szCs w:val="21"/>
                <w:lang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38B1B436">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bCs/>
                <w:sz w:val="21"/>
                <w:szCs w:val="21"/>
                <w:lang w:eastAsia="zh-CN"/>
              </w:rPr>
            </w:pPr>
          </w:p>
        </w:tc>
      </w:tr>
      <w:tr w14:paraId="77F5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5B778CDC">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lang w:eastAsia="zh-CN"/>
              </w:rPr>
              <w:t>（一）</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4BB6E5D4">
            <w:pPr>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项目服务方案</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05035B12">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根据供应商对用户需求提供的服务方案（不限于工作总体计划、工作内容、工作方案等）进行综合评审：</w:t>
            </w:r>
          </w:p>
          <w:p w14:paraId="1759100F">
            <w:pPr>
              <w:pStyle w:val="4"/>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工作总体计划阐述科学合理，工作内容详细全面，工作方案具体可行的，得</w:t>
            </w:r>
            <w:r>
              <w:rPr>
                <w:rFonts w:hint="default" w:ascii="Times New Roman" w:hAnsi="Times New Roman" w:eastAsia="仿宋_GB2312" w:cs="Times New Roman"/>
                <w:sz w:val="21"/>
                <w:szCs w:val="21"/>
                <w:lang w:val="en-US" w:eastAsia="zh-CN"/>
              </w:rPr>
              <w:t>20</w:t>
            </w:r>
            <w:r>
              <w:rPr>
                <w:rFonts w:hint="default" w:ascii="Times New Roman" w:hAnsi="Times New Roman" w:eastAsia="仿宋_GB2312" w:cs="Times New Roman"/>
                <w:sz w:val="21"/>
                <w:szCs w:val="21"/>
                <w:lang w:eastAsia="zh-CN"/>
              </w:rPr>
              <w:t>分；</w:t>
            </w:r>
          </w:p>
          <w:p w14:paraId="2170BF58">
            <w:pPr>
              <w:pStyle w:val="4"/>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工作总体计划阐述基本合理，工作内容描述基本全面，工作方案具有可行性的，得</w:t>
            </w:r>
            <w:r>
              <w:rPr>
                <w:rFonts w:hint="default" w:ascii="Times New Roman" w:hAnsi="Times New Roman" w:eastAsia="仿宋_GB2312" w:cs="Times New Roman"/>
                <w:sz w:val="21"/>
                <w:szCs w:val="21"/>
                <w:lang w:val="en-US" w:eastAsia="zh-CN"/>
              </w:rPr>
              <w:t>15</w:t>
            </w:r>
            <w:r>
              <w:rPr>
                <w:rFonts w:hint="default" w:ascii="Times New Roman" w:hAnsi="Times New Roman" w:eastAsia="仿宋_GB2312" w:cs="Times New Roman"/>
                <w:sz w:val="21"/>
                <w:szCs w:val="21"/>
                <w:lang w:eastAsia="zh-CN"/>
              </w:rPr>
              <w:t>分；</w:t>
            </w:r>
          </w:p>
          <w:p w14:paraId="16FDA161">
            <w:pPr>
              <w:pStyle w:val="4"/>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工作总体计划阐述具有合理性，工作内容描述基本全面，但工作方案不可行的，得</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分；</w:t>
            </w:r>
          </w:p>
          <w:p w14:paraId="6CEF9278">
            <w:pPr>
              <w:pStyle w:val="4"/>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工作总体计划阐述缺乏合理性，工作内容描述不全面，但工作方案不可行的，得</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分；</w:t>
            </w:r>
          </w:p>
          <w:p w14:paraId="3C4415B9">
            <w:pPr>
              <w:pStyle w:val="4"/>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未提供项目实施方案的，不得分。</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3A8BA670">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20</w:t>
            </w:r>
            <w:r>
              <w:rPr>
                <w:rFonts w:hint="default" w:ascii="Times New Roman" w:hAnsi="Times New Roman" w:eastAsia="仿宋_GB2312" w:cs="Times New Roman"/>
                <w:bCs/>
                <w:color w:val="auto"/>
                <w:sz w:val="21"/>
                <w:szCs w:val="21"/>
              </w:rPr>
              <w:t>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13399FCB">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17C991B4">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04D6C0A1">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068FDA66">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r>
      <w:tr w14:paraId="0448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461D0571">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lang w:eastAsia="zh-CN"/>
              </w:rPr>
              <w:t>（二）</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11B17D79">
            <w:pPr>
              <w:rPr>
                <w:rFonts w:ascii="Times New Roman" w:hAnsi="Times New Roman"/>
              </w:rPr>
            </w:pPr>
          </w:p>
          <w:p w14:paraId="2625B071">
            <w:pPr>
              <w:rPr>
                <w:rFonts w:ascii="Times New Roman" w:hAnsi="Times New Roman"/>
              </w:rPr>
            </w:pPr>
            <w:r>
              <w:rPr>
                <w:rFonts w:hint="default" w:ascii="Times New Roman" w:hAnsi="Times New Roman" w:eastAsia="仿宋_GB2312" w:cs="Times New Roman"/>
                <w:bCs/>
                <w:sz w:val="21"/>
                <w:szCs w:val="21"/>
                <w:lang w:eastAsia="zh-CN"/>
              </w:rPr>
              <w:t>质量控制措施</w:t>
            </w:r>
          </w:p>
          <w:p w14:paraId="577802DC">
            <w:pPr>
              <w:rPr>
                <w:rFonts w:ascii="Times New Roman" w:hAnsi="Times New Roman"/>
              </w:rPr>
            </w:pPr>
          </w:p>
          <w:p w14:paraId="74434E36">
            <w:pPr>
              <w:rPr>
                <w:rFonts w:ascii="Times New Roman" w:hAnsi="Times New Roman"/>
              </w:rPr>
            </w:pPr>
          </w:p>
          <w:p w14:paraId="15C6911B">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1"/>
                <w:szCs w:val="21"/>
              </w:rPr>
            </w:pPr>
          </w:p>
        </w:tc>
        <w:tc>
          <w:tcPr>
            <w:tcW w:w="2448" w:type="pct"/>
            <w:tcBorders>
              <w:top w:val="single" w:color="auto" w:sz="4" w:space="0"/>
              <w:left w:val="single" w:color="auto" w:sz="4" w:space="0"/>
              <w:bottom w:val="single" w:color="auto" w:sz="4" w:space="0"/>
              <w:right w:val="single" w:color="auto" w:sz="4" w:space="0"/>
            </w:tcBorders>
            <w:noWrap w:val="0"/>
            <w:vAlign w:val="top"/>
          </w:tcPr>
          <w:p w14:paraId="75B9D933">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根据供应商对用户需求编制实施质量保障方案（方案内容不限于实施保障能力的响应情况、主要支撑装备的使用维护及数据分析以及详细的保障方案等）进行综合评审：</w:t>
            </w:r>
          </w:p>
          <w:p w14:paraId="447E1BDA">
            <w:pPr>
              <w:pStyle w:val="4"/>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方案编制结构描述清晰、科学合理，切实可行的，得1</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分。</w:t>
            </w:r>
          </w:p>
          <w:p w14:paraId="57F7CF8C">
            <w:pPr>
              <w:pStyle w:val="4"/>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方案编制结构及描述较清晰，各项内容较完整，方案较合理，具有一定可行性的，得</w:t>
            </w:r>
            <w:r>
              <w:rPr>
                <w:rFonts w:hint="default"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eastAsia="zh-CN"/>
              </w:rPr>
              <w:t>分。</w:t>
            </w:r>
          </w:p>
          <w:p w14:paraId="3672118A">
            <w:pPr>
              <w:pStyle w:val="4"/>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方案编制结构及描述略有瑕疵、部分内容不完整、不完全具有针对性，方（</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eastAsia="zh-CN"/>
              </w:rPr>
              <w:t>）案科学性合理性有所欠缺的，但方案仍然可以采纳接受的，得</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分。</w:t>
            </w:r>
          </w:p>
          <w:p w14:paraId="1094D395">
            <w:pPr>
              <w:pStyle w:val="4"/>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方案编制不具有针对性、结构混乱、内容描述多有歧义，使得方案不可采纳的，得</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分。</w:t>
            </w:r>
          </w:p>
          <w:p w14:paraId="490CB47A">
            <w:pPr>
              <w:pStyle w:val="4"/>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lang w:eastAsia="zh-CN"/>
              </w:rPr>
              <w:t>）未提供项目数据分析方案的，不得分。</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588B09A2">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eastAsia="zh-CN"/>
              </w:rPr>
              <w:t>1</w:t>
            </w:r>
            <w:r>
              <w:rPr>
                <w:rFonts w:hint="default" w:ascii="Times New Roman" w:hAnsi="Times New Roman" w:eastAsia="仿宋_GB2312" w:cs="Times New Roman"/>
                <w:bCs/>
                <w:color w:val="auto"/>
                <w:sz w:val="21"/>
                <w:szCs w:val="21"/>
                <w:lang w:val="en-US" w:eastAsia="zh-CN"/>
              </w:rPr>
              <w:t>5</w:t>
            </w:r>
            <w:r>
              <w:rPr>
                <w:rFonts w:hint="default" w:ascii="Times New Roman" w:hAnsi="Times New Roman" w:eastAsia="仿宋_GB2312" w:cs="Times New Roman"/>
                <w:bCs/>
                <w:color w:val="auto"/>
                <w:sz w:val="21"/>
                <w:szCs w:val="21"/>
              </w:rPr>
              <w:t>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0D6C5FA6">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4B3B50DD">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5F01C2D7">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76B781A8">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eastAsia="zh-CN"/>
              </w:rPr>
            </w:pPr>
          </w:p>
        </w:tc>
      </w:tr>
      <w:tr w14:paraId="72EC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496" w:type="pct"/>
            <w:gridSpan w:val="4"/>
            <w:tcBorders>
              <w:top w:val="single" w:color="auto" w:sz="4" w:space="0"/>
              <w:left w:val="single" w:color="auto" w:sz="4" w:space="0"/>
              <w:bottom w:val="single" w:color="auto" w:sz="4" w:space="0"/>
              <w:right w:val="single" w:color="auto" w:sz="4" w:space="0"/>
            </w:tcBorders>
            <w:noWrap w:val="0"/>
            <w:vAlign w:val="center"/>
          </w:tcPr>
          <w:p w14:paraId="7707C867">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sz w:val="21"/>
                <w:szCs w:val="21"/>
                <w:lang w:eastAsia="zh-CN"/>
              </w:rPr>
            </w:pPr>
            <w:r>
              <w:rPr>
                <w:rFonts w:hint="default" w:ascii="Times New Roman" w:hAnsi="Times New Roman" w:eastAsia="仿宋_GB2312" w:cs="Times New Roman"/>
                <w:b/>
                <w:sz w:val="21"/>
                <w:szCs w:val="21"/>
                <w:lang w:eastAsia="zh-CN"/>
              </w:rPr>
              <w:t>（二）商务部分（</w:t>
            </w:r>
            <w:r>
              <w:rPr>
                <w:rFonts w:hint="default" w:ascii="Times New Roman" w:hAnsi="Times New Roman" w:eastAsia="仿宋_GB2312" w:cs="Times New Roman"/>
                <w:b/>
                <w:sz w:val="21"/>
                <w:szCs w:val="21"/>
                <w:lang w:val="en-US" w:eastAsia="zh-CN"/>
              </w:rPr>
              <w:t>50</w:t>
            </w:r>
            <w:r>
              <w:rPr>
                <w:rFonts w:hint="default" w:ascii="Times New Roman" w:hAnsi="Times New Roman" w:eastAsia="仿宋_GB2312" w:cs="Times New Roman"/>
                <w:b/>
                <w:sz w:val="21"/>
                <w:szCs w:val="21"/>
                <w:lang w:eastAsia="zh-CN"/>
              </w:rPr>
              <w:t>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5F25D986">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sz w:val="21"/>
                <w:szCs w:val="21"/>
                <w:lang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27D42F74">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sz w:val="21"/>
                <w:szCs w:val="21"/>
                <w:lang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294F6A28">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sz w:val="21"/>
                <w:szCs w:val="21"/>
                <w:lang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7DD1B7C1">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
                <w:sz w:val="21"/>
                <w:szCs w:val="21"/>
                <w:lang w:eastAsia="zh-CN"/>
              </w:rPr>
            </w:pPr>
          </w:p>
        </w:tc>
      </w:tr>
      <w:tr w14:paraId="4BB1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2B81B104">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4"/>
                <w:szCs w:val="24"/>
                <w:lang w:eastAsia="zh-CN"/>
              </w:rPr>
              <w:t>序号</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24CAD443">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4"/>
                <w:szCs w:val="24"/>
                <w:lang w:eastAsia="zh-CN"/>
              </w:rPr>
              <w:t>评审因素</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764870D6">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4"/>
                <w:szCs w:val="24"/>
              </w:rPr>
              <w:t>评审内容</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628CCA23">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4"/>
                <w:szCs w:val="24"/>
              </w:rPr>
              <w:t>分值</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2E1C9044">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1（得分）</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51C21E1E">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2（得分）</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3AA06BE4">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3（得分）</w:t>
            </w:r>
          </w:p>
        </w:tc>
        <w:tc>
          <w:tcPr>
            <w:tcW w:w="324" w:type="pct"/>
            <w:tcBorders>
              <w:top w:val="single" w:color="auto" w:sz="4" w:space="0"/>
              <w:left w:val="single" w:color="auto" w:sz="4" w:space="0"/>
              <w:bottom w:val="single" w:color="auto" w:sz="4" w:space="0"/>
              <w:right w:val="single" w:color="auto" w:sz="4" w:space="0"/>
            </w:tcBorders>
            <w:noWrap w:val="0"/>
            <w:vAlign w:val="center"/>
          </w:tcPr>
          <w:p w14:paraId="3BBEC489">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备注</w:t>
            </w:r>
          </w:p>
        </w:tc>
      </w:tr>
      <w:tr w14:paraId="7B54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5F62FFE9">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bCs/>
                <w:color w:val="auto"/>
                <w:sz w:val="21"/>
                <w:szCs w:val="21"/>
                <w:lang w:val="en-US" w:eastAsia="zh-CN"/>
              </w:rPr>
              <w:t>（一）</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4066175A">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Cs/>
                <w:color w:val="auto"/>
                <w:sz w:val="21"/>
                <w:szCs w:val="21"/>
              </w:rPr>
              <w:t>业绩</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0CB79607">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投标人提供自2021年至今的同类型项目业绩，每提供1份得</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分，本项满分</w:t>
            </w:r>
            <w:r>
              <w:rPr>
                <w:rFonts w:hint="default" w:ascii="Times New Roman" w:hAnsi="Times New Roman" w:eastAsia="仿宋_GB2312" w:cs="Times New Roman"/>
                <w:color w:val="auto"/>
                <w:sz w:val="21"/>
                <w:szCs w:val="21"/>
                <w:lang w:val="en-US" w:eastAsia="zh-CN"/>
              </w:rPr>
              <w:t>20</w:t>
            </w:r>
            <w:r>
              <w:rPr>
                <w:rFonts w:hint="default" w:ascii="Times New Roman" w:hAnsi="Times New Roman" w:eastAsia="仿宋_GB2312" w:cs="Times New Roman"/>
                <w:color w:val="auto"/>
                <w:sz w:val="21"/>
                <w:szCs w:val="21"/>
                <w:lang w:eastAsia="zh-CN"/>
              </w:rPr>
              <w:t>分。</w:t>
            </w:r>
          </w:p>
          <w:p w14:paraId="28D3E514">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bCs/>
                <w:color w:val="auto"/>
                <w:sz w:val="21"/>
                <w:szCs w:val="21"/>
                <w:lang w:eastAsia="zh-CN"/>
              </w:rPr>
              <w:t>提供加盖投标单位公章的合同复印件（合同内容须包含合同首页、合同项目清单页、签字盖章页）、中标通知书</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6ADFC224">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20</w:t>
            </w:r>
            <w:r>
              <w:rPr>
                <w:rFonts w:hint="default" w:ascii="Times New Roman" w:hAnsi="Times New Roman" w:eastAsia="仿宋_GB2312" w:cs="Times New Roman"/>
                <w:bCs/>
                <w:color w:val="auto"/>
                <w:sz w:val="21"/>
                <w:szCs w:val="21"/>
              </w:rPr>
              <w:t>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75CAEAFE">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0B5FA50A">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422BE962">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0C3D99A5">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r>
      <w:tr w14:paraId="328C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5DC6FD93">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eastAsia="zh-CN"/>
              </w:rPr>
            </w:pPr>
            <w:r>
              <w:rPr>
                <w:rFonts w:hint="default" w:ascii="Times New Roman" w:hAnsi="Times New Roman" w:eastAsia="仿宋_GB2312" w:cs="Times New Roman"/>
                <w:bCs/>
                <w:color w:val="auto"/>
                <w:sz w:val="21"/>
                <w:szCs w:val="21"/>
                <w:lang w:eastAsia="zh-CN"/>
              </w:rPr>
              <w:t>（二）</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56703425">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Cs/>
                <w:color w:val="auto"/>
                <w:sz w:val="21"/>
                <w:szCs w:val="21"/>
              </w:rPr>
              <w:t>企业综合实力</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24B61E47">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投标人具有质量管理体系认证证书、环境管理体系认证证书，每提供</w:t>
            </w:r>
            <w:r>
              <w:rPr>
                <w:rFonts w:hint="default" w:ascii="Times New Roman" w:hAnsi="Times New Roman" w:eastAsia="仿宋_GB2312" w:cs="Times New Roman"/>
                <w:color w:val="auto"/>
                <w:sz w:val="21"/>
                <w:szCs w:val="21"/>
                <w:lang w:val="en-US" w:eastAsia="zh-CN"/>
              </w:rPr>
              <w:t>1个证书得2.5分，本项最高5分。</w:t>
            </w:r>
          </w:p>
          <w:p w14:paraId="33335211">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bCs/>
                <w:color w:val="auto"/>
                <w:sz w:val="21"/>
                <w:szCs w:val="21"/>
                <w:lang w:eastAsia="zh-CN"/>
              </w:rPr>
              <w:t>提供证书复印件加盖公章。</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55505C6F">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5</w:t>
            </w:r>
            <w:r>
              <w:rPr>
                <w:rFonts w:hint="default" w:ascii="Times New Roman" w:hAnsi="Times New Roman" w:eastAsia="仿宋_GB2312" w:cs="Times New Roman"/>
                <w:bCs/>
                <w:color w:val="auto"/>
                <w:sz w:val="21"/>
                <w:szCs w:val="21"/>
              </w:rPr>
              <w:t>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60A1B066">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0897982F">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317FE869">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4F806257">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r>
      <w:tr w14:paraId="6841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4BC5337C">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eastAsia="zh-CN"/>
              </w:rPr>
            </w:pPr>
            <w:r>
              <w:rPr>
                <w:rFonts w:hint="default" w:ascii="Times New Roman" w:hAnsi="Times New Roman" w:eastAsia="仿宋_GB2312" w:cs="Times New Roman"/>
                <w:bCs/>
                <w:color w:val="auto"/>
                <w:sz w:val="21"/>
                <w:szCs w:val="21"/>
                <w:lang w:eastAsia="zh-CN"/>
              </w:rPr>
              <w:t>（三）</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34EB9834">
            <w:pPr>
              <w:rPr>
                <w:rFonts w:hint="default" w:ascii="Times New Roman" w:hAnsi="Times New Roman" w:eastAsia="仿宋_GB2312" w:cs="Times New Roman"/>
                <w:bCs/>
                <w:color w:val="auto"/>
                <w:sz w:val="21"/>
                <w:szCs w:val="21"/>
                <w:lang w:eastAsia="zh-CN"/>
              </w:rPr>
            </w:pPr>
            <w:r>
              <w:rPr>
                <w:rFonts w:hint="default" w:ascii="Times New Roman" w:hAnsi="Times New Roman" w:eastAsia="仿宋_GB2312" w:cs="Times New Roman"/>
                <w:bCs/>
                <w:color w:val="auto"/>
                <w:sz w:val="21"/>
                <w:szCs w:val="21"/>
                <w:lang w:eastAsia="zh-CN"/>
              </w:rPr>
              <w:t>项目负责人</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3FE0F58A">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项目负责人具有环境类相关专业高级技术职称的，得</w:t>
            </w:r>
            <w:r>
              <w:rPr>
                <w:rFonts w:hint="default" w:ascii="Times New Roman" w:hAnsi="Times New Roman" w:eastAsia="仿宋_GB2312" w:cs="Times New Roman"/>
                <w:color w:val="auto"/>
                <w:sz w:val="21"/>
                <w:szCs w:val="21"/>
                <w:lang w:val="en-US" w:eastAsia="zh-CN"/>
              </w:rPr>
              <w:t>10分；具备</w:t>
            </w:r>
            <w:r>
              <w:rPr>
                <w:rFonts w:hint="default" w:ascii="Times New Roman" w:hAnsi="Times New Roman" w:eastAsia="仿宋_GB2312" w:cs="Times New Roman"/>
                <w:color w:val="auto"/>
                <w:sz w:val="21"/>
                <w:szCs w:val="21"/>
                <w:lang w:eastAsia="zh-CN"/>
              </w:rPr>
              <w:t>环境类相关专业</w:t>
            </w:r>
            <w:r>
              <w:rPr>
                <w:rFonts w:hint="default" w:ascii="Times New Roman" w:hAnsi="Times New Roman" w:eastAsia="仿宋_GB2312" w:cs="Times New Roman"/>
                <w:color w:val="auto"/>
                <w:sz w:val="21"/>
                <w:szCs w:val="21"/>
                <w:lang w:val="en-US" w:eastAsia="zh-CN"/>
              </w:rPr>
              <w:t>中级技术职称的得8分；具备环境类相关专业初级技术职称的得5分。</w:t>
            </w:r>
          </w:p>
          <w:p w14:paraId="2CECB201">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提供相关证书及人员近3个月社保凭证复印件加盖投标人公章，不提供不得分。</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716B308C">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bCs/>
                <w:color w:val="auto"/>
                <w:sz w:val="21"/>
                <w:szCs w:val="21"/>
                <w:lang w:val="en-US" w:eastAsia="zh-CN"/>
              </w:rPr>
              <w:t>10分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499B22D8">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15D26E7D">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5831BC5D">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1814CE03">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r>
      <w:tr w14:paraId="22D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59E2CFAC">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eastAsia="zh-CN"/>
              </w:rPr>
            </w:pPr>
            <w:r>
              <w:rPr>
                <w:rFonts w:hint="default" w:ascii="Times New Roman" w:hAnsi="Times New Roman" w:eastAsia="仿宋_GB2312" w:cs="Times New Roman"/>
                <w:bCs/>
                <w:color w:val="auto"/>
                <w:sz w:val="21"/>
                <w:szCs w:val="21"/>
                <w:lang w:eastAsia="zh-CN"/>
              </w:rPr>
              <w:t>（四）</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2DE8592F">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Cs/>
                <w:color w:val="auto"/>
                <w:sz w:val="21"/>
                <w:szCs w:val="21"/>
              </w:rPr>
              <w:t>服务人员能力</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4938B8C3">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项目服务人员具有同类型项目工作经验或环境类相关专业初级及以上技术职称的，每提供一个得</w:t>
            </w:r>
            <w:r>
              <w:rPr>
                <w:rFonts w:hint="default" w:ascii="Times New Roman" w:hAnsi="Times New Roman" w:eastAsia="仿宋_GB2312" w:cs="Times New Roman"/>
                <w:color w:val="auto"/>
                <w:sz w:val="21"/>
                <w:szCs w:val="21"/>
                <w:lang w:val="en-US" w:eastAsia="zh-CN"/>
              </w:rPr>
              <w:t>3</w:t>
            </w:r>
            <w:r>
              <w:rPr>
                <w:rFonts w:hint="default" w:ascii="Times New Roman" w:hAnsi="Times New Roman" w:eastAsia="仿宋_GB2312" w:cs="Times New Roman"/>
                <w:color w:val="auto"/>
                <w:sz w:val="21"/>
                <w:szCs w:val="21"/>
                <w:lang w:eastAsia="zh-CN"/>
              </w:rPr>
              <w:t>分，</w:t>
            </w:r>
            <w:r>
              <w:rPr>
                <w:rFonts w:hint="default" w:ascii="Times New Roman" w:hAnsi="Times New Roman" w:eastAsia="仿宋_GB2312" w:cs="Times New Roman"/>
                <w:color w:val="auto"/>
                <w:sz w:val="21"/>
                <w:szCs w:val="21"/>
                <w:lang w:val="en-US" w:eastAsia="zh-CN"/>
              </w:rPr>
              <w:t>本项满分15分；</w:t>
            </w:r>
          </w:p>
          <w:p w14:paraId="783BB1BA">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提供服务人员工作履历情况或相关证书及人员近3个月社保凭证复印件加盖投标人公章，不提供不得分。</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3DDAC512">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15</w:t>
            </w:r>
            <w:r>
              <w:rPr>
                <w:rFonts w:hint="default" w:ascii="Times New Roman" w:hAnsi="Times New Roman" w:eastAsia="仿宋_GB2312" w:cs="Times New Roman"/>
                <w:bCs/>
                <w:color w:val="auto"/>
                <w:sz w:val="21"/>
                <w:szCs w:val="21"/>
              </w:rPr>
              <w:t>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3C5FC24A">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784365A0">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6298F113">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281B8282">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r>
      <w:tr w14:paraId="702A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236" w:type="pct"/>
            <w:gridSpan w:val="3"/>
            <w:tcBorders>
              <w:top w:val="single" w:color="auto" w:sz="4" w:space="0"/>
              <w:left w:val="single" w:color="auto" w:sz="4" w:space="0"/>
              <w:bottom w:val="single" w:color="auto" w:sz="4" w:space="0"/>
              <w:right w:val="single" w:color="auto" w:sz="4" w:space="0"/>
            </w:tcBorders>
            <w:noWrap w:val="0"/>
            <w:vAlign w:val="center"/>
          </w:tcPr>
          <w:p w14:paraId="03876086">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b/>
                <w:sz w:val="21"/>
                <w:szCs w:val="21"/>
              </w:rPr>
              <w:t>（</w:t>
            </w:r>
            <w:r>
              <w:rPr>
                <w:rFonts w:hint="default" w:ascii="Times New Roman" w:hAnsi="Times New Roman" w:eastAsia="仿宋_GB2312" w:cs="Times New Roman"/>
                <w:b/>
                <w:sz w:val="21"/>
                <w:szCs w:val="21"/>
                <w:lang w:eastAsia="zh-CN"/>
              </w:rPr>
              <w:t>三</w:t>
            </w:r>
            <w:r>
              <w:rPr>
                <w:rFonts w:hint="default" w:ascii="Times New Roman" w:hAnsi="Times New Roman" w:eastAsia="仿宋_GB2312" w:cs="Times New Roman"/>
                <w:b/>
                <w:sz w:val="21"/>
                <w:szCs w:val="21"/>
              </w:rPr>
              <w:t>）价格部分（15分）</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5BC28E2E">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82" w:type="pct"/>
            <w:tcBorders>
              <w:top w:val="single" w:color="auto" w:sz="4" w:space="0"/>
              <w:left w:val="single" w:color="auto" w:sz="4" w:space="0"/>
              <w:bottom w:val="single" w:color="auto" w:sz="4" w:space="0"/>
              <w:right w:val="single" w:color="auto" w:sz="4" w:space="0"/>
            </w:tcBorders>
            <w:noWrap w:val="0"/>
            <w:vAlign w:val="center"/>
          </w:tcPr>
          <w:p w14:paraId="14496284">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653ADCB9">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5759B01B">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590BC48A">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p>
        </w:tc>
      </w:tr>
      <w:tr w14:paraId="0AB5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0D895CE5">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4"/>
                <w:szCs w:val="24"/>
                <w:lang w:eastAsia="zh-CN"/>
              </w:rPr>
              <w:t>序号</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22444732">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sz w:val="24"/>
                <w:szCs w:val="24"/>
                <w:lang w:eastAsia="zh-CN"/>
              </w:rPr>
              <w:t>评审因素</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1FF5D44E">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sz w:val="24"/>
                <w:szCs w:val="24"/>
              </w:rPr>
              <w:t>评审内容</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784503A7">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sz w:val="24"/>
                <w:szCs w:val="24"/>
              </w:rPr>
              <w:t>分值</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4B32FF74">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1（得分）</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69EEB5D0">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2（得分）</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2758EF35">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val="en-US" w:eastAsia="zh-CN"/>
              </w:rPr>
              <w:t>3（得分）</w:t>
            </w:r>
          </w:p>
        </w:tc>
        <w:tc>
          <w:tcPr>
            <w:tcW w:w="324" w:type="pct"/>
            <w:tcBorders>
              <w:top w:val="single" w:color="auto" w:sz="4" w:space="0"/>
              <w:left w:val="single" w:color="auto" w:sz="4" w:space="0"/>
              <w:bottom w:val="single" w:color="auto" w:sz="4" w:space="0"/>
              <w:right w:val="single" w:color="auto" w:sz="4" w:space="0"/>
            </w:tcBorders>
            <w:noWrap w:val="0"/>
            <w:vAlign w:val="center"/>
          </w:tcPr>
          <w:p w14:paraId="4D3C79EE">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备注</w:t>
            </w:r>
          </w:p>
        </w:tc>
      </w:tr>
      <w:tr w14:paraId="38E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14:paraId="19DE5666">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lang w:eastAsia="zh-CN"/>
              </w:rPr>
              <w:t>（一）</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73BAE681">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sz w:val="21"/>
                <w:szCs w:val="21"/>
              </w:rPr>
              <w:t>报价</w:t>
            </w:r>
          </w:p>
        </w:tc>
        <w:tc>
          <w:tcPr>
            <w:tcW w:w="2448" w:type="pct"/>
            <w:tcBorders>
              <w:top w:val="single" w:color="auto" w:sz="4" w:space="0"/>
              <w:left w:val="single" w:color="auto" w:sz="4" w:space="0"/>
              <w:bottom w:val="single" w:color="auto" w:sz="4" w:space="0"/>
              <w:right w:val="single" w:color="auto" w:sz="4" w:space="0"/>
            </w:tcBorders>
            <w:noWrap w:val="0"/>
            <w:vAlign w:val="center"/>
          </w:tcPr>
          <w:p w14:paraId="09EBCF95">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sz w:val="21"/>
                <w:szCs w:val="21"/>
                <w:lang w:eastAsia="zh-CN"/>
              </w:rPr>
              <w:t>价格分采用低价优先法计算，即满足采购需求且报价最低的为基准价，该项价格得分为满分。其他供应商的价格得分统一按照下列公式计算：供应商价格得分=（基准价／供应商报价）×</w:t>
            </w:r>
            <w:r>
              <w:rPr>
                <w:rFonts w:hint="default" w:ascii="Times New Roman" w:hAnsi="Times New Roman" w:eastAsia="仿宋_GB2312" w:cs="Times New Roman"/>
                <w:sz w:val="21"/>
                <w:szCs w:val="21"/>
                <w:lang w:val="en-US" w:eastAsia="zh-CN"/>
              </w:rPr>
              <w:t>15</w:t>
            </w:r>
            <w:r>
              <w:rPr>
                <w:rFonts w:hint="default" w:ascii="Times New Roman" w:hAnsi="Times New Roman" w:eastAsia="仿宋_GB2312" w:cs="Times New Roman"/>
                <w:sz w:val="21"/>
                <w:szCs w:val="21"/>
                <w:lang w:eastAsia="zh-CN"/>
              </w:rPr>
              <w:t>，价格得分四舍五入后保留小数点后两位有效数字。（对符合规定的小型和微型企业（监狱企业、残疾人福利单位视同小型、微型企业）报价给予10%的价格扣除）</w:t>
            </w:r>
          </w:p>
        </w:tc>
        <w:tc>
          <w:tcPr>
            <w:tcW w:w="260" w:type="pct"/>
            <w:tcBorders>
              <w:top w:val="single" w:color="auto" w:sz="4" w:space="0"/>
              <w:left w:val="single" w:color="auto" w:sz="4" w:space="0"/>
              <w:bottom w:val="single" w:color="auto" w:sz="4" w:space="0"/>
              <w:right w:val="single" w:color="auto" w:sz="4" w:space="0"/>
            </w:tcBorders>
            <w:noWrap w:val="0"/>
            <w:vAlign w:val="center"/>
          </w:tcPr>
          <w:p w14:paraId="50BCE118">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bCs/>
                <w:color w:val="auto"/>
                <w:sz w:val="21"/>
                <w:szCs w:val="21"/>
                <w:lang w:val="en-US" w:eastAsia="zh-CN"/>
              </w:rPr>
              <w:t>15</w:t>
            </w:r>
            <w:r>
              <w:rPr>
                <w:rFonts w:hint="default" w:ascii="Times New Roman" w:hAnsi="Times New Roman" w:eastAsia="仿宋_GB2312" w:cs="Times New Roman"/>
                <w:bCs/>
                <w:color w:val="auto"/>
                <w:sz w:val="21"/>
                <w:szCs w:val="21"/>
              </w:rPr>
              <w:t>分</w:t>
            </w:r>
          </w:p>
        </w:tc>
        <w:tc>
          <w:tcPr>
            <w:tcW w:w="382" w:type="pct"/>
            <w:tcBorders>
              <w:top w:val="single" w:color="auto" w:sz="4" w:space="0"/>
              <w:left w:val="single" w:color="auto" w:sz="4" w:space="0"/>
              <w:bottom w:val="single" w:color="auto" w:sz="4" w:space="0"/>
              <w:right w:val="single" w:color="auto" w:sz="4" w:space="0"/>
            </w:tcBorders>
            <w:noWrap w:val="0"/>
            <w:vAlign w:val="center"/>
          </w:tcPr>
          <w:p w14:paraId="25F28A3E">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14:paraId="7F8E97A7">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val="en-US" w:eastAsia="zh-CN"/>
              </w:rPr>
            </w:pPr>
          </w:p>
        </w:tc>
        <w:tc>
          <w:tcPr>
            <w:tcW w:w="404" w:type="pct"/>
            <w:tcBorders>
              <w:top w:val="single" w:color="auto" w:sz="4" w:space="0"/>
              <w:left w:val="single" w:color="auto" w:sz="4" w:space="0"/>
              <w:bottom w:val="single" w:color="auto" w:sz="4" w:space="0"/>
              <w:right w:val="single" w:color="auto" w:sz="4" w:space="0"/>
            </w:tcBorders>
            <w:noWrap w:val="0"/>
            <w:vAlign w:val="center"/>
          </w:tcPr>
          <w:p w14:paraId="110C7FCE">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val="en-US" w:eastAsia="zh-CN"/>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0C7E0564">
            <w:pPr>
              <w:pStyle w:val="4"/>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bCs/>
                <w:color w:val="auto"/>
                <w:sz w:val="21"/>
                <w:szCs w:val="21"/>
                <w:lang w:val="en-US" w:eastAsia="zh-CN"/>
              </w:rPr>
            </w:pPr>
          </w:p>
        </w:tc>
      </w:tr>
    </w:tbl>
    <w:p w14:paraId="5C7D9566">
      <w:pPr>
        <w:spacing w:line="560" w:lineRule="exact"/>
        <w:jc w:val="center"/>
        <w:rPr>
          <w:rFonts w:hint="eastAsia" w:ascii="Times New Roman" w:hAnsi="Times New Roman" w:eastAsia="方正小标宋_GBK" w:cs="Times New Roman"/>
          <w:color w:val="auto"/>
          <w:sz w:val="36"/>
          <w:szCs w:val="36"/>
          <w:highlight w:val="none"/>
          <w:lang w:eastAsia="zh-CN"/>
        </w:rPr>
      </w:pPr>
    </w:p>
    <w:p w14:paraId="3CC652AD">
      <w:pPr>
        <w:rPr>
          <w:rFonts w:ascii="Times New Roman" w:hAnsi="Times New Roman"/>
        </w:rPr>
      </w:pPr>
    </w:p>
    <w:p w14:paraId="5408D920"/>
    <w:sectPr>
      <w:pgSz w:w="16838" w:h="11906" w:orient="landscape"/>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BCB8A"/>
    <w:multiLevelType w:val="singleLevel"/>
    <w:tmpl w:val="FA1BCB8A"/>
    <w:lvl w:ilvl="0" w:tentative="0">
      <w:start w:val="1"/>
      <w:numFmt w:val="decimal"/>
      <w:suff w:val="nothing"/>
      <w:lvlText w:val="（%1）"/>
      <w:lvlJc w:val="left"/>
    </w:lvl>
  </w:abstractNum>
  <w:abstractNum w:abstractNumId="1">
    <w:nsid w:val="756CEA1A"/>
    <w:multiLevelType w:val="singleLevel"/>
    <w:tmpl w:val="756CEA1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E5F97"/>
    <w:rsid w:val="3EDE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正文"/>
    <w:basedOn w:val="1"/>
    <w:qFormat/>
    <w:uiPriority w:val="0"/>
    <w:rPr>
      <w:rFonts w:ascii="仿宋" w:hAnsi="仿宋" w:eastAsia="仿宋"/>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2025-09-23T08:13:00Z</dcterms:created>
  <dc:creator>李耀明</dc:creator>
  <cp:lastModifiedBy>李耀明</cp:lastModifiedBy>
  <dcterms:modified xsi:type="dcterms:W3CDTF">2025-09-23T08:14:40Z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61113C6A33244B4FA1ED59ACADB83303_11</vt:lpwstr>
  </property>
  <property fmtid="{D5CDD505-2E9C-101B-9397-08002B2CF9AE}" pid="4" name="KSOTemplateDocerSaveRecord">
    <vt:lpwstr>eyJoZGlkIjoiMDM3NGU3YmU1ODYyYjdmN2E3ZWRhMmM0MjY3M2IwZTIiLCJ1c2VySWQiOiI2MzI0OTUzMjIifQ==</vt:lpwstr>
  </property>
</Properties>
</file>