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default"/>
          <w:highlight w:val="none"/>
          <w:lang w:val="en-US" w:eastAsia="zh-CN"/>
        </w:rPr>
      </w:pPr>
    </w:p>
    <w:p>
      <w:pPr>
        <w:spacing w:line="360" w:lineRule="auto"/>
        <w:jc w:val="center"/>
        <w:rPr>
          <w:rFonts w:hint="eastAsia" w:ascii="宋体" w:hAnsi="宋体"/>
          <w:color w:val="auto"/>
          <w:sz w:val="44"/>
          <w:szCs w:val="44"/>
          <w:highlight w:val="none"/>
        </w:rPr>
      </w:pPr>
    </w:p>
    <w:p>
      <w:pPr>
        <w:spacing w:line="360" w:lineRule="auto"/>
        <w:jc w:val="center"/>
        <w:rPr>
          <w:rFonts w:hint="eastAsia" w:ascii="宋体" w:hAnsi="宋体"/>
          <w:color w:val="auto"/>
          <w:sz w:val="44"/>
          <w:szCs w:val="44"/>
          <w:highlight w:val="none"/>
        </w:rPr>
      </w:pPr>
    </w:p>
    <w:p>
      <w:pPr>
        <w:jc w:val="center"/>
        <w:rPr>
          <w:rFonts w:hint="eastAsia" w:ascii="方正公文小标宋" w:hAnsi="方正公文小标宋" w:eastAsia="方正公文小标宋" w:cs="方正公文小标宋"/>
          <w:color w:val="auto"/>
          <w:sz w:val="70"/>
          <w:szCs w:val="70"/>
          <w:highlight w:val="none"/>
        </w:rPr>
      </w:pPr>
      <w:r>
        <w:rPr>
          <w:rFonts w:hint="eastAsia" w:ascii="方正公文小标宋" w:hAnsi="方正公文小标宋" w:eastAsia="方正公文小标宋" w:cs="方正公文小标宋"/>
          <w:color w:val="auto"/>
          <w:sz w:val="70"/>
          <w:szCs w:val="70"/>
          <w:highlight w:val="none"/>
        </w:rPr>
        <w:t>江门市房屋建筑和市政工程</w:t>
      </w:r>
    </w:p>
    <w:p>
      <w:pPr>
        <w:jc w:val="center"/>
        <w:rPr>
          <w:rFonts w:hint="eastAsia" w:ascii="方正公文小标宋" w:hAnsi="方正公文小标宋" w:eastAsia="方正公文小标宋" w:cs="方正公文小标宋"/>
          <w:color w:val="auto"/>
          <w:sz w:val="70"/>
          <w:szCs w:val="70"/>
          <w:highlight w:val="none"/>
        </w:rPr>
      </w:pPr>
      <w:r>
        <w:rPr>
          <w:rFonts w:hint="eastAsia" w:ascii="方正公文小标宋" w:hAnsi="方正公文小标宋" w:eastAsia="方正公文小标宋" w:cs="方正公文小标宋"/>
          <w:color w:val="auto"/>
          <w:sz w:val="70"/>
          <w:szCs w:val="70"/>
          <w:highlight w:val="none"/>
        </w:rPr>
        <w:t>标准施工电子招标文件</w:t>
      </w:r>
    </w:p>
    <w:p>
      <w:pPr>
        <w:spacing w:before="240" w:beforeLines="100"/>
        <w:jc w:val="center"/>
        <w:rPr>
          <w:rFonts w:hint="eastAsia" w:ascii="方正公文小标宋" w:hAnsi="方正公文小标宋" w:eastAsia="方正公文小标宋" w:cs="方正公文小标宋"/>
          <w:color w:val="auto"/>
          <w:sz w:val="40"/>
          <w:szCs w:val="40"/>
          <w:highlight w:val="none"/>
        </w:rPr>
      </w:pPr>
      <w:r>
        <w:rPr>
          <w:rFonts w:hint="eastAsia" w:ascii="方正公文小标宋" w:hAnsi="方正公文小标宋" w:eastAsia="方正公文小标宋" w:cs="方正公文小标宋"/>
          <w:color w:val="auto"/>
          <w:sz w:val="40"/>
          <w:szCs w:val="40"/>
          <w:highlight w:val="none"/>
        </w:rPr>
        <w:t>应用示范文本</w:t>
      </w:r>
      <w:r>
        <w:rPr>
          <w:rFonts w:hint="eastAsia" w:ascii="方正公文小标宋" w:hAnsi="方正公文小标宋" w:eastAsia="方正公文小标宋" w:cs="方正公文小标宋"/>
          <w:bCs/>
          <w:color w:val="auto"/>
          <w:sz w:val="40"/>
          <w:szCs w:val="40"/>
          <w:highlight w:val="none"/>
        </w:rPr>
        <w:t>（202</w:t>
      </w:r>
      <w:r>
        <w:rPr>
          <w:rFonts w:hint="eastAsia" w:ascii="方正公文小标宋" w:hAnsi="方正公文小标宋" w:eastAsia="方正公文小标宋" w:cs="方正公文小标宋"/>
          <w:bCs/>
          <w:color w:val="auto"/>
          <w:sz w:val="40"/>
          <w:szCs w:val="40"/>
          <w:highlight w:val="none"/>
          <w:lang w:val="en-US" w:eastAsia="zh-CN"/>
        </w:rPr>
        <w:t>5</w:t>
      </w:r>
      <w:r>
        <w:rPr>
          <w:rFonts w:hint="eastAsia" w:ascii="方正公文小标宋" w:hAnsi="方正公文小标宋" w:eastAsia="方正公文小标宋" w:cs="方正公文小标宋"/>
          <w:bCs/>
          <w:color w:val="auto"/>
          <w:sz w:val="40"/>
          <w:szCs w:val="40"/>
          <w:highlight w:val="none"/>
        </w:rPr>
        <w:t>版）</w:t>
      </w:r>
    </w:p>
    <w:p>
      <w:pPr>
        <w:spacing w:line="360" w:lineRule="auto"/>
        <w:rPr>
          <w:rFonts w:hint="eastAsia" w:ascii="宋体" w:hAnsi="宋体"/>
          <w:color w:val="auto"/>
          <w:szCs w:val="21"/>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pStyle w:val="41"/>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jc w:val="center"/>
        <w:rPr>
          <w:rFonts w:hint="eastAsia" w:ascii="方正小标宋简体" w:eastAsia="方正小标宋简体"/>
          <w:color w:val="auto"/>
          <w:sz w:val="44"/>
          <w:szCs w:val="44"/>
          <w:highlight w:val="none"/>
        </w:rPr>
      </w:pPr>
    </w:p>
    <w:p>
      <w:pPr>
        <w:spacing w:before="240" w:beforeLines="100"/>
        <w:jc w:val="center"/>
        <w:rPr>
          <w:rFonts w:hint="eastAsia" w:ascii="方正公文小标宋" w:hAnsi="方正公文小标宋" w:eastAsia="方正公文小标宋" w:cs="方正公文小标宋"/>
          <w:color w:val="auto"/>
          <w:sz w:val="36"/>
          <w:szCs w:val="36"/>
          <w:highlight w:val="none"/>
        </w:rPr>
      </w:pPr>
      <w:r>
        <w:rPr>
          <w:rFonts w:hint="eastAsia" w:ascii="方正公文小标宋" w:hAnsi="方正公文小标宋" w:eastAsia="方正公文小标宋" w:cs="方正公文小标宋"/>
          <w:color w:val="auto"/>
          <w:sz w:val="36"/>
          <w:szCs w:val="36"/>
          <w:highlight w:val="none"/>
        </w:rPr>
        <w:t>江门市住房和城乡建设局制</w:t>
      </w:r>
    </w:p>
    <w:p>
      <w:pPr>
        <w:jc w:val="center"/>
        <w:rPr>
          <w:rFonts w:hint="eastAsia" w:ascii="方正小标宋简体" w:eastAsia="方正小标宋简体"/>
          <w:color w:val="auto"/>
          <w:sz w:val="44"/>
          <w:szCs w:val="44"/>
          <w:highlight w:val="none"/>
        </w:rPr>
        <w:sectPr>
          <w:footerReference r:id="rId7" w:type="first"/>
          <w:headerReference r:id="rId3" w:type="default"/>
          <w:footerReference r:id="rId5" w:type="default"/>
          <w:headerReference r:id="rId4" w:type="even"/>
          <w:footerReference r:id="rId6" w:type="even"/>
          <w:pgSz w:w="11906" w:h="16838"/>
          <w:pgMar w:top="850" w:right="1134" w:bottom="850" w:left="1134" w:header="397" w:footer="397" w:gutter="0"/>
          <w:pgBorders w:offsetFrom="page">
            <w:top w:val="none" w:sz="0" w:space="0"/>
            <w:left w:val="none" w:sz="0" w:space="0"/>
            <w:bottom w:val="none" w:sz="0" w:space="0"/>
            <w:right w:val="none" w:sz="0" w:space="0"/>
          </w:pgBorders>
          <w:pgNumType w:fmt="decimal" w:start="0"/>
          <w:cols w:space="720" w:num="1"/>
          <w:titlePg/>
          <w:rtlGutter w:val="0"/>
          <w:docGrid w:linePitch="312" w:charSpace="0"/>
        </w:sectPr>
      </w:pPr>
    </w:p>
    <w:p>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文本使用说明</w:t>
      </w:r>
    </w:p>
    <w:p>
      <w:pPr>
        <w:ind w:firstLine="480" w:firstLineChars="200"/>
        <w:rPr>
          <w:rFonts w:hint="eastAsia" w:ascii="仿宋_GB2312" w:eastAsia="仿宋_GB2312"/>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一、本招标文件范本适用于江门市行政区域内依法必须进行招标的房屋建筑和市政基础设施工程（含园林绿化工程）及其配套工程施工项目电子招标。</w:t>
      </w:r>
    </w:p>
    <w:p>
      <w:pPr>
        <w:tabs>
          <w:tab w:val="left" w:pos="7560"/>
        </w:tabs>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范本用相同序号标示的章、节、条、款、项、目，供招标人和投标人选择使用；以空格标示的由招标人填写的内容，招标人应根据招标项目具体特点和实际需要具体化，确实没有需要填写的，在空格中用“/”标示。</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三、本范本中，“投标人须知”（投标人须知前附表和其他附表除外）、“评标办法”，应当不加修改地直接引用。</w:t>
      </w:r>
    </w:p>
    <w:p>
      <w:pPr>
        <w:ind w:firstLine="480" w:firstLineChars="200"/>
        <w:rPr>
          <w:rFonts w:hint="default" w:ascii="宋体" w:hAnsi="宋体" w:eastAsia="宋体" w:cs="宋体"/>
          <w:color w:val="auto"/>
          <w:sz w:val="24"/>
          <w:highlight w:val="none"/>
        </w:rPr>
      </w:pPr>
      <w:r>
        <w:rPr>
          <w:rFonts w:hint="eastAsia" w:ascii="宋体" w:hAnsi="宋体" w:eastAsia="宋体" w:cs="宋体"/>
          <w:color w:val="auto"/>
          <w:sz w:val="24"/>
          <w:highlight w:val="none"/>
        </w:rPr>
        <w:t>以空格标示的由招标人填空的内容、选择性内容和可补充内容，由招标人根据国家和地方有关法律法规的规定以及招标项目具体情况确定。“投标人须知”前附表用于进一步明确“投标人须知”正文中的未尽事宜，招标人应结合招标项目具体特点和实际需要编制和填写，但不得与“投标人须知”正文内容相抵触，否则与正文抵触的内容无效。</w:t>
      </w:r>
      <w:r>
        <w:rPr>
          <w:rFonts w:hint="eastAsia" w:ascii="宋体" w:hAnsi="宋体" w:eastAsia="宋体" w:cs="宋体"/>
          <w:color w:val="auto"/>
          <w:sz w:val="24"/>
          <w:highlight w:val="none"/>
          <w:lang w:eastAsia="zh-CN"/>
        </w:rPr>
        <w:t>“投标文件格式”为通用格式，招标人需结合招标文件前文加以补充修改。</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其他确实需要修改、删除的内容以及可补充的内容应全部写入《招标文件范本修改补充申报表》（附后）。</w:t>
      </w:r>
    </w:p>
    <w:p>
      <w:pPr>
        <w:ind w:firstLine="480" w:firstLineChars="200"/>
        <w:rPr>
          <w:rFonts w:hint="eastAsia" w:ascii="宋体" w:hAnsi="宋体" w:eastAsia="宋体" w:cs="宋体"/>
          <w:i w:val="0"/>
          <w:iCs w:val="0"/>
          <w:color w:val="auto"/>
          <w:sz w:val="24"/>
          <w:highlight w:val="none"/>
        </w:rPr>
      </w:pPr>
      <w:r>
        <w:rPr>
          <w:rFonts w:hint="eastAsia" w:ascii="宋体" w:hAnsi="宋体" w:eastAsia="宋体" w:cs="宋体"/>
          <w:color w:val="auto"/>
          <w:sz w:val="24"/>
          <w:highlight w:val="none"/>
        </w:rPr>
        <w:t>四、招标人应按照本范本的“投标文件否决性条款摘要”的格式，</w:t>
      </w:r>
      <w:r>
        <w:rPr>
          <w:rFonts w:hint="eastAsia" w:ascii="宋体" w:hAnsi="宋体" w:eastAsia="宋体" w:cs="宋体"/>
          <w:b/>
          <w:bCs/>
          <w:color w:val="auto"/>
          <w:sz w:val="24"/>
          <w:highlight w:val="none"/>
        </w:rPr>
        <w:t>将招标文件中提及的所有否决性条款（</w:t>
      </w:r>
      <w:r>
        <w:rPr>
          <w:rFonts w:hint="eastAsia" w:ascii="宋体" w:hAnsi="宋体" w:eastAsia="宋体" w:cs="宋体"/>
          <w:b/>
          <w:bCs/>
          <w:i w:val="0"/>
          <w:iCs w:val="0"/>
          <w:color w:val="auto"/>
          <w:sz w:val="24"/>
          <w:highlight w:val="none"/>
        </w:rPr>
        <w:t>投标人不满足其要求即导致其投标被拒绝或被否决的全部条款）予以集中列明。</w:t>
      </w:r>
    </w:p>
    <w:p>
      <w:pPr>
        <w:ind w:firstLine="480" w:firstLineChars="200"/>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五、招标人按照</w:t>
      </w:r>
      <w:r>
        <w:rPr>
          <w:rFonts w:hint="eastAsia" w:ascii="宋体" w:hAnsi="宋体" w:eastAsia="宋体" w:cs="宋体"/>
          <w:color w:val="auto"/>
          <w:sz w:val="24"/>
          <w:highlight w:val="none"/>
        </w:rPr>
        <w:t>本范本第一章的格式发布招标公告或发出投标邀请书后，将实际发布的招标公告或实际发出的投标邀请书编入招标文件中，作为投标邀请。其中，招标公告应同时注明发布所在的所有媒介名称。</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招标人按项目投标人资格要求，认真勾选招标公告“投标人资质情形的确定”的选择项。该选择项作为开标、评标环节推送信用等级的依据。如选择项与项目投标人资格要求不相符，由此引起的一切责任由招标人负责。</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七、本范本“评标办法”是由招标人依法组建的评标委员会对进入评标环节的正式投标人的投标文件进行资格（形式、响应）评审、商务评审和技术评审，形成评审结论，按照招标人须知前附表要求确定</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定标候选人名单，并出具报告。</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“评标办法”前附表应按规定要求列明全部评审因素和评审标准。</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技术评审（评分法）的各评分因素中设置的“优、良、中、差”分值应阶梯式等差设置，且分差应当不低于评分因素分项分值的10%。</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八、本范本“定标办法”是由评标委员会或招标人自行组建的定标委员会从定标候选人中择优确定中标候选人名单，并出具定标报告。</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九、本范本“合同条款及格式”由招标人根据招标项目具体特点和实际需要选用。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十、“工程量清单”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另册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由招标人根据工程量清单的国家标准、行业标准，以及招标项目具体特点和实际需要编制，并与“投标人须知”“合同条款”“技术标准和要求”“图纸”相衔接。</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十一、本范本“图纸”由招标人根据招标项目具体特点和实际需要编制，并与“投标人须知”“合同条款”“技术标准和要求”相衔接。</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本范本“技术标准和要求”由招标人根据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p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十三、</w:t>
      </w:r>
      <w:r>
        <w:rPr>
          <w:rFonts w:hint="eastAsia" w:ascii="宋体" w:hAnsi="宋体" w:eastAsia="宋体" w:cs="宋体"/>
          <w:b/>
          <w:bCs/>
          <w:color w:val="auto"/>
          <w:sz w:val="24"/>
          <w:highlight w:val="none"/>
          <w:lang w:eastAsia="zh-CN"/>
        </w:rPr>
        <w:t>招标人编制招标文件前，应注意提前发布招标计划，发布招标计划与招标公告的间隔时长应不少于</w:t>
      </w:r>
      <w:r>
        <w:rPr>
          <w:rFonts w:hint="eastAsia" w:ascii="宋体" w:hAnsi="宋体" w:eastAsia="宋体" w:cs="宋体"/>
          <w:b/>
          <w:bCs/>
          <w:color w:val="auto"/>
          <w:sz w:val="24"/>
          <w:highlight w:val="none"/>
          <w:lang w:val="en-US" w:eastAsia="zh-CN"/>
        </w:rPr>
        <w:t>30日。</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、投标人应当使用在广东省内依法设立的电子认证服务机构发放的电子签</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认证证书对资审文件、投标文件进行签章。投标人可以到上述电子认证服务机构在江门市公共资源交易中心设立的办理点办理电子签章。</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、投标人编制投标文件可使用</w:t>
      </w:r>
      <w:r>
        <w:rPr>
          <w:rFonts w:hint="eastAsia" w:ascii="宋体" w:hAnsi="宋体" w:eastAsia="宋体" w:cs="宋体"/>
          <w:color w:val="auto"/>
          <w:sz w:val="24"/>
          <w:highlight w:val="none"/>
          <w:lang w:eastAsia="zh-CN"/>
        </w:rPr>
        <w:t>广东省公共资源交易平台（江门市）</w:t>
      </w:r>
      <w:r>
        <w:rPr>
          <w:rFonts w:hint="eastAsia" w:ascii="宋体" w:hAnsi="宋体" w:eastAsia="宋体" w:cs="宋体"/>
          <w:color w:val="auto"/>
          <w:sz w:val="24"/>
          <w:highlight w:val="none"/>
        </w:rPr>
        <w:t>江门市公共资源发布的最新版本的投标文件</w:t>
      </w:r>
      <w:r>
        <w:rPr>
          <w:rFonts w:hint="eastAsia" w:ascii="宋体" w:hAnsi="宋体" w:eastAsia="宋体" w:cs="宋体"/>
          <w:color w:val="auto"/>
          <w:sz w:val="24"/>
          <w:highlight w:val="none"/>
          <w:lang w:eastAsia="zh-CN"/>
        </w:rPr>
        <w:t>制作工具</w:t>
      </w:r>
      <w:r>
        <w:rPr>
          <w:rFonts w:hint="eastAsia" w:ascii="宋体" w:hAnsi="宋体" w:eastAsia="宋体" w:cs="宋体"/>
          <w:color w:val="auto"/>
          <w:sz w:val="24"/>
          <w:highlight w:val="none"/>
        </w:rPr>
        <w:t>。</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、电子招投标操作流程详见</w:t>
      </w:r>
      <w:r>
        <w:rPr>
          <w:rFonts w:hint="eastAsia" w:ascii="宋体" w:hAnsi="宋体" w:eastAsia="宋体" w:cs="宋体"/>
          <w:color w:val="auto"/>
          <w:sz w:val="24"/>
          <w:highlight w:val="none"/>
          <w:lang w:eastAsia="zh-CN"/>
        </w:rPr>
        <w:t>广东省公共资源交易平台（江门市）</w:t>
      </w:r>
      <w:r>
        <w:rPr>
          <w:rFonts w:hint="eastAsia" w:ascii="宋体" w:hAnsi="宋体" w:eastAsia="宋体" w:cs="宋体"/>
          <w:color w:val="auto"/>
          <w:sz w:val="24"/>
          <w:highlight w:val="none"/>
        </w:rPr>
        <w:t>网站发布的最新版操作指引。</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、本范本将根据实际执行过程中出现的问题及时进行修改。各使用单位或个人对本范本的修改意见和建议，可向江门市住建局建筑市场监管科反映，联系电话：（0750）3831665。</w:t>
      </w:r>
    </w:p>
    <w:p>
      <w:pPr>
        <w:ind w:firstLine="480" w:firstLineChars="200"/>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附：招标文件范本修改补充申报表</w:t>
      </w:r>
    </w:p>
    <w:p>
      <w:pPr>
        <w:pStyle w:val="41"/>
        <w:ind w:firstLine="608"/>
        <w:rPr>
          <w:rFonts w:hint="eastAsia" w:ascii="仿宋_GB2312" w:eastAsia="仿宋_GB2312"/>
          <w:color w:val="auto"/>
          <w:sz w:val="28"/>
          <w:szCs w:val="28"/>
          <w:highlight w:val="none"/>
        </w:rPr>
      </w:pPr>
    </w:p>
    <w:p>
      <w:pPr>
        <w:spacing w:line="276" w:lineRule="auto"/>
        <w:jc w:val="center"/>
        <w:rPr>
          <w:rFonts w:hint="eastAsia" w:ascii="黑体" w:hAnsi="黑体" w:eastAsia="黑体" w:cs="仿宋"/>
          <w:color w:val="auto"/>
          <w:sz w:val="32"/>
          <w:szCs w:val="28"/>
          <w:highlight w:val="none"/>
        </w:rPr>
      </w:pPr>
      <w:r>
        <w:rPr>
          <w:rFonts w:hint="eastAsia" w:ascii="黑体" w:hAnsi="黑体" w:eastAsia="黑体" w:cs="仿宋"/>
          <w:color w:val="auto"/>
          <w:sz w:val="32"/>
          <w:szCs w:val="28"/>
          <w:highlight w:val="none"/>
        </w:rPr>
        <w:t>招标文件范本修改补充申报表</w:t>
      </w:r>
    </w:p>
    <w:p>
      <w:pPr>
        <w:spacing w:line="276" w:lineRule="auto"/>
        <w:jc w:val="center"/>
        <w:rPr>
          <w:rFonts w:hint="eastAsia" w:ascii="黑体" w:hAnsi="黑体" w:eastAsia="黑体" w:cs="仿宋"/>
          <w:color w:val="auto"/>
          <w:sz w:val="32"/>
          <w:szCs w:val="28"/>
          <w:highlight w:val="none"/>
        </w:rPr>
      </w:pPr>
    </w:p>
    <w:p>
      <w:pPr>
        <w:ind w:firstLine="485"/>
        <w:rPr>
          <w:rFonts w:hint="eastAsia"/>
          <w:color w:val="auto"/>
          <w:highlight w:val="none"/>
        </w:rPr>
      </w:pPr>
      <w:r>
        <w:rPr>
          <w:rFonts w:hint="eastAsia" w:ascii="宋体" w:hAnsi="宋体" w:eastAsia="宋体" w:cs="宋体"/>
          <w:color w:val="auto"/>
          <w:sz w:val="24"/>
          <w:highlight w:val="none"/>
        </w:rPr>
        <w:t>招标人（或招标代理机构）按照范本格式编制招标文件。如果修改，范本被删除的内容应标注删除线，新增内容应标注下划线。修改、删除、补充的内容请填在下表中，以便管理机构对招标人（或招标代理机构）作出的改动进行评估，避免因不恰当的改动而引起纠纷造成不良后果。与范本条款不同之处，均在本表中列明，并以现文为准，原文不再有效。</w:t>
      </w:r>
      <w:r>
        <w:rPr>
          <w:rFonts w:hint="eastAsia" w:ascii="宋体" w:hAnsi="宋体" w:eastAsia="宋体" w:cs="宋体"/>
          <w:b/>
          <w:color w:val="auto"/>
          <w:sz w:val="24"/>
          <w:highlight w:val="none"/>
        </w:rPr>
        <w:t>如未在本表中列明所有与范本条款不同之处，由此引起的一切责任由招标人负责。如未在本表中列明所有与范本条款不同之处，由此引起的一切责任由招标人负责。</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47"/>
        <w:gridCol w:w="2291"/>
        <w:gridCol w:w="2819"/>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1347"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章节、条目</w:t>
            </w:r>
          </w:p>
        </w:tc>
        <w:tc>
          <w:tcPr>
            <w:tcW w:w="2291"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范本原文</w:t>
            </w:r>
          </w:p>
        </w:tc>
        <w:tc>
          <w:tcPr>
            <w:tcW w:w="281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拟修改、删除、补充内容</w:t>
            </w:r>
          </w:p>
        </w:tc>
        <w:tc>
          <w:tcPr>
            <w:tcW w:w="200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修改原因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8" w:type="dxa"/>
            <w:noWrap w:val="0"/>
            <w:vAlign w:val="top"/>
          </w:tcPr>
          <w:p>
            <w:pPr>
              <w:rPr>
                <w:rFonts w:hint="eastAsia" w:ascii="宋体" w:hAnsi="宋体"/>
                <w:color w:val="auto"/>
                <w:highlight w:val="none"/>
              </w:rPr>
            </w:pPr>
          </w:p>
        </w:tc>
        <w:tc>
          <w:tcPr>
            <w:tcW w:w="1347" w:type="dxa"/>
            <w:noWrap w:val="0"/>
            <w:vAlign w:val="top"/>
          </w:tcPr>
          <w:p>
            <w:pPr>
              <w:rPr>
                <w:rFonts w:hint="eastAsia" w:ascii="宋体" w:hAnsi="宋体"/>
                <w:color w:val="auto"/>
                <w:highlight w:val="none"/>
              </w:rPr>
            </w:pPr>
          </w:p>
        </w:tc>
        <w:tc>
          <w:tcPr>
            <w:tcW w:w="2291" w:type="dxa"/>
            <w:noWrap w:val="0"/>
            <w:vAlign w:val="top"/>
          </w:tcPr>
          <w:p>
            <w:pPr>
              <w:rPr>
                <w:rFonts w:hint="eastAsia" w:ascii="宋体" w:hAnsi="宋体"/>
                <w:color w:val="auto"/>
                <w:highlight w:val="none"/>
              </w:rPr>
            </w:pPr>
          </w:p>
        </w:tc>
        <w:tc>
          <w:tcPr>
            <w:tcW w:w="2819" w:type="dxa"/>
            <w:noWrap w:val="0"/>
            <w:vAlign w:val="top"/>
          </w:tcPr>
          <w:p>
            <w:pPr>
              <w:rPr>
                <w:rFonts w:hint="eastAsia" w:ascii="宋体" w:hAnsi="宋体"/>
                <w:color w:val="auto"/>
                <w:highlight w:val="none"/>
              </w:rPr>
            </w:pPr>
          </w:p>
        </w:tc>
        <w:tc>
          <w:tcPr>
            <w:tcW w:w="2005"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dxa"/>
            <w:noWrap w:val="0"/>
            <w:vAlign w:val="top"/>
          </w:tcPr>
          <w:p>
            <w:pPr>
              <w:rPr>
                <w:rFonts w:hint="eastAsia" w:ascii="宋体" w:hAnsi="宋体"/>
                <w:color w:val="auto"/>
                <w:highlight w:val="none"/>
              </w:rPr>
            </w:pPr>
          </w:p>
        </w:tc>
        <w:tc>
          <w:tcPr>
            <w:tcW w:w="1347" w:type="dxa"/>
            <w:noWrap w:val="0"/>
            <w:vAlign w:val="top"/>
          </w:tcPr>
          <w:p>
            <w:pPr>
              <w:rPr>
                <w:rFonts w:hint="eastAsia" w:ascii="宋体" w:hAnsi="宋体"/>
                <w:color w:val="auto"/>
                <w:highlight w:val="none"/>
              </w:rPr>
            </w:pPr>
          </w:p>
        </w:tc>
        <w:tc>
          <w:tcPr>
            <w:tcW w:w="2291" w:type="dxa"/>
            <w:noWrap w:val="0"/>
            <w:vAlign w:val="top"/>
          </w:tcPr>
          <w:p>
            <w:pPr>
              <w:rPr>
                <w:rFonts w:hint="eastAsia" w:ascii="宋体" w:hAnsi="宋体"/>
                <w:color w:val="auto"/>
                <w:highlight w:val="none"/>
              </w:rPr>
            </w:pPr>
          </w:p>
        </w:tc>
        <w:tc>
          <w:tcPr>
            <w:tcW w:w="2819" w:type="dxa"/>
            <w:noWrap w:val="0"/>
            <w:vAlign w:val="top"/>
          </w:tcPr>
          <w:p>
            <w:pPr>
              <w:rPr>
                <w:rFonts w:hint="eastAsia" w:ascii="宋体" w:hAnsi="宋体"/>
                <w:color w:val="auto"/>
                <w:highlight w:val="none"/>
              </w:rPr>
            </w:pPr>
          </w:p>
        </w:tc>
        <w:tc>
          <w:tcPr>
            <w:tcW w:w="2005"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dxa"/>
            <w:noWrap w:val="0"/>
            <w:vAlign w:val="top"/>
          </w:tcPr>
          <w:p>
            <w:pPr>
              <w:rPr>
                <w:rFonts w:hint="eastAsia" w:ascii="宋体" w:hAnsi="宋体"/>
                <w:color w:val="auto"/>
                <w:highlight w:val="none"/>
              </w:rPr>
            </w:pPr>
          </w:p>
        </w:tc>
        <w:tc>
          <w:tcPr>
            <w:tcW w:w="1347" w:type="dxa"/>
            <w:noWrap w:val="0"/>
            <w:vAlign w:val="top"/>
          </w:tcPr>
          <w:p>
            <w:pPr>
              <w:rPr>
                <w:rFonts w:hint="eastAsia" w:ascii="宋体" w:hAnsi="宋体"/>
                <w:color w:val="auto"/>
                <w:highlight w:val="none"/>
              </w:rPr>
            </w:pPr>
          </w:p>
        </w:tc>
        <w:tc>
          <w:tcPr>
            <w:tcW w:w="2291" w:type="dxa"/>
            <w:noWrap w:val="0"/>
            <w:vAlign w:val="top"/>
          </w:tcPr>
          <w:p>
            <w:pPr>
              <w:rPr>
                <w:rFonts w:hint="eastAsia" w:ascii="宋体" w:hAnsi="宋体"/>
                <w:color w:val="auto"/>
                <w:highlight w:val="none"/>
              </w:rPr>
            </w:pPr>
          </w:p>
        </w:tc>
        <w:tc>
          <w:tcPr>
            <w:tcW w:w="2819" w:type="dxa"/>
            <w:noWrap w:val="0"/>
            <w:vAlign w:val="top"/>
          </w:tcPr>
          <w:p>
            <w:pPr>
              <w:rPr>
                <w:rFonts w:hint="eastAsia" w:ascii="宋体" w:hAnsi="宋体"/>
                <w:color w:val="auto"/>
                <w:highlight w:val="none"/>
              </w:rPr>
            </w:pPr>
          </w:p>
        </w:tc>
        <w:tc>
          <w:tcPr>
            <w:tcW w:w="2005"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dxa"/>
            <w:noWrap w:val="0"/>
            <w:vAlign w:val="top"/>
          </w:tcPr>
          <w:p>
            <w:pPr>
              <w:rPr>
                <w:rFonts w:hint="eastAsia" w:ascii="宋体" w:hAnsi="宋体"/>
                <w:color w:val="auto"/>
                <w:highlight w:val="none"/>
              </w:rPr>
            </w:pPr>
          </w:p>
        </w:tc>
        <w:tc>
          <w:tcPr>
            <w:tcW w:w="1347" w:type="dxa"/>
            <w:noWrap w:val="0"/>
            <w:vAlign w:val="top"/>
          </w:tcPr>
          <w:p>
            <w:pPr>
              <w:rPr>
                <w:rFonts w:hint="eastAsia" w:ascii="宋体" w:hAnsi="宋体"/>
                <w:color w:val="auto"/>
                <w:highlight w:val="none"/>
              </w:rPr>
            </w:pPr>
          </w:p>
        </w:tc>
        <w:tc>
          <w:tcPr>
            <w:tcW w:w="2291" w:type="dxa"/>
            <w:noWrap w:val="0"/>
            <w:vAlign w:val="top"/>
          </w:tcPr>
          <w:p>
            <w:pPr>
              <w:rPr>
                <w:rFonts w:hint="eastAsia" w:ascii="宋体" w:hAnsi="宋体"/>
                <w:color w:val="auto"/>
                <w:highlight w:val="none"/>
              </w:rPr>
            </w:pPr>
          </w:p>
        </w:tc>
        <w:tc>
          <w:tcPr>
            <w:tcW w:w="2819" w:type="dxa"/>
            <w:noWrap w:val="0"/>
            <w:vAlign w:val="top"/>
          </w:tcPr>
          <w:p>
            <w:pPr>
              <w:rPr>
                <w:rFonts w:hint="eastAsia" w:ascii="宋体" w:hAnsi="宋体"/>
                <w:color w:val="auto"/>
                <w:highlight w:val="none"/>
              </w:rPr>
            </w:pPr>
          </w:p>
        </w:tc>
        <w:tc>
          <w:tcPr>
            <w:tcW w:w="2005"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8" w:type="dxa"/>
            <w:noWrap w:val="0"/>
            <w:vAlign w:val="top"/>
          </w:tcPr>
          <w:p>
            <w:pPr>
              <w:rPr>
                <w:rFonts w:hint="eastAsia" w:ascii="宋体" w:hAnsi="宋体"/>
                <w:color w:val="auto"/>
                <w:highlight w:val="none"/>
              </w:rPr>
            </w:pPr>
          </w:p>
        </w:tc>
        <w:tc>
          <w:tcPr>
            <w:tcW w:w="1347" w:type="dxa"/>
            <w:noWrap w:val="0"/>
            <w:vAlign w:val="top"/>
          </w:tcPr>
          <w:p>
            <w:pPr>
              <w:rPr>
                <w:rFonts w:hint="eastAsia" w:ascii="宋体" w:hAnsi="宋体"/>
                <w:color w:val="auto"/>
                <w:highlight w:val="none"/>
              </w:rPr>
            </w:pPr>
          </w:p>
        </w:tc>
        <w:tc>
          <w:tcPr>
            <w:tcW w:w="2291" w:type="dxa"/>
            <w:noWrap w:val="0"/>
            <w:vAlign w:val="top"/>
          </w:tcPr>
          <w:p>
            <w:pPr>
              <w:rPr>
                <w:rFonts w:hint="eastAsia" w:ascii="宋体" w:hAnsi="宋体"/>
                <w:color w:val="auto"/>
                <w:highlight w:val="none"/>
              </w:rPr>
            </w:pPr>
          </w:p>
        </w:tc>
        <w:tc>
          <w:tcPr>
            <w:tcW w:w="2819" w:type="dxa"/>
            <w:noWrap w:val="0"/>
            <w:vAlign w:val="top"/>
          </w:tcPr>
          <w:p>
            <w:pPr>
              <w:rPr>
                <w:rFonts w:hint="eastAsia" w:ascii="宋体" w:hAnsi="宋体"/>
                <w:color w:val="auto"/>
                <w:highlight w:val="none"/>
              </w:rPr>
            </w:pPr>
          </w:p>
        </w:tc>
        <w:tc>
          <w:tcPr>
            <w:tcW w:w="2005" w:type="dxa"/>
            <w:noWrap w:val="0"/>
            <w:vAlign w:val="top"/>
          </w:tcPr>
          <w:p>
            <w:pPr>
              <w:rPr>
                <w:rFonts w:hint="eastAsia" w:ascii="宋体" w:hAnsi="宋体"/>
                <w:color w:val="auto"/>
                <w:highlight w:val="none"/>
              </w:rPr>
            </w:pPr>
          </w:p>
        </w:tc>
      </w:tr>
    </w:tbl>
    <w:p>
      <w:pPr>
        <w:spacing w:before="240" w:beforeLines="100" w:line="360" w:lineRule="auto"/>
        <w:ind w:left="6525" w:hanging="6525" w:hangingChars="1250"/>
        <w:jc w:val="left"/>
        <w:rPr>
          <w:rFonts w:hint="eastAsia" w:ascii="宋体" w:hAnsi="宋体"/>
          <w:b/>
          <w:color w:val="auto"/>
          <w:sz w:val="52"/>
          <w:szCs w:val="52"/>
          <w:highlight w:val="none"/>
        </w:rPr>
      </w:pPr>
      <w:r>
        <w:rPr>
          <w:rFonts w:hint="eastAsia" w:ascii="宋体" w:hAnsi="宋体"/>
          <w:b/>
          <w:color w:val="auto"/>
          <w:sz w:val="52"/>
          <w:szCs w:val="52"/>
          <w:highlight w:val="none"/>
        </w:rPr>
        <w:br w:type="page"/>
      </w:r>
    </w:p>
    <w:p>
      <w:pPr>
        <w:spacing w:before="240" w:beforeLines="100" w:line="360" w:lineRule="auto"/>
        <w:ind w:left="6000" w:hanging="6000" w:hangingChars="1250"/>
        <w:jc w:val="left"/>
        <w:rPr>
          <w:rFonts w:hint="eastAsia" w:ascii="黑体" w:eastAsia="黑体"/>
          <w:color w:val="auto"/>
          <w:sz w:val="28"/>
          <w:szCs w:val="28"/>
          <w:highlight w:val="none"/>
          <w:u w:val="single"/>
        </w:rPr>
      </w:pPr>
      <w:r>
        <w:rPr>
          <w:rFonts w:hint="eastAsia" w:ascii="黑体" w:eastAsia="黑体"/>
          <w:color w:val="auto"/>
          <w:sz w:val="48"/>
          <w:szCs w:val="72"/>
          <w:highlight w:val="none"/>
          <w:u w:val="single"/>
        </w:rPr>
        <w:t xml:space="preserve">                </w:t>
      </w:r>
      <w:r>
        <w:rPr>
          <w:rFonts w:hint="eastAsia" w:ascii="仿宋_GB2312" w:eastAsia="仿宋_GB2312"/>
          <w:color w:val="auto"/>
          <w:sz w:val="40"/>
          <w:szCs w:val="72"/>
          <w:highlight w:val="none"/>
          <w:u w:val="single"/>
        </w:rPr>
        <w:t>（项目名称）</w:t>
      </w:r>
      <w:r>
        <w:rPr>
          <w:rFonts w:hint="eastAsia" w:ascii="黑体" w:eastAsia="黑体"/>
          <w:color w:val="auto"/>
          <w:sz w:val="48"/>
          <w:szCs w:val="72"/>
          <w:highlight w:val="none"/>
          <w:u w:val="single"/>
        </w:rPr>
        <w:t xml:space="preserve">              </w:t>
      </w:r>
      <w:r>
        <w:rPr>
          <w:rFonts w:hint="eastAsia" w:ascii="宋体" w:hAnsi="宋体"/>
          <w:color w:val="auto"/>
          <w:sz w:val="22"/>
          <w:szCs w:val="28"/>
          <w:highlight w:val="none"/>
        </w:rPr>
        <w:t xml:space="preserve"> </w:t>
      </w:r>
      <w:r>
        <w:rPr>
          <w:rFonts w:hint="eastAsia" w:ascii="仿宋_GB2312" w:eastAsia="仿宋_GB2312"/>
          <w:color w:val="auto"/>
          <w:sz w:val="40"/>
          <w:szCs w:val="72"/>
          <w:highlight w:val="none"/>
        </w:rPr>
        <w:t xml:space="preserve"> </w:t>
      </w:r>
    </w:p>
    <w:p>
      <w:pPr>
        <w:spacing w:before="240" w:beforeLines="100" w:line="360" w:lineRule="auto"/>
        <w:ind w:left="3360" w:hanging="3360" w:hangingChars="700"/>
        <w:jc w:val="center"/>
        <w:rPr>
          <w:rStyle w:val="50"/>
          <w:rFonts w:hint="eastAsia" w:ascii="黑体"/>
          <w:color w:val="auto"/>
          <w:sz w:val="48"/>
          <w:szCs w:val="72"/>
          <w:highlight w:val="none"/>
        </w:rPr>
      </w:pPr>
      <w:r>
        <w:rPr>
          <w:rFonts w:hint="eastAsia" w:ascii="黑体" w:eastAsia="黑体"/>
          <w:color w:val="auto"/>
          <w:sz w:val="48"/>
          <w:szCs w:val="72"/>
          <w:highlight w:val="none"/>
        </w:rPr>
        <w:t>施工招标文件</w:t>
      </w:r>
    </w:p>
    <w:p>
      <w:pPr>
        <w:spacing w:line="500" w:lineRule="exact"/>
        <w:jc w:val="center"/>
        <w:rPr>
          <w:rFonts w:hint="eastAsia" w:ascii="宋体" w:hAnsi="宋体"/>
          <w:b/>
          <w:color w:val="auto"/>
          <w:sz w:val="52"/>
          <w:szCs w:val="5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ind w:firstLine="437"/>
        <w:rPr>
          <w:rFonts w:hint="eastAsia" w:ascii="宋体" w:hAnsi="宋体"/>
          <w:color w:val="auto"/>
          <w:sz w:val="32"/>
          <w:szCs w:val="32"/>
          <w:highlight w:val="none"/>
        </w:rPr>
      </w:pPr>
    </w:p>
    <w:p>
      <w:pPr>
        <w:spacing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招 标 人：</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（盖单位</w:t>
      </w:r>
      <w:r>
        <w:rPr>
          <w:rFonts w:hint="eastAsia" w:ascii="宋体" w:hAnsi="宋体"/>
          <w:color w:val="auto"/>
          <w:sz w:val="32"/>
          <w:szCs w:val="32"/>
          <w:highlight w:val="none"/>
          <w:lang w:eastAsia="zh-CN"/>
        </w:rPr>
        <w:t>公</w:t>
      </w:r>
      <w:r>
        <w:rPr>
          <w:rFonts w:hint="eastAsia" w:ascii="宋体" w:hAnsi="宋体"/>
          <w:color w:val="auto"/>
          <w:sz w:val="32"/>
          <w:szCs w:val="32"/>
          <w:highlight w:val="none"/>
        </w:rPr>
        <w:t>章）</w:t>
      </w:r>
    </w:p>
    <w:p>
      <w:pPr>
        <w:spacing w:line="360" w:lineRule="auto"/>
        <w:ind w:firstLine="437"/>
        <w:jc w:val="center"/>
        <w:rPr>
          <w:rFonts w:hint="eastAsia" w:ascii="宋体" w:hAnsi="宋体"/>
          <w:color w:val="auto"/>
          <w:sz w:val="32"/>
          <w:szCs w:val="32"/>
          <w:highlight w:val="none"/>
        </w:rPr>
      </w:pPr>
    </w:p>
    <w:p>
      <w:pPr>
        <w:spacing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招标代理机构：</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（盖单位</w:t>
      </w:r>
      <w:r>
        <w:rPr>
          <w:rFonts w:hint="eastAsia" w:ascii="宋体" w:hAnsi="宋体"/>
          <w:color w:val="auto"/>
          <w:sz w:val="32"/>
          <w:szCs w:val="32"/>
          <w:highlight w:val="none"/>
          <w:lang w:eastAsia="zh-CN"/>
        </w:rPr>
        <w:t>公</w:t>
      </w:r>
      <w:r>
        <w:rPr>
          <w:rFonts w:hint="eastAsia" w:ascii="宋体" w:hAnsi="宋体"/>
          <w:color w:val="auto"/>
          <w:sz w:val="32"/>
          <w:szCs w:val="32"/>
          <w:highlight w:val="none"/>
        </w:rPr>
        <w:t>章）</w:t>
      </w:r>
    </w:p>
    <w:p>
      <w:pPr>
        <w:spacing w:line="360" w:lineRule="auto"/>
        <w:ind w:firstLine="437"/>
        <w:jc w:val="center"/>
        <w:rPr>
          <w:rFonts w:hint="eastAsia" w:ascii="宋体" w:hAnsi="宋体"/>
          <w:color w:val="auto"/>
          <w:sz w:val="32"/>
          <w:szCs w:val="32"/>
          <w:highlight w:val="none"/>
          <w:u w:val="single"/>
        </w:rPr>
      </w:pPr>
    </w:p>
    <w:p>
      <w:pPr>
        <w:spacing w:line="500" w:lineRule="exact"/>
        <w:jc w:val="center"/>
        <w:rPr>
          <w:rFonts w:hint="eastAsia" w:ascii="方正小标宋简体" w:eastAsia="方正小标宋简体"/>
          <w:color w:val="auto"/>
          <w:sz w:val="44"/>
          <w:szCs w:val="44"/>
          <w:highlight w:val="none"/>
        </w:rPr>
      </w:pPr>
      <w:r>
        <w:rPr>
          <w:rFonts w:hint="eastAsia" w:ascii="宋体" w:hAnsi="宋体"/>
          <w:color w:val="auto"/>
          <w:sz w:val="32"/>
          <w:szCs w:val="32"/>
          <w:highlight w:val="none"/>
        </w:rPr>
        <w:t>日       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pPr>
        <w:spacing w:after="360" w:afterLines="150" w:line="360" w:lineRule="auto"/>
        <w:ind w:firstLine="437"/>
        <w:jc w:val="center"/>
        <w:rPr>
          <w:rFonts w:hint="eastAsia" w:ascii="宋体" w:hAnsi="宋体"/>
          <w:b/>
          <w:color w:val="auto"/>
          <w:sz w:val="52"/>
          <w:szCs w:val="52"/>
          <w:highlight w:val="none"/>
        </w:rPr>
      </w:pPr>
      <w:r>
        <w:rPr>
          <w:rFonts w:ascii="宋体" w:hAnsi="宋体"/>
          <w:b/>
          <w:color w:val="auto"/>
          <w:sz w:val="52"/>
          <w:szCs w:val="52"/>
          <w:highlight w:val="none"/>
        </w:rPr>
        <w:br w:type="page"/>
      </w:r>
      <w:r>
        <w:rPr>
          <w:rFonts w:hint="eastAsia" w:ascii="宋体" w:hAnsi="宋体"/>
          <w:b/>
          <w:color w:val="auto"/>
          <w:sz w:val="52"/>
          <w:szCs w:val="52"/>
          <w:highlight w:val="none"/>
        </w:rPr>
        <w:t>目  录</w:t>
      </w:r>
    </w:p>
    <w:p>
      <w:pPr>
        <w:pStyle w:val="29"/>
        <w:tabs>
          <w:tab w:val="right" w:leader="dot" w:pos="9638"/>
        </w:tabs>
      </w:pPr>
      <w:r>
        <w:rPr>
          <w:rFonts w:eastAsia="黑体"/>
          <w:b w:val="0"/>
          <w:bCs w:val="0"/>
          <w:caps w:val="0"/>
          <w:color w:val="auto"/>
          <w:highlight w:val="none"/>
        </w:rPr>
        <w:fldChar w:fldCharType="begin"/>
      </w:r>
      <w:r>
        <w:rPr>
          <w:rFonts w:eastAsia="黑体"/>
          <w:b w:val="0"/>
          <w:bCs w:val="0"/>
          <w:caps w:val="0"/>
          <w:color w:val="auto"/>
          <w:highlight w:val="none"/>
        </w:rPr>
        <w:instrText xml:space="preserve"> TOC \o "1-1" \h \z \u </w:instrText>
      </w:r>
      <w:r>
        <w:rPr>
          <w:rFonts w:eastAsia="黑体"/>
          <w:b w:val="0"/>
          <w:bCs w:val="0"/>
          <w:caps w:val="0"/>
          <w:color w:val="auto"/>
          <w:highlight w:val="none"/>
        </w:rPr>
        <w:fldChar w:fldCharType="separate"/>
      </w:r>
      <w:r>
        <w:rPr>
          <w:rFonts w:eastAsia="黑体"/>
          <w:bCs w:val="0"/>
          <w:caps w:val="0"/>
          <w:color w:val="auto"/>
          <w:highlight w:val="none"/>
        </w:rPr>
        <w:fldChar w:fldCharType="begin"/>
      </w:r>
      <w:r>
        <w:rPr>
          <w:rFonts w:eastAsia="黑体"/>
          <w:bCs w:val="0"/>
          <w:caps w:val="0"/>
          <w:highlight w:val="none"/>
        </w:rPr>
        <w:instrText xml:space="preserve"> HYPERLINK \l _Toc1410045750 </w:instrText>
      </w:r>
      <w:r>
        <w:rPr>
          <w:rFonts w:eastAsia="黑体"/>
          <w:bCs w:val="0"/>
          <w:caps w:val="0"/>
          <w:highlight w:val="none"/>
        </w:rPr>
        <w:fldChar w:fldCharType="separate"/>
      </w:r>
      <w:r>
        <w:rPr>
          <w:rFonts w:hint="eastAsia"/>
          <w:szCs w:val="36"/>
          <w:highlight w:val="none"/>
        </w:rPr>
        <w:t>否决性条款摘要</w:t>
      </w:r>
      <w:r>
        <w:tab/>
      </w:r>
      <w:r>
        <w:fldChar w:fldCharType="begin"/>
      </w:r>
      <w:r>
        <w:instrText xml:space="preserve"> PAGEREF _Toc1410045750 \h </w:instrText>
      </w:r>
      <w:r>
        <w:fldChar w:fldCharType="separate"/>
      </w:r>
      <w:r>
        <w:t>5</w:t>
      </w:r>
      <w:r>
        <w:fldChar w:fldCharType="end"/>
      </w:r>
      <w:r>
        <w:rPr>
          <w:rFonts w:eastAsia="黑体"/>
          <w:bCs w:val="0"/>
          <w:caps w:val="0"/>
          <w:color w:val="auto"/>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_Toc17544028 </w:instrText>
      </w:r>
      <w:r>
        <w:rPr>
          <w:rFonts w:eastAsia="黑体"/>
          <w:bCs w:val="0"/>
          <w:caps w:val="0"/>
          <w:kern w:val="0"/>
          <w:highlight w:val="none"/>
        </w:rPr>
        <w:fldChar w:fldCharType="separate"/>
      </w:r>
      <w:r>
        <w:rPr>
          <w:rFonts w:hint="eastAsia" w:ascii="宋体" w:hAnsi="宋体" w:eastAsia="宋体" w:cs="Times New Roman"/>
          <w:bCs/>
          <w:kern w:val="2"/>
          <w:szCs w:val="36"/>
          <w:highlight w:val="none"/>
          <w:lang w:val="en-US" w:eastAsia="zh-CN" w:bidi="ar-SA"/>
        </w:rPr>
        <w:t>第一章  招标公告</w:t>
      </w:r>
      <w:r>
        <w:tab/>
      </w:r>
      <w:r>
        <w:fldChar w:fldCharType="begin"/>
      </w:r>
      <w:r>
        <w:instrText xml:space="preserve"> PAGEREF _Toc17544028 \h </w:instrText>
      </w:r>
      <w:r>
        <w:fldChar w:fldCharType="separate"/>
      </w:r>
      <w:r>
        <w:t>8</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_Toc1364328233 </w:instrText>
      </w:r>
      <w:r>
        <w:rPr>
          <w:rFonts w:eastAsia="黑体"/>
          <w:bCs w:val="0"/>
          <w:caps w:val="0"/>
          <w:kern w:val="0"/>
          <w:highlight w:val="none"/>
        </w:rPr>
        <w:fldChar w:fldCharType="separate"/>
      </w:r>
      <w:r>
        <w:rPr>
          <w:rFonts w:hint="eastAsia" w:ascii="宋体" w:hAnsi="宋体" w:eastAsia="宋体"/>
          <w:szCs w:val="36"/>
          <w:highlight w:val="none"/>
        </w:rPr>
        <w:t>第二章  投标人须知</w:t>
      </w:r>
      <w:r>
        <w:tab/>
      </w:r>
      <w:r>
        <w:fldChar w:fldCharType="begin"/>
      </w:r>
      <w:r>
        <w:instrText xml:space="preserve"> PAGEREF _Toc1364328233 \h </w:instrText>
      </w:r>
      <w:r>
        <w:fldChar w:fldCharType="separate"/>
      </w:r>
      <w:r>
        <w:t>12</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_Toc2047765272 </w:instrText>
      </w:r>
      <w:r>
        <w:rPr>
          <w:rFonts w:eastAsia="黑体"/>
          <w:bCs w:val="0"/>
          <w:caps w:val="0"/>
          <w:kern w:val="0"/>
          <w:highlight w:val="none"/>
        </w:rPr>
        <w:fldChar w:fldCharType="separate"/>
      </w:r>
      <w:r>
        <w:rPr>
          <w:rFonts w:hint="eastAsia" w:ascii="宋体" w:hAnsi="宋体" w:eastAsia="宋体"/>
          <w:szCs w:val="36"/>
          <w:highlight w:val="none"/>
        </w:rPr>
        <w:t>第三章  评标办法</w:t>
      </w:r>
      <w:r>
        <w:tab/>
      </w:r>
      <w:r>
        <w:fldChar w:fldCharType="begin"/>
      </w:r>
      <w:r>
        <w:instrText xml:space="preserve"> PAGEREF _Toc2047765272 \h </w:instrText>
      </w:r>
      <w:r>
        <w:fldChar w:fldCharType="separate"/>
      </w:r>
      <w:r>
        <w:t>40</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_Toc1430284413 </w:instrText>
      </w:r>
      <w:r>
        <w:rPr>
          <w:rFonts w:eastAsia="黑体"/>
          <w:bCs w:val="0"/>
          <w:caps w:val="0"/>
          <w:kern w:val="0"/>
          <w:highlight w:val="none"/>
        </w:rPr>
        <w:fldChar w:fldCharType="separate"/>
      </w:r>
      <w:r>
        <w:rPr>
          <w:rFonts w:hint="eastAsia" w:ascii="宋体" w:hAnsi="宋体" w:eastAsia="宋体"/>
          <w:szCs w:val="36"/>
          <w:highlight w:val="none"/>
        </w:rPr>
        <w:t>第四</w:t>
      </w:r>
      <w:r>
        <w:rPr>
          <w:rFonts w:ascii="宋体" w:hAnsi="宋体" w:eastAsia="宋体"/>
          <w:szCs w:val="36"/>
          <w:highlight w:val="none"/>
        </w:rPr>
        <w:t>章</w:t>
      </w:r>
      <w:r>
        <w:rPr>
          <w:rFonts w:hint="eastAsia" w:ascii="宋体" w:hAnsi="宋体" w:eastAsia="宋体"/>
          <w:szCs w:val="36"/>
          <w:highlight w:val="none"/>
          <w:lang w:eastAsia="zh-CN"/>
        </w:rPr>
        <w:t xml:space="preserve">  </w:t>
      </w:r>
      <w:r>
        <w:rPr>
          <w:rFonts w:hint="eastAsia" w:ascii="宋体" w:hAnsi="宋体" w:eastAsia="宋体"/>
          <w:szCs w:val="36"/>
          <w:highlight w:val="none"/>
        </w:rPr>
        <w:t>定标办法</w:t>
      </w:r>
      <w:r>
        <w:tab/>
      </w:r>
      <w:r>
        <w:fldChar w:fldCharType="begin"/>
      </w:r>
      <w:r>
        <w:instrText xml:space="preserve"> PAGEREF _Toc1430284413 \h </w:instrText>
      </w:r>
      <w:r>
        <w:fldChar w:fldCharType="separate"/>
      </w:r>
      <w:r>
        <w:t>58</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_Toc1968440302 </w:instrText>
      </w:r>
      <w:r>
        <w:rPr>
          <w:rFonts w:eastAsia="黑体"/>
          <w:bCs w:val="0"/>
          <w:caps w:val="0"/>
          <w:kern w:val="0"/>
          <w:highlight w:val="none"/>
        </w:rPr>
        <w:fldChar w:fldCharType="separate"/>
      </w:r>
      <w:r>
        <w:rPr>
          <w:rFonts w:hint="eastAsia" w:ascii="宋体" w:hAnsi="宋体" w:eastAsia="宋体"/>
          <w:szCs w:val="36"/>
          <w:highlight w:val="none"/>
        </w:rPr>
        <w:t>第五章  合同条款及格式</w:t>
      </w:r>
      <w:r>
        <w:tab/>
      </w:r>
      <w:r>
        <w:fldChar w:fldCharType="begin"/>
      </w:r>
      <w:r>
        <w:instrText xml:space="preserve"> PAGEREF _Toc1968440302 \h </w:instrText>
      </w:r>
      <w:r>
        <w:fldChar w:fldCharType="separate"/>
      </w:r>
      <w:r>
        <w:t>67</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_Toc961945978 </w:instrText>
      </w:r>
      <w:r>
        <w:rPr>
          <w:rFonts w:eastAsia="黑体"/>
          <w:bCs w:val="0"/>
          <w:caps w:val="0"/>
          <w:kern w:val="0"/>
          <w:highlight w:val="none"/>
        </w:rPr>
        <w:fldChar w:fldCharType="separate"/>
      </w:r>
      <w:r>
        <w:rPr>
          <w:rFonts w:hint="eastAsia" w:ascii="宋体" w:hAnsi="宋体"/>
          <w:bCs/>
          <w:szCs w:val="36"/>
          <w:highlight w:val="none"/>
        </w:rPr>
        <w:t>第六章  工程量清单</w:t>
      </w:r>
      <w:r>
        <w:tab/>
      </w:r>
      <w:r>
        <w:fldChar w:fldCharType="begin"/>
      </w:r>
      <w:r>
        <w:instrText xml:space="preserve"> PAGEREF _Toc961945978 \h </w:instrText>
      </w:r>
      <w:r>
        <w:fldChar w:fldCharType="separate"/>
      </w:r>
      <w:r>
        <w:t>68</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_Toc193860080 </w:instrText>
      </w:r>
      <w:r>
        <w:rPr>
          <w:rFonts w:eastAsia="黑体"/>
          <w:bCs w:val="0"/>
          <w:caps w:val="0"/>
          <w:kern w:val="0"/>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七</w:t>
      </w:r>
      <w:r>
        <w:rPr>
          <w:rFonts w:hint="eastAsia" w:ascii="宋体" w:hAnsi="宋体" w:eastAsia="宋体"/>
          <w:szCs w:val="36"/>
          <w:highlight w:val="none"/>
        </w:rPr>
        <w:t>章  图  纸</w:t>
      </w:r>
      <w:r>
        <w:tab/>
      </w:r>
      <w:r>
        <w:fldChar w:fldCharType="begin"/>
      </w:r>
      <w:r>
        <w:instrText xml:space="preserve"> PAGEREF _Toc193860080 \h </w:instrText>
      </w:r>
      <w:r>
        <w:fldChar w:fldCharType="separate"/>
      </w:r>
      <w:r>
        <w:t>69</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_Toc1954621374 </w:instrText>
      </w:r>
      <w:r>
        <w:rPr>
          <w:rFonts w:eastAsia="黑体"/>
          <w:bCs w:val="0"/>
          <w:caps w:val="0"/>
          <w:kern w:val="0"/>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八</w:t>
      </w:r>
      <w:r>
        <w:rPr>
          <w:rFonts w:hint="eastAsia" w:ascii="宋体" w:hAnsi="宋体" w:eastAsia="宋体"/>
          <w:szCs w:val="36"/>
          <w:highlight w:val="none"/>
        </w:rPr>
        <w:t>章  技术标准和要求</w:t>
      </w:r>
      <w:r>
        <w:tab/>
      </w:r>
      <w:r>
        <w:fldChar w:fldCharType="begin"/>
      </w:r>
      <w:r>
        <w:instrText xml:space="preserve"> PAGEREF _Toc1954621374 \h </w:instrText>
      </w:r>
      <w:r>
        <w:fldChar w:fldCharType="separate"/>
      </w:r>
      <w:r>
        <w:t>70</w:t>
      </w:r>
      <w:r>
        <w:fldChar w:fldCharType="end"/>
      </w:r>
      <w:r>
        <w:rPr>
          <w:rFonts w:eastAsia="黑体"/>
          <w:bCs w:val="0"/>
          <w:caps w:val="0"/>
          <w:color w:val="auto"/>
          <w:kern w:val="0"/>
          <w:highlight w:val="none"/>
        </w:rPr>
        <w:fldChar w:fldCharType="end"/>
      </w:r>
    </w:p>
    <w:p>
      <w:pPr>
        <w:pStyle w:val="29"/>
        <w:tabs>
          <w:tab w:val="right" w:leader="dot" w:pos="9638"/>
        </w:tabs>
      </w:pPr>
      <w:r>
        <w:rPr>
          <w:rFonts w:eastAsia="黑体"/>
          <w:bCs w:val="0"/>
          <w:caps w:val="0"/>
          <w:color w:val="auto"/>
          <w:kern w:val="0"/>
          <w:highlight w:val="none"/>
        </w:rPr>
        <w:fldChar w:fldCharType="begin"/>
      </w:r>
      <w:r>
        <w:rPr>
          <w:rFonts w:eastAsia="黑体"/>
          <w:bCs w:val="0"/>
          <w:caps w:val="0"/>
          <w:kern w:val="0"/>
          <w:highlight w:val="none"/>
        </w:rPr>
        <w:instrText xml:space="preserve"> HYPERLINK \l _Toc2004081577 </w:instrText>
      </w:r>
      <w:r>
        <w:rPr>
          <w:rFonts w:eastAsia="黑体"/>
          <w:bCs w:val="0"/>
          <w:caps w:val="0"/>
          <w:kern w:val="0"/>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九</w:t>
      </w:r>
      <w:r>
        <w:rPr>
          <w:rFonts w:hint="eastAsia" w:ascii="宋体" w:hAnsi="宋体" w:eastAsia="宋体"/>
          <w:szCs w:val="36"/>
          <w:highlight w:val="none"/>
        </w:rPr>
        <w:t>章  投标文件格式</w:t>
      </w:r>
      <w:r>
        <w:tab/>
      </w:r>
      <w:r>
        <w:fldChar w:fldCharType="begin"/>
      </w:r>
      <w:r>
        <w:instrText xml:space="preserve"> PAGEREF _Toc2004081577 \h </w:instrText>
      </w:r>
      <w:r>
        <w:fldChar w:fldCharType="separate"/>
      </w:r>
      <w:r>
        <w:t>71</w:t>
      </w:r>
      <w:r>
        <w:fldChar w:fldCharType="end"/>
      </w:r>
      <w:r>
        <w:rPr>
          <w:rFonts w:eastAsia="黑体"/>
          <w:bCs w:val="0"/>
          <w:caps w:val="0"/>
          <w:color w:val="auto"/>
          <w:kern w:val="0"/>
          <w:highlight w:val="none"/>
        </w:rPr>
        <w:fldChar w:fldCharType="end"/>
      </w:r>
    </w:p>
    <w:p>
      <w:pPr>
        <w:tabs>
          <w:tab w:val="right" w:leader="middleDot" w:pos="8190"/>
        </w:tabs>
        <w:spacing w:line="360" w:lineRule="auto"/>
        <w:ind w:firstLine="57"/>
        <w:rPr>
          <w:rFonts w:hint="eastAsia" w:eastAsia="黑体"/>
          <w:color w:val="auto"/>
          <w:szCs w:val="21"/>
          <w:highlight w:val="none"/>
        </w:rPr>
      </w:pPr>
      <w:r>
        <w:rPr>
          <w:rFonts w:eastAsia="黑体"/>
          <w:bCs w:val="0"/>
          <w:caps/>
          <w:color w:val="auto"/>
          <w:kern w:val="0"/>
          <w:highlight w:val="none"/>
        </w:rPr>
        <w:fldChar w:fldCharType="end"/>
      </w:r>
    </w:p>
    <w:p>
      <w:pPr>
        <w:tabs>
          <w:tab w:val="right" w:leader="middleDot" w:pos="8190"/>
        </w:tabs>
        <w:spacing w:line="360" w:lineRule="auto"/>
        <w:ind w:firstLine="57"/>
        <w:rPr>
          <w:rFonts w:hint="eastAsia" w:eastAsia="黑体"/>
          <w:color w:val="auto"/>
          <w:szCs w:val="21"/>
          <w:highlight w:val="none"/>
        </w:rPr>
      </w:pPr>
    </w:p>
    <w:p>
      <w:pPr>
        <w:tabs>
          <w:tab w:val="right" w:leader="middleDot" w:pos="8190"/>
        </w:tabs>
        <w:spacing w:line="360" w:lineRule="auto"/>
        <w:ind w:firstLine="57"/>
        <w:rPr>
          <w:rFonts w:hint="eastAsia" w:eastAsia="黑体"/>
          <w:color w:val="auto"/>
          <w:szCs w:val="21"/>
          <w:highlight w:val="none"/>
        </w:rPr>
      </w:pPr>
    </w:p>
    <w:p>
      <w:pPr>
        <w:spacing w:line="360" w:lineRule="auto"/>
        <w:ind w:firstLine="435"/>
        <w:rPr>
          <w:rFonts w:hint="eastAsia"/>
          <w:color w:val="auto"/>
          <w:highlight w:val="none"/>
        </w:rPr>
      </w:pPr>
    </w:p>
    <w:p>
      <w:pPr>
        <w:spacing w:line="360" w:lineRule="auto"/>
        <w:ind w:firstLine="435"/>
        <w:jc w:val="center"/>
        <w:rPr>
          <w:rFonts w:hint="eastAsia"/>
          <w:color w:val="auto"/>
          <w:highlight w:val="none"/>
        </w:rPr>
      </w:pPr>
    </w:p>
    <w:p>
      <w:pPr>
        <w:rPr>
          <w:rFonts w:hint="eastAsia"/>
          <w:color w:val="auto"/>
          <w:highlight w:val="none"/>
        </w:rPr>
      </w:pPr>
      <w:bookmarkStart w:id="0" w:name="_Toc437960957"/>
      <w:bookmarkStart w:id="1" w:name="_Toc357586305"/>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color w:val="auto"/>
          <w:sz w:val="36"/>
          <w:szCs w:val="36"/>
          <w:highlight w:val="none"/>
        </w:rPr>
      </w:pPr>
      <w:bookmarkStart w:id="2" w:name="_Toc28964991"/>
      <w:bookmarkStart w:id="3" w:name="_Toc843368433"/>
      <w:bookmarkStart w:id="4" w:name="_Toc1607947545"/>
      <w:r>
        <w:rPr>
          <w:rFonts w:hint="eastAsia"/>
          <w:color w:val="auto"/>
          <w:sz w:val="36"/>
          <w:szCs w:val="36"/>
          <w:highlight w:val="none"/>
        </w:rPr>
        <w:br w:type="page"/>
      </w:r>
      <w:bookmarkStart w:id="5" w:name="_Toc1410045750"/>
      <w:r>
        <w:rPr>
          <w:rFonts w:hint="eastAsia"/>
          <w:color w:val="auto"/>
          <w:sz w:val="36"/>
          <w:szCs w:val="36"/>
          <w:highlight w:val="none"/>
        </w:rPr>
        <w:t>否决性条款摘要</w:t>
      </w:r>
      <w:bookmarkEnd w:id="0"/>
      <w:bookmarkEnd w:id="1"/>
      <w:bookmarkEnd w:id="2"/>
      <w:bookmarkEnd w:id="3"/>
      <w:bookmarkEnd w:id="4"/>
      <w:bookmarkEnd w:id="5"/>
    </w:p>
    <w:p>
      <w:pPr>
        <w:spacing w:line="360" w:lineRule="auto"/>
        <w:rPr>
          <w:rFonts w:hint="eastAsia"/>
          <w:color w:val="auto"/>
          <w:highlight w:val="none"/>
        </w:rPr>
      </w:pPr>
    </w:p>
    <w:p>
      <w:pPr>
        <w:ind w:right="-197" w:firstLine="481" w:firstLineChars="200"/>
        <w:rPr>
          <w:rFonts w:ascii="宋体"/>
          <w:b/>
          <w:color w:val="auto"/>
          <w:sz w:val="24"/>
          <w:highlight w:val="none"/>
        </w:rPr>
      </w:pPr>
      <w:r>
        <w:rPr>
          <w:rFonts w:hint="eastAsia" w:ascii="宋体" w:hAnsi="宋体"/>
          <w:b/>
          <w:color w:val="auto"/>
          <w:sz w:val="24"/>
          <w:highlight w:val="none"/>
        </w:rPr>
        <w:t>重要提示：</w:t>
      </w:r>
      <w:r>
        <w:rPr>
          <w:rFonts w:hint="eastAsia" w:ascii="宋体" w:hAnsi="宋体"/>
          <w:color w:val="auto"/>
          <w:sz w:val="24"/>
          <w:highlight w:val="none"/>
        </w:rPr>
        <w:t>本摘要是本招标文件</w:t>
      </w:r>
      <w:r>
        <w:rPr>
          <w:rFonts w:ascii="宋体" w:hAnsi="宋体"/>
          <w:color w:val="auto"/>
          <w:sz w:val="24"/>
          <w:highlight w:val="none"/>
        </w:rPr>
        <w:t>（</w:t>
      </w:r>
      <w:r>
        <w:rPr>
          <w:rFonts w:hint="eastAsia" w:ascii="宋体" w:hAnsi="宋体"/>
          <w:color w:val="auto"/>
          <w:sz w:val="24"/>
          <w:highlight w:val="none"/>
        </w:rPr>
        <w:t>含招标文件的澄清、修改、补充文件等</w:t>
      </w:r>
      <w:r>
        <w:rPr>
          <w:rFonts w:ascii="宋体" w:hAnsi="宋体"/>
          <w:color w:val="auto"/>
          <w:sz w:val="24"/>
          <w:highlight w:val="none"/>
        </w:rPr>
        <w:t>）</w:t>
      </w:r>
      <w:r>
        <w:rPr>
          <w:rFonts w:hint="eastAsia" w:ascii="宋体" w:hAnsi="宋体"/>
          <w:color w:val="auto"/>
          <w:sz w:val="24"/>
          <w:highlight w:val="none"/>
        </w:rPr>
        <w:t>中涉及的所有否决性条款的集中列示，包括：招标文件规定的在开标会上当场宣布投标文件不予受理或为无效投标的情形，资格（形式、响应）、</w:t>
      </w:r>
      <w:r>
        <w:rPr>
          <w:rFonts w:ascii="宋体" w:hAnsi="宋体"/>
          <w:color w:val="auto"/>
          <w:sz w:val="24"/>
          <w:highlight w:val="none"/>
        </w:rPr>
        <w:t>技术和商务评审</w:t>
      </w:r>
      <w:r>
        <w:rPr>
          <w:rFonts w:hint="eastAsia" w:ascii="宋体" w:hAnsi="宋体"/>
          <w:color w:val="auto"/>
          <w:sz w:val="24"/>
          <w:highlight w:val="none"/>
        </w:rPr>
        <w:t>发现不合格的情形。</w:t>
      </w:r>
      <w:r>
        <w:rPr>
          <w:rFonts w:hint="eastAsia" w:ascii="宋体" w:hAnsi="宋体"/>
          <w:b/>
          <w:color w:val="auto"/>
          <w:sz w:val="24"/>
          <w:highlight w:val="none"/>
        </w:rPr>
        <w:t>除出现本摘要集中列示的否决性条款规定的情形以外，投标文件出现的其他任何情形均不得作否决处理。招标文件中有关否决性条款的阐述与本摘要所列内容不一致的，以本摘要列示的内容为准</w:t>
      </w:r>
      <w:r>
        <w:rPr>
          <w:rFonts w:hint="eastAsia" w:ascii="宋体" w:hAnsi="宋体"/>
          <w:color w:val="auto"/>
          <w:sz w:val="24"/>
          <w:highlight w:val="none"/>
        </w:rPr>
        <w:t>。</w:t>
      </w:r>
    </w:p>
    <w:p>
      <w:pPr>
        <w:ind w:right="-197" w:firstLine="480" w:firstLineChars="200"/>
        <w:rPr>
          <w:rFonts w:ascii="宋体"/>
          <w:color w:val="auto"/>
          <w:sz w:val="24"/>
          <w:highlight w:val="none"/>
        </w:rPr>
      </w:pPr>
      <w:r>
        <w:rPr>
          <w:rFonts w:hint="eastAsia" w:ascii="宋体" w:hAnsi="宋体"/>
          <w:color w:val="auto"/>
          <w:sz w:val="24"/>
          <w:highlight w:val="none"/>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pPr>
        <w:ind w:right="-197" w:firstLine="480" w:firstLineChars="200"/>
        <w:rPr>
          <w:rFonts w:ascii="宋体"/>
          <w:color w:val="auto"/>
          <w:sz w:val="24"/>
          <w:highlight w:val="none"/>
        </w:rPr>
      </w:pPr>
      <w:r>
        <w:rPr>
          <w:rFonts w:hint="eastAsia" w:ascii="宋体" w:hAnsi="宋体"/>
          <w:color w:val="auto"/>
          <w:sz w:val="24"/>
          <w:highlight w:val="none"/>
        </w:rPr>
        <w:t>评标委员会应将在资格（形式、响应）、</w:t>
      </w:r>
      <w:r>
        <w:rPr>
          <w:rFonts w:ascii="宋体" w:hAnsi="宋体"/>
          <w:color w:val="auto"/>
          <w:sz w:val="24"/>
          <w:highlight w:val="none"/>
        </w:rPr>
        <w:t>技术和商务评审</w:t>
      </w:r>
      <w:r>
        <w:rPr>
          <w:rFonts w:hint="eastAsia" w:ascii="宋体" w:hAnsi="宋体"/>
          <w:color w:val="auto"/>
          <w:sz w:val="24"/>
          <w:highlight w:val="none"/>
        </w:rPr>
        <w:t>阶段发现的投标文件中的不合</w:t>
      </w:r>
      <w:r>
        <w:rPr>
          <w:rFonts w:ascii="宋体" w:hAnsi="宋体"/>
          <w:color w:val="auto"/>
          <w:sz w:val="24"/>
          <w:highlight w:val="none"/>
        </w:rPr>
        <w:t>格</w:t>
      </w:r>
      <w:r>
        <w:rPr>
          <w:rFonts w:hint="eastAsia" w:ascii="宋体" w:hAnsi="宋体"/>
          <w:color w:val="auto"/>
          <w:sz w:val="24"/>
          <w:highlight w:val="none"/>
        </w:rPr>
        <w:t>情况列入评标报告中的“否决投标情况说明”，对该投标文件作否决处理。</w:t>
      </w:r>
    </w:p>
    <w:p>
      <w:pPr>
        <w:ind w:right="-197" w:firstLine="481" w:firstLineChars="200"/>
        <w:rPr>
          <w:rFonts w:ascii="宋体" w:hAnsi="宋体"/>
          <w:b/>
          <w:color w:val="auto"/>
          <w:sz w:val="24"/>
          <w:highlight w:val="none"/>
        </w:rPr>
      </w:pPr>
      <w:r>
        <w:rPr>
          <w:rFonts w:hint="eastAsia" w:ascii="宋体" w:hAnsi="宋体"/>
          <w:b/>
          <w:color w:val="auto"/>
          <w:sz w:val="24"/>
          <w:highlight w:val="none"/>
        </w:rPr>
        <w:t>一、在开标会上，判定投标文件不予受理或为无效投标的情形</w:t>
      </w:r>
      <w:r>
        <w:rPr>
          <w:rFonts w:hint="eastAsia" w:ascii="宋体" w:hAnsi="宋体"/>
          <w:b/>
          <w:color w:val="auto"/>
          <w:sz w:val="24"/>
          <w:highlight w:val="none"/>
          <w:lang w:eastAsia="zh-CN"/>
        </w:rPr>
        <w:t>，不进入下一环节</w:t>
      </w:r>
      <w:r>
        <w:rPr>
          <w:rFonts w:hint="eastAsia" w:ascii="宋体" w:hAnsi="宋体"/>
          <w:b/>
          <w:color w:val="auto"/>
          <w:sz w:val="24"/>
          <w:highlight w:val="none"/>
        </w:rPr>
        <w:t>（由招标人负责判定）：</w:t>
      </w:r>
      <w:r>
        <w:rPr>
          <w:rFonts w:ascii="宋体" w:hAnsi="宋体"/>
          <w:b/>
          <w:color w:val="auto"/>
          <w:sz w:val="24"/>
          <w:highlight w:val="none"/>
        </w:rPr>
        <w:t xml:space="preserve"> </w:t>
      </w:r>
    </w:p>
    <w:p>
      <w:pPr>
        <w:ind w:right="-197" w:firstLine="480" w:firstLineChars="200"/>
        <w:rPr>
          <w:rFonts w:ascii="宋体"/>
          <w:color w:val="auto"/>
          <w:sz w:val="24"/>
          <w:highlight w:val="none"/>
        </w:rPr>
      </w:pPr>
      <w:r>
        <w:rPr>
          <w:rFonts w:hint="eastAsia" w:ascii="宋体" w:hAnsi="宋体"/>
          <w:color w:val="auto"/>
          <w:sz w:val="24"/>
          <w:highlight w:val="none"/>
        </w:rPr>
        <w:t>（一）判定投标文件不予受理的情形：</w:t>
      </w:r>
    </w:p>
    <w:p>
      <w:pPr>
        <w:tabs>
          <w:tab w:val="left" w:pos="1080"/>
        </w:tabs>
        <w:ind w:right="-197" w:firstLine="480" w:firstLineChars="200"/>
        <w:rPr>
          <w:rFonts w:hint="eastAsia" w:asci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投标文件</w:t>
      </w:r>
      <w:r>
        <w:rPr>
          <w:rFonts w:hint="eastAsia" w:ascii="宋体" w:hAnsi="宋体"/>
          <w:color w:val="auto"/>
          <w:sz w:val="24"/>
          <w:highlight w:val="none"/>
        </w:rPr>
        <w:t>未在递交投标文件截止时间前完整</w:t>
      </w:r>
      <w:r>
        <w:rPr>
          <w:rFonts w:ascii="宋体" w:hAnsi="宋体" w:cs="宋体"/>
          <w:color w:val="auto"/>
          <w:kern w:val="0"/>
          <w:sz w:val="24"/>
          <w:highlight w:val="none"/>
        </w:rPr>
        <w:t>传输递交</w:t>
      </w:r>
      <w:r>
        <w:rPr>
          <w:rFonts w:hint="eastAsia" w:ascii="宋体" w:hAnsi="宋体"/>
          <w:color w:val="auto"/>
          <w:sz w:val="24"/>
          <w:highlight w:val="none"/>
        </w:rPr>
        <w:t>到江门市公共资源交易系统的</w:t>
      </w:r>
      <w:r>
        <w:rPr>
          <w:rFonts w:hint="eastAsia" w:ascii="宋体" w:hAnsi="宋体"/>
          <w:color w:val="auto"/>
          <w:sz w:val="24"/>
          <w:highlight w:val="none"/>
          <w:lang w:eastAsia="zh-CN"/>
        </w:rPr>
        <w:t>。</w:t>
      </w:r>
    </w:p>
    <w:p>
      <w:pPr>
        <w:tabs>
          <w:tab w:val="left" w:pos="1080"/>
        </w:tabs>
        <w:ind w:right="-197" w:firstLine="480" w:firstLineChars="200"/>
        <w:rPr>
          <w:rFonts w:hint="eastAsia" w:ascii="宋体" w:eastAsia="宋体"/>
          <w:color w:val="auto"/>
          <w:sz w:val="24"/>
          <w:highlight w:val="none"/>
          <w:lang w:eastAsia="zh-CN"/>
        </w:rPr>
      </w:pPr>
      <w:r>
        <w:rPr>
          <w:rFonts w:hint="eastAsia" w:ascii="宋体"/>
          <w:color w:val="auto"/>
          <w:sz w:val="24"/>
          <w:highlight w:val="none"/>
          <w:lang w:val="en-US" w:eastAsia="zh-CN"/>
        </w:rPr>
        <w:t>2</w:t>
      </w:r>
      <w:r>
        <w:rPr>
          <w:rFonts w:hint="eastAsia" w:ascii="宋体"/>
          <w:color w:val="auto"/>
          <w:sz w:val="24"/>
          <w:highlight w:val="none"/>
        </w:rPr>
        <w:t>.</w:t>
      </w:r>
      <w:r>
        <w:rPr>
          <w:rFonts w:hint="eastAsia" w:ascii="宋体" w:hAnsi="宋体"/>
          <w:color w:val="auto"/>
          <w:sz w:val="24"/>
          <w:highlight w:val="none"/>
        </w:rPr>
        <w:t>投标文件未按要求加密的</w:t>
      </w:r>
      <w:r>
        <w:rPr>
          <w:rFonts w:hint="eastAsia" w:ascii="宋体" w:hAnsi="宋体"/>
          <w:color w:val="auto"/>
          <w:sz w:val="24"/>
          <w:highlight w:val="none"/>
          <w:lang w:eastAsia="zh-CN"/>
        </w:rPr>
        <w:t>；或</w:t>
      </w:r>
      <w:r>
        <w:rPr>
          <w:rFonts w:hint="eastAsia" w:ascii="宋体" w:hAnsi="宋体"/>
          <w:color w:val="auto"/>
          <w:sz w:val="24"/>
          <w:highlight w:val="none"/>
        </w:rPr>
        <w:t>因投标人原因造成投标文件未能解密</w:t>
      </w:r>
      <w:r>
        <w:rPr>
          <w:rFonts w:hint="eastAsia" w:ascii="宋体" w:hAnsi="宋体"/>
          <w:color w:val="auto"/>
          <w:sz w:val="24"/>
          <w:highlight w:val="none"/>
          <w:lang w:eastAsia="zh-CN"/>
        </w:rPr>
        <w:t>及超时未解密的；或</w:t>
      </w:r>
      <w:r>
        <w:rPr>
          <w:rFonts w:hint="eastAsia" w:ascii="宋体"/>
          <w:color w:val="auto"/>
          <w:sz w:val="24"/>
          <w:highlight w:val="none"/>
        </w:rPr>
        <w:t>不同投标人的投标文件由同一电子设备编制、打包加密、上传或解密</w:t>
      </w:r>
      <w:r>
        <w:rPr>
          <w:rFonts w:hint="eastAsia" w:ascii="宋体"/>
          <w:color w:val="auto"/>
          <w:sz w:val="24"/>
          <w:highlight w:val="none"/>
          <w:lang w:eastAsia="zh-CN"/>
        </w:rPr>
        <w:t>（市公共资源电子交易系统显示电脑机器特征码一致的视作上述情形处理）。</w:t>
      </w:r>
    </w:p>
    <w:p>
      <w:pPr>
        <w:tabs>
          <w:tab w:val="left" w:pos="1080"/>
        </w:tabs>
        <w:ind w:right="-197" w:firstLine="480" w:firstLineChars="200"/>
        <w:rPr>
          <w:rFonts w:hint="eastAsia" w:ascii="宋体" w:hAnsi="宋体" w:eastAsia="宋体"/>
          <w:color w:val="auto"/>
          <w:sz w:val="24"/>
          <w:highlight w:val="none"/>
          <w:lang w:eastAsia="zh-CN"/>
        </w:rPr>
      </w:pPr>
      <w:r>
        <w:rPr>
          <w:rFonts w:hint="eastAsia" w:ascii="宋体"/>
          <w:color w:val="auto"/>
          <w:sz w:val="24"/>
          <w:highlight w:val="none"/>
          <w:lang w:val="en-US" w:eastAsia="zh-CN"/>
        </w:rPr>
        <w:t>3</w:t>
      </w:r>
      <w:r>
        <w:rPr>
          <w:rFonts w:hint="eastAsia" w:ascii="宋体"/>
          <w:color w:val="auto"/>
          <w:sz w:val="24"/>
          <w:highlight w:val="none"/>
        </w:rPr>
        <w:t>.投标人无正当理由放弃中标或者在投标截止后撤回投标文件，造成招标人重新招标的，招标人可以禁止该投标人再次投标该项目</w:t>
      </w:r>
      <w:r>
        <w:rPr>
          <w:rFonts w:hint="eastAsia" w:ascii="宋体"/>
          <w:color w:val="auto"/>
          <w:sz w:val="24"/>
          <w:highlight w:val="none"/>
          <w:lang w:eastAsia="zh-CN"/>
        </w:rPr>
        <w:t>。</w:t>
      </w:r>
    </w:p>
    <w:p>
      <w:pPr>
        <w:tabs>
          <w:tab w:val="left" w:pos="1080"/>
        </w:tabs>
        <w:ind w:right="-197"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未</w:t>
      </w:r>
      <w:r>
        <w:rPr>
          <w:rFonts w:hint="eastAsia" w:ascii="宋体" w:hAnsi="宋体"/>
          <w:color w:val="auto"/>
          <w:sz w:val="24"/>
          <w:highlight w:val="none"/>
        </w:rPr>
        <w:t>提交投标保证金的（</w:t>
      </w:r>
      <w:r>
        <w:rPr>
          <w:rFonts w:hint="eastAsia" w:ascii="宋体" w:hAnsi="宋体"/>
          <w:color w:val="auto"/>
          <w:sz w:val="24"/>
          <w:highlight w:val="none"/>
          <w:lang w:val="en-US" w:eastAsia="zh-CN"/>
        </w:rPr>
        <w:t>其中，选择现场递交的未在投标截止时间前送达开标场所，视为未提交投标保证金；</w:t>
      </w:r>
      <w:r>
        <w:rPr>
          <w:rFonts w:hint="eastAsia" w:ascii="宋体" w:hAnsi="宋体" w:eastAsia="宋体" w:cs="Times New Roman"/>
          <w:color w:val="auto"/>
          <w:sz w:val="24"/>
          <w:szCs w:val="24"/>
          <w:highlight w:val="none"/>
          <w:lang w:bidi="ar"/>
        </w:rPr>
        <w:t>通过江门市公共资源交易</w:t>
      </w:r>
      <w:r>
        <w:rPr>
          <w:rFonts w:hint="eastAsia" w:ascii="宋体" w:hAnsi="宋体" w:eastAsia="宋体" w:cs="Times New Roman"/>
          <w:color w:val="auto"/>
          <w:sz w:val="24"/>
          <w:szCs w:val="24"/>
          <w:highlight w:val="none"/>
          <w:lang w:eastAsia="zh-CN" w:bidi="ar"/>
        </w:rPr>
        <w:t>系统提交的</w:t>
      </w:r>
      <w:r>
        <w:rPr>
          <w:rFonts w:hint="eastAsia" w:ascii="宋体" w:hAnsi="宋体"/>
          <w:color w:val="auto"/>
          <w:sz w:val="24"/>
          <w:highlight w:val="none"/>
        </w:rPr>
        <w:t>以投标截止时江门市公共资源交易中心出具的名单为准</w:t>
      </w:r>
      <w:r>
        <w:rPr>
          <w:rFonts w:hint="eastAsia" w:ascii="宋体" w:hAnsi="宋体"/>
          <w:color w:val="auto"/>
          <w:sz w:val="24"/>
          <w:highlight w:val="none"/>
          <w:lang w:val="en-US" w:eastAsia="zh-CN"/>
        </w:rPr>
        <w:t>；</w:t>
      </w:r>
      <w:r>
        <w:rPr>
          <w:rFonts w:hint="eastAsia" w:ascii="宋体" w:hAnsi="宋体" w:eastAsia="宋体" w:cs="Times New Roman"/>
          <w:color w:val="auto"/>
          <w:kern w:val="2"/>
          <w:sz w:val="24"/>
          <w:szCs w:val="24"/>
          <w:highlight w:val="none"/>
          <w:lang w:val="en-US" w:eastAsia="zh-CN" w:bidi="ar"/>
        </w:rPr>
        <w:t>通过广东省建筑市场监管公共服务平台招投标及合同履约监管系统提交的</w:t>
      </w:r>
      <w:r>
        <w:rPr>
          <w:rFonts w:hint="eastAsia" w:ascii="宋体" w:hAnsi="宋体" w:eastAsia="宋体" w:cs="Times New Roman"/>
          <w:color w:val="auto"/>
          <w:spacing w:val="0"/>
          <w:kern w:val="2"/>
          <w:sz w:val="24"/>
          <w:szCs w:val="24"/>
          <w:highlight w:val="none"/>
          <w:lang w:val="en-US" w:eastAsia="zh-CN" w:bidi="ar"/>
        </w:rPr>
        <w:t>以投标截止时工程担保管理子系统查询的名单信息为准</w:t>
      </w:r>
      <w:r>
        <w:rPr>
          <w:rFonts w:hint="eastAsia" w:ascii="宋体" w:hAnsi="宋体"/>
          <w:color w:val="auto"/>
          <w:sz w:val="24"/>
          <w:highlight w:val="none"/>
        </w:rPr>
        <w:t>）</w:t>
      </w:r>
      <w:r>
        <w:rPr>
          <w:rFonts w:hint="eastAsia" w:ascii="宋体" w:hAnsi="宋体"/>
          <w:color w:val="auto"/>
          <w:sz w:val="24"/>
          <w:highlight w:val="none"/>
          <w:lang w:eastAsia="zh-CN"/>
        </w:rPr>
        <w:t>。</w:t>
      </w:r>
    </w:p>
    <w:p>
      <w:pPr>
        <w:tabs>
          <w:tab w:val="left" w:pos="1080"/>
        </w:tabs>
        <w:ind w:right="-197"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5.提交投标保证金承诺函但经核实不符合条件的。6.</w:t>
      </w:r>
      <w:r>
        <w:rPr>
          <w:rFonts w:hint="eastAsia" w:ascii="宋体" w:hAnsi="宋体"/>
          <w:color w:val="auto"/>
          <w:sz w:val="24"/>
          <w:highlight w:val="none"/>
        </w:rPr>
        <w:t>投标文件损坏或格式不正确的</w:t>
      </w:r>
      <w:r>
        <w:rPr>
          <w:rFonts w:hint="eastAsia" w:ascii="宋体" w:hAnsi="宋体"/>
          <w:color w:val="auto"/>
          <w:sz w:val="24"/>
          <w:highlight w:val="none"/>
          <w:lang w:eastAsia="zh-CN"/>
        </w:rPr>
        <w:t>。</w:t>
      </w:r>
    </w:p>
    <w:p>
      <w:pPr>
        <w:tabs>
          <w:tab w:val="left" w:pos="1080"/>
        </w:tabs>
        <w:ind w:right="-19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招标人核查投标人的信用等级，投标人（包括联合体所有成员）</w:t>
      </w:r>
      <w:r>
        <w:rPr>
          <w:rFonts w:hint="eastAsia" w:ascii="宋体" w:hAnsi="宋体"/>
          <w:color w:val="auto"/>
          <w:sz w:val="24"/>
          <w:highlight w:val="none"/>
          <w:lang w:val="en-US" w:eastAsia="zh-CN"/>
        </w:rPr>
        <w:t>属于</w:t>
      </w:r>
      <w:r>
        <w:rPr>
          <w:rFonts w:hint="eastAsia" w:ascii="宋体" w:hAnsi="宋体"/>
          <w:color w:val="auto"/>
          <w:sz w:val="24"/>
          <w:highlight w:val="none"/>
        </w:rPr>
        <w:t>“</w:t>
      </w:r>
      <w:r>
        <w:rPr>
          <w:rFonts w:hint="eastAsia" w:ascii="宋体" w:hAnsi="宋体"/>
          <w:color w:val="auto"/>
          <w:sz w:val="24"/>
          <w:highlight w:val="none"/>
          <w:lang w:val="en-US" w:eastAsia="zh-CN"/>
        </w:rPr>
        <w:t>江门市建筑市场信用信息管理系统</w:t>
      </w:r>
      <w:r>
        <w:rPr>
          <w:rFonts w:hint="eastAsia" w:ascii="宋体" w:hAnsi="宋体"/>
          <w:color w:val="auto"/>
          <w:sz w:val="24"/>
          <w:highlight w:val="none"/>
        </w:rPr>
        <w:t>”信用等级</w:t>
      </w:r>
      <w:r>
        <w:rPr>
          <w:rFonts w:hint="eastAsia" w:ascii="宋体" w:hAnsi="宋体"/>
          <w:color w:val="auto"/>
          <w:sz w:val="24"/>
          <w:highlight w:val="none"/>
          <w:lang w:val="en-US" w:eastAsia="zh-CN"/>
        </w:rPr>
        <w:t>D、E</w:t>
      </w:r>
      <w:r>
        <w:rPr>
          <w:rFonts w:hint="eastAsia" w:ascii="宋体" w:hAnsi="宋体"/>
          <w:color w:val="auto"/>
          <w:sz w:val="24"/>
          <w:highlight w:val="none"/>
        </w:rPr>
        <w:t>级的。</w:t>
      </w:r>
    </w:p>
    <w:p>
      <w:pPr>
        <w:ind w:right="-197" w:firstLine="480" w:firstLineChars="200"/>
        <w:rPr>
          <w:rFonts w:ascii="宋体" w:hAnsi="宋体"/>
          <w:color w:val="auto"/>
          <w:sz w:val="24"/>
          <w:highlight w:val="none"/>
        </w:rPr>
      </w:pPr>
      <w:r>
        <w:rPr>
          <w:rFonts w:hint="eastAsia" w:ascii="宋体" w:hAnsi="宋体"/>
          <w:color w:val="auto"/>
          <w:sz w:val="24"/>
          <w:highlight w:val="none"/>
        </w:rPr>
        <w:t>（二）宣布投标文件为无效投标的情形：</w:t>
      </w:r>
    </w:p>
    <w:p>
      <w:pPr>
        <w:tabs>
          <w:tab w:val="left" w:pos="1080"/>
        </w:tabs>
        <w:ind w:right="-197"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1.未递交投标函</w:t>
      </w:r>
      <w:r>
        <w:rPr>
          <w:rFonts w:hint="eastAsia" w:ascii="宋体" w:hAnsi="宋体"/>
          <w:color w:val="auto"/>
          <w:sz w:val="24"/>
          <w:highlight w:val="none"/>
          <w:lang w:eastAsia="zh-CN"/>
        </w:rPr>
        <w:t>。</w:t>
      </w:r>
    </w:p>
    <w:p>
      <w:pPr>
        <w:tabs>
          <w:tab w:val="left" w:pos="1080"/>
        </w:tabs>
        <w:ind w:right="-197"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2.在投标函上，未填写投标报价的，或投标文件中投标函以汉字形式（大写金额）记载的投标报价高于</w:t>
      </w:r>
      <w:r>
        <w:rPr>
          <w:rFonts w:hint="eastAsia" w:ascii="宋体" w:hAnsi="宋体"/>
          <w:color w:val="auto"/>
          <w:sz w:val="24"/>
          <w:highlight w:val="none"/>
          <w:lang w:eastAsia="zh-CN"/>
        </w:rPr>
        <w:t>最高投标限价。</w:t>
      </w:r>
    </w:p>
    <w:p>
      <w:pPr>
        <w:ind w:right="-197" w:firstLine="481" w:firstLineChars="200"/>
        <w:rPr>
          <w:rFonts w:ascii="宋体"/>
          <w:b/>
          <w:color w:val="auto"/>
          <w:sz w:val="24"/>
          <w:highlight w:val="none"/>
          <w:u w:val="single"/>
        </w:rPr>
      </w:pPr>
      <w:r>
        <w:rPr>
          <w:rFonts w:hint="eastAsia" w:ascii="宋体" w:hAnsi="宋体"/>
          <w:b/>
          <w:color w:val="auto"/>
          <w:sz w:val="24"/>
          <w:highlight w:val="none"/>
        </w:rPr>
        <w:t>注：投标文件出现上述情形在开标会上被宣布为无效投标后，不再经评标委员会确认，亦不进入评标程序。</w:t>
      </w:r>
    </w:p>
    <w:p>
      <w:pPr>
        <w:ind w:right="-197" w:firstLine="481" w:firstLineChars="200"/>
        <w:rPr>
          <w:rFonts w:ascii="宋体" w:hAnsi="宋体"/>
          <w:b/>
          <w:color w:val="auto"/>
          <w:sz w:val="24"/>
          <w:highlight w:val="none"/>
        </w:rPr>
      </w:pPr>
      <w:r>
        <w:rPr>
          <w:rFonts w:hint="eastAsia" w:ascii="宋体" w:hAnsi="宋体"/>
          <w:b/>
          <w:color w:val="auto"/>
          <w:sz w:val="24"/>
          <w:highlight w:val="none"/>
        </w:rPr>
        <w:t>二、资格（形式、响应）</w:t>
      </w:r>
      <w:r>
        <w:rPr>
          <w:rFonts w:ascii="宋体" w:hAnsi="宋体"/>
          <w:b/>
          <w:color w:val="auto"/>
          <w:sz w:val="24"/>
          <w:highlight w:val="none"/>
        </w:rPr>
        <w:t>、技术</w:t>
      </w:r>
      <w:r>
        <w:rPr>
          <w:rFonts w:hint="eastAsia" w:ascii="宋体" w:hAnsi="宋体"/>
          <w:b/>
          <w:color w:val="auto"/>
          <w:sz w:val="24"/>
          <w:highlight w:val="none"/>
        </w:rPr>
        <w:t>和商务</w:t>
      </w:r>
      <w:r>
        <w:rPr>
          <w:rFonts w:ascii="宋体" w:hAnsi="宋体"/>
          <w:b/>
          <w:color w:val="auto"/>
          <w:sz w:val="24"/>
          <w:highlight w:val="none"/>
        </w:rPr>
        <w:t>评审</w:t>
      </w:r>
      <w:r>
        <w:rPr>
          <w:rFonts w:hint="eastAsia" w:ascii="宋体" w:hAnsi="宋体"/>
          <w:b/>
          <w:color w:val="auto"/>
          <w:sz w:val="24"/>
          <w:highlight w:val="none"/>
        </w:rPr>
        <w:t>阶段有下列情形之一的，评标委员会应当否决其投标：</w:t>
      </w:r>
      <w:r>
        <w:rPr>
          <w:rFonts w:ascii="宋体" w:hAnsi="宋体"/>
          <w:b/>
          <w:color w:val="auto"/>
          <w:sz w:val="24"/>
          <w:highlight w:val="none"/>
        </w:rPr>
        <w:t xml:space="preserve"> </w:t>
      </w:r>
    </w:p>
    <w:p>
      <w:pPr>
        <w:tabs>
          <w:tab w:val="left" w:pos="1080"/>
        </w:tabs>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rPr>
        <w:t>.有“投标人须知正</w:t>
      </w:r>
      <w:r>
        <w:rPr>
          <w:rFonts w:ascii="宋体" w:hAnsi="宋体"/>
          <w:color w:val="auto"/>
          <w:sz w:val="24"/>
          <w:highlight w:val="none"/>
        </w:rPr>
        <w:t>文</w:t>
      </w:r>
      <w:r>
        <w:rPr>
          <w:rFonts w:hint="eastAsia" w:ascii="宋体" w:hAnsi="宋体"/>
          <w:color w:val="auto"/>
          <w:szCs w:val="21"/>
          <w:highlight w:val="none"/>
          <w:lang w:eastAsia="zh-CN"/>
        </w:rPr>
        <w:t>”</w:t>
      </w:r>
      <w:r>
        <w:rPr>
          <w:rFonts w:hint="eastAsia" w:ascii="宋体" w:hAnsi="宋体"/>
          <w:color w:val="auto"/>
          <w:sz w:val="24"/>
          <w:highlight w:val="none"/>
        </w:rPr>
        <w:t>第1.4.3</w:t>
      </w:r>
      <w:r>
        <w:rPr>
          <w:rFonts w:hint="eastAsia" w:ascii="宋体" w:hAnsi="宋体"/>
          <w:color w:val="auto"/>
          <w:szCs w:val="21"/>
          <w:highlight w:val="none"/>
        </w:rPr>
        <w:t>款</w:t>
      </w:r>
      <w:r>
        <w:rPr>
          <w:rFonts w:hint="eastAsia" w:ascii="宋体" w:hAnsi="宋体"/>
          <w:color w:val="auto"/>
          <w:sz w:val="24"/>
          <w:highlight w:val="none"/>
        </w:rPr>
        <w:t>规定的任何一种情形的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.投标人有以他人的名义投标、串通投标、弄虚作假或有其他违法行为的；包含但不仅限于以下行为：</w:t>
      </w:r>
    </w:p>
    <w:p>
      <w:pPr>
        <w:tabs>
          <w:tab w:val="left" w:pos="1080"/>
        </w:tabs>
        <w:ind w:firstLine="960" w:firstLineChars="400"/>
        <w:rPr>
          <w:rFonts w:hint="eastAsia" w:ascii="宋体" w:hAnsi="宋体" w:eastAsia="宋体"/>
          <w:color w:val="auto"/>
          <w:sz w:val="24"/>
          <w:highlight w:val="none"/>
          <w:lang w:eastAsia="zh-CN"/>
        </w:rPr>
      </w:pPr>
      <w:r>
        <w:rPr>
          <w:rFonts w:hint="eastAsia" w:ascii="宋体" w:hAnsi="宋体"/>
          <w:color w:val="auto"/>
          <w:sz w:val="24"/>
          <w:highlight w:val="none"/>
        </w:rPr>
        <w:t>2.1不同投标人编制的投标文件的实质性内容存在两处以上细节错误一致</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评标委员会要求澄清、说明、补正，投标人拒不进行澄清、说明、补正的；或不按评标委员会要求澄清、说明或补正的；或评标委员会根据评标办法对投标文件的计算错误进行修正后，投标人不接受修正后的投标报价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4</w:t>
      </w:r>
      <w:r>
        <w:rPr>
          <w:rFonts w:hint="eastAsia" w:ascii="宋体" w:hAnsi="宋体"/>
          <w:color w:val="auto"/>
          <w:sz w:val="24"/>
          <w:highlight w:val="none"/>
        </w:rPr>
        <w:t>.在资格（形式、响应）、技术评审中，投标</w:t>
      </w:r>
      <w:r>
        <w:rPr>
          <w:rFonts w:ascii="宋体" w:hAnsi="宋体"/>
          <w:color w:val="auto"/>
          <w:sz w:val="24"/>
          <w:highlight w:val="none"/>
        </w:rPr>
        <w:t>文件</w:t>
      </w:r>
      <w:r>
        <w:rPr>
          <w:rFonts w:hint="eastAsia" w:ascii="宋体" w:hAnsi="宋体"/>
          <w:color w:val="auto"/>
          <w:sz w:val="24"/>
          <w:highlight w:val="none"/>
        </w:rPr>
        <w:t>资格（形式、响应）、</w:t>
      </w:r>
      <w:r>
        <w:rPr>
          <w:rFonts w:ascii="宋体" w:hAnsi="宋体"/>
          <w:color w:val="auto"/>
          <w:sz w:val="24"/>
          <w:highlight w:val="none"/>
        </w:rPr>
        <w:t>技术</w:t>
      </w:r>
      <w:r>
        <w:rPr>
          <w:rFonts w:hint="eastAsia" w:ascii="宋体" w:hAnsi="宋体"/>
          <w:color w:val="auto"/>
          <w:sz w:val="24"/>
          <w:highlight w:val="none"/>
        </w:rPr>
        <w:t>评审</w:t>
      </w:r>
      <w:r>
        <w:rPr>
          <w:rFonts w:ascii="宋体" w:hAnsi="宋体"/>
          <w:color w:val="auto"/>
          <w:sz w:val="24"/>
          <w:highlight w:val="none"/>
        </w:rPr>
        <w:t>材料</w:t>
      </w:r>
      <w:r>
        <w:rPr>
          <w:rFonts w:hint="eastAsia" w:ascii="宋体" w:hAnsi="宋体"/>
          <w:color w:val="auto"/>
          <w:sz w:val="24"/>
          <w:highlight w:val="none"/>
        </w:rPr>
        <w:t>中没</w:t>
      </w:r>
      <w:r>
        <w:rPr>
          <w:rFonts w:ascii="宋体" w:hAnsi="宋体"/>
          <w:color w:val="auto"/>
          <w:sz w:val="24"/>
          <w:highlight w:val="none"/>
        </w:rPr>
        <w:t>有提供相</w:t>
      </w:r>
      <w:r>
        <w:rPr>
          <w:rFonts w:hint="eastAsia" w:ascii="宋体" w:hAnsi="宋体"/>
          <w:color w:val="auto"/>
          <w:sz w:val="24"/>
          <w:highlight w:val="none"/>
        </w:rPr>
        <w:t>应评审材料</w:t>
      </w:r>
      <w:r>
        <w:rPr>
          <w:rFonts w:ascii="宋体" w:hAnsi="宋体"/>
          <w:color w:val="auto"/>
          <w:sz w:val="24"/>
          <w:highlight w:val="none"/>
        </w:rPr>
        <w:t>的</w:t>
      </w:r>
      <w:r>
        <w:rPr>
          <w:rFonts w:hint="eastAsia" w:ascii="宋体" w:hAnsi="宋体"/>
          <w:color w:val="auto"/>
          <w:sz w:val="24"/>
          <w:highlight w:val="none"/>
        </w:rPr>
        <w:t>；评审结论或综合评价结果被</w:t>
      </w:r>
      <w:r>
        <w:rPr>
          <w:rFonts w:ascii="宋体" w:hAnsi="宋体"/>
          <w:color w:val="auto"/>
          <w:sz w:val="24"/>
          <w:highlight w:val="none"/>
        </w:rPr>
        <w:t>评</w:t>
      </w:r>
      <w:r>
        <w:rPr>
          <w:rFonts w:hint="eastAsia" w:ascii="宋体" w:hAnsi="宋体"/>
          <w:color w:val="auto"/>
          <w:sz w:val="24"/>
          <w:highlight w:val="none"/>
        </w:rPr>
        <w:t>为不合格的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5.投标报价文件（投标函除外）未经在本单位执业的注册造价工程师签</w:t>
      </w:r>
      <w:r>
        <w:rPr>
          <w:rFonts w:hint="eastAsia" w:ascii="宋体" w:hAnsi="宋体"/>
          <w:color w:val="auto"/>
          <w:sz w:val="24"/>
          <w:highlight w:val="none"/>
          <w:lang w:eastAsia="zh-CN"/>
        </w:rPr>
        <w:t>名</w:t>
      </w:r>
      <w:r>
        <w:rPr>
          <w:rFonts w:hint="eastAsia" w:ascii="宋体" w:hAnsi="宋体"/>
          <w:color w:val="auto"/>
          <w:sz w:val="24"/>
          <w:highlight w:val="none"/>
        </w:rPr>
        <w:t>并加盖执业专用章的、无加盖编制投标报价文件单位公章的、无编制投标报价文件单位法定代表人或者授权人签</w:t>
      </w:r>
      <w:r>
        <w:rPr>
          <w:rFonts w:hint="eastAsia" w:ascii="宋体" w:hAnsi="宋体"/>
          <w:color w:val="auto"/>
          <w:sz w:val="24"/>
          <w:highlight w:val="none"/>
          <w:lang w:eastAsia="zh-CN"/>
        </w:rPr>
        <w:t>名</w:t>
      </w:r>
      <w:r>
        <w:rPr>
          <w:rFonts w:hint="eastAsia" w:ascii="宋体" w:hAnsi="宋体"/>
          <w:color w:val="auto"/>
          <w:sz w:val="24"/>
          <w:highlight w:val="none"/>
        </w:rPr>
        <w:t>的；投标人委托造价咨询单位编制投标报价，未提供“委托书”或“协议书”复印件的；注册造价工程师注册执业单位与投标人或受委托造价咨询单位（指委托编制投标报价的）不相符的；不同投标人委托同一造价咨询单位进行编制投标报价文件的；投标人投标报价文件的编制、复核为同一人的</w:t>
      </w:r>
      <w:r>
        <w:rPr>
          <w:rFonts w:hint="eastAsia" w:ascii="宋体" w:hAnsi="宋体"/>
          <w:color w:val="auto"/>
          <w:sz w:val="24"/>
          <w:highlight w:val="none"/>
          <w:lang w:eastAsia="zh-CN"/>
        </w:rPr>
        <w:t>；编制、</w:t>
      </w:r>
      <w:r>
        <w:rPr>
          <w:rFonts w:hint="eastAsia" w:ascii="宋体" w:hAnsi="宋体"/>
          <w:color w:val="auto"/>
          <w:sz w:val="24"/>
          <w:highlight w:val="none"/>
        </w:rPr>
        <w:t>复核没有盖注册造价工程师执业印章的</w:t>
      </w:r>
      <w:r>
        <w:rPr>
          <w:rFonts w:hint="eastAsia" w:ascii="宋体" w:hAnsi="宋体"/>
          <w:color w:val="auto"/>
          <w:sz w:val="24"/>
          <w:highlight w:val="none"/>
          <w:lang w:eastAsia="zh-CN"/>
        </w:rPr>
        <w:t>；复核</w:t>
      </w:r>
      <w:r>
        <w:rPr>
          <w:rFonts w:hint="eastAsia" w:ascii="宋体" w:hAnsi="宋体"/>
          <w:color w:val="auto"/>
          <w:sz w:val="24"/>
          <w:highlight w:val="none"/>
          <w:lang w:val="en-US" w:eastAsia="zh-CN"/>
        </w:rPr>
        <w:t>人</w:t>
      </w:r>
      <w:r>
        <w:rPr>
          <w:rFonts w:hint="eastAsia" w:ascii="宋体" w:hAnsi="宋体"/>
          <w:color w:val="auto"/>
          <w:sz w:val="24"/>
          <w:highlight w:val="none"/>
          <w:lang w:eastAsia="zh-CN"/>
        </w:rPr>
        <w:t>不是一级注册造价工程师的。</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6.未按要求在开标时提供有关资料的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7</w:t>
      </w:r>
      <w:r>
        <w:rPr>
          <w:rFonts w:hint="eastAsia" w:ascii="宋体" w:hAnsi="宋体"/>
          <w:color w:val="auto"/>
          <w:sz w:val="24"/>
          <w:highlight w:val="none"/>
        </w:rPr>
        <w:t>.评标委员会认定投标人以低于成本报价竞标的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8</w:t>
      </w:r>
      <w:r>
        <w:rPr>
          <w:rFonts w:hint="eastAsia" w:ascii="宋体" w:hAnsi="宋体"/>
          <w:color w:val="auto"/>
          <w:sz w:val="24"/>
          <w:highlight w:val="none"/>
        </w:rPr>
        <w:t>.投标报价高于招标文件设定的</w:t>
      </w:r>
      <w:r>
        <w:rPr>
          <w:rFonts w:hint="eastAsia" w:ascii="宋体" w:hAnsi="宋体"/>
          <w:color w:val="auto"/>
          <w:sz w:val="24"/>
          <w:highlight w:val="none"/>
          <w:lang w:eastAsia="zh-CN"/>
        </w:rPr>
        <w:t>最高投标限价</w:t>
      </w:r>
      <w:r>
        <w:rPr>
          <w:rFonts w:hint="eastAsia" w:ascii="宋体" w:hAnsi="宋体"/>
          <w:color w:val="auto"/>
          <w:sz w:val="24"/>
          <w:highlight w:val="none"/>
        </w:rPr>
        <w:t>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9.投标文件中拟投入本项目的项目负责人（注册建造师）及在投标报价文件中签</w:t>
      </w:r>
      <w:r>
        <w:rPr>
          <w:rFonts w:hint="eastAsia" w:ascii="宋体" w:hAnsi="宋体"/>
          <w:color w:val="auto"/>
          <w:sz w:val="24"/>
          <w:highlight w:val="none"/>
          <w:lang w:eastAsia="zh-CN"/>
        </w:rPr>
        <w:t>名</w:t>
      </w:r>
      <w:r>
        <w:rPr>
          <w:rFonts w:hint="eastAsia" w:ascii="宋体" w:hAnsi="宋体"/>
          <w:color w:val="auto"/>
          <w:sz w:val="24"/>
          <w:highlight w:val="none"/>
        </w:rPr>
        <w:t>盖章的注册造价工程师信息核查不符合要求的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ascii="宋体" w:hAnsi="宋体"/>
          <w:color w:val="auto"/>
          <w:sz w:val="24"/>
          <w:highlight w:val="none"/>
        </w:rPr>
        <w:t>0</w:t>
      </w:r>
      <w:r>
        <w:rPr>
          <w:rFonts w:hint="eastAsia" w:ascii="宋体" w:hAnsi="宋体"/>
          <w:color w:val="auto"/>
          <w:sz w:val="24"/>
          <w:highlight w:val="none"/>
        </w:rPr>
        <w:t>.投标文件未按招标文件要求签名或</w:t>
      </w:r>
      <w:r>
        <w:rPr>
          <w:rFonts w:hint="eastAsia" w:ascii="宋体" w:hAnsi="宋体"/>
          <w:color w:val="auto"/>
          <w:sz w:val="24"/>
          <w:highlight w:val="none"/>
          <w:lang w:eastAsia="zh-CN"/>
        </w:rPr>
        <w:t>盖</w:t>
      </w:r>
      <w:r>
        <w:rPr>
          <w:rFonts w:hint="eastAsia" w:ascii="宋体" w:hAnsi="宋体"/>
          <w:color w:val="auto"/>
          <w:sz w:val="24"/>
          <w:highlight w:val="none"/>
        </w:rPr>
        <w:t>章的，投标人签</w:t>
      </w:r>
      <w:r>
        <w:rPr>
          <w:rFonts w:hint="eastAsia" w:ascii="宋体" w:hAnsi="宋体"/>
          <w:color w:val="auto"/>
          <w:sz w:val="24"/>
          <w:highlight w:val="none"/>
          <w:lang w:eastAsia="zh-CN"/>
        </w:rPr>
        <w:t>名或盖</w:t>
      </w:r>
      <w:r>
        <w:rPr>
          <w:rFonts w:hint="eastAsia" w:ascii="宋体" w:hAnsi="宋体"/>
          <w:color w:val="auto"/>
          <w:sz w:val="24"/>
          <w:highlight w:val="none"/>
        </w:rPr>
        <w:t>章不完整的，未有法定代表人或者被授权人签名或盖章的</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.投标人递交两份或多份内容不同的投标文件的（投标文件另有规定除外）</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12.投标函中没有单列</w:t>
      </w:r>
      <w:r>
        <w:rPr>
          <w:rFonts w:hint="eastAsia" w:ascii="宋体" w:hAnsi="宋体"/>
          <w:color w:val="auto"/>
          <w:sz w:val="24"/>
          <w:highlight w:val="none"/>
          <w:lang w:eastAsia="zh-CN"/>
        </w:rPr>
        <w:t>安全生产</w:t>
      </w:r>
      <w:r>
        <w:rPr>
          <w:rFonts w:hint="eastAsia" w:ascii="宋体" w:hAnsi="宋体"/>
          <w:color w:val="auto"/>
          <w:sz w:val="24"/>
          <w:highlight w:val="none"/>
        </w:rPr>
        <w:t>措施费的；或投标人的</w:t>
      </w:r>
      <w:r>
        <w:rPr>
          <w:rFonts w:hint="eastAsia" w:ascii="宋体" w:hAnsi="宋体"/>
          <w:color w:val="auto"/>
          <w:sz w:val="24"/>
          <w:highlight w:val="none"/>
          <w:lang w:eastAsia="zh-CN"/>
        </w:rPr>
        <w:t>安全生产</w:t>
      </w:r>
      <w:r>
        <w:rPr>
          <w:rFonts w:hint="eastAsia" w:ascii="宋体" w:hAnsi="宋体"/>
          <w:color w:val="auto"/>
          <w:sz w:val="24"/>
          <w:highlight w:val="none"/>
        </w:rPr>
        <w:t>措施费报价低于招标文件公布的</w:t>
      </w:r>
      <w:r>
        <w:rPr>
          <w:rFonts w:hint="eastAsia" w:ascii="宋体" w:hAnsi="宋体"/>
          <w:color w:val="auto"/>
          <w:sz w:val="24"/>
          <w:highlight w:val="none"/>
          <w:lang w:eastAsia="zh-CN"/>
        </w:rPr>
        <w:t>最高投标限价</w:t>
      </w:r>
      <w:r>
        <w:rPr>
          <w:rFonts w:hint="eastAsia" w:ascii="宋体" w:hAnsi="宋体"/>
          <w:color w:val="auto"/>
          <w:sz w:val="24"/>
          <w:highlight w:val="none"/>
        </w:rPr>
        <w:t>中</w:t>
      </w:r>
      <w:r>
        <w:rPr>
          <w:rFonts w:hint="eastAsia" w:ascii="宋体" w:hAnsi="宋体"/>
          <w:color w:val="auto"/>
          <w:sz w:val="24"/>
          <w:highlight w:val="none"/>
          <w:lang w:eastAsia="zh-CN"/>
        </w:rPr>
        <w:t>安全生产</w:t>
      </w:r>
      <w:r>
        <w:rPr>
          <w:rFonts w:hint="eastAsia" w:ascii="宋体" w:hAnsi="宋体"/>
          <w:color w:val="auto"/>
          <w:sz w:val="24"/>
          <w:highlight w:val="none"/>
        </w:rPr>
        <w:t>措施费总额的</w:t>
      </w:r>
      <w:r>
        <w:rPr>
          <w:rFonts w:hint="eastAsia" w:ascii="宋体" w:hAnsi="宋体"/>
          <w:color w:val="auto"/>
          <w:sz w:val="24"/>
          <w:highlight w:val="none"/>
          <w:lang w:eastAsia="zh-CN"/>
        </w:rPr>
        <w:t>。</w:t>
      </w:r>
    </w:p>
    <w:p>
      <w:pPr>
        <w:ind w:firstLine="480" w:firstLineChars="200"/>
        <w:rPr>
          <w:rFonts w:hint="eastAsia" w:ascii="宋体" w:hAnsi="宋体"/>
          <w:color w:val="auto"/>
          <w:sz w:val="24"/>
          <w:highlight w:val="none"/>
        </w:rPr>
      </w:pPr>
      <w:r>
        <w:rPr>
          <w:rFonts w:hint="eastAsia" w:ascii="宋体" w:hAnsi="宋体"/>
          <w:color w:val="auto"/>
          <w:sz w:val="24"/>
          <w:highlight w:val="none"/>
        </w:rPr>
        <w:t>13.分部分项工程量清单的项目编码项目、项目名称、项目特征、计量单位、工程量与招标人提供的不一致的</w:t>
      </w:r>
      <w:r>
        <w:rPr>
          <w:rFonts w:hint="eastAsia" w:ascii="宋体" w:hAnsi="宋体"/>
          <w:color w:val="auto"/>
          <w:sz w:val="24"/>
          <w:highlight w:val="none"/>
          <w:lang w:val="en-US" w:eastAsia="zh-CN"/>
        </w:rPr>
        <w:t>；投标文件中材料品牌标准及其报价不符合投标人须知前附表中有关要求的</w:t>
      </w:r>
      <w:r>
        <w:rPr>
          <w:rFonts w:hint="eastAsia" w:ascii="宋体" w:hAnsi="宋体"/>
          <w:color w:val="auto"/>
          <w:sz w:val="24"/>
          <w:highlight w:val="none"/>
        </w:rPr>
        <w:t>。</w:t>
      </w:r>
    </w:p>
    <w:p>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14.投标报价中的税金不按现行规定计算的</w:t>
      </w:r>
      <w:r>
        <w:rPr>
          <w:rFonts w:hint="eastAsia" w:ascii="宋体" w:hAnsi="宋体"/>
          <w:color w:val="auto"/>
          <w:sz w:val="24"/>
          <w:highlight w:val="none"/>
          <w:lang w:eastAsia="zh-CN"/>
        </w:rPr>
        <w:t>。</w:t>
      </w:r>
    </w:p>
    <w:p>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15.暂列金额、暂估价未按照</w:t>
      </w:r>
      <w:r>
        <w:rPr>
          <w:rFonts w:hint="eastAsia" w:ascii="宋体" w:hAnsi="宋体"/>
          <w:color w:val="auto"/>
          <w:sz w:val="24"/>
          <w:highlight w:val="none"/>
          <w:lang w:eastAsia="zh-CN"/>
        </w:rPr>
        <w:t>最高投标限价</w:t>
      </w:r>
      <w:r>
        <w:rPr>
          <w:rFonts w:hint="eastAsia" w:ascii="宋体" w:hAnsi="宋体"/>
          <w:color w:val="auto"/>
          <w:sz w:val="24"/>
          <w:highlight w:val="none"/>
        </w:rPr>
        <w:t>中公布的相应金额报价的</w:t>
      </w:r>
      <w:r>
        <w:rPr>
          <w:rFonts w:hint="eastAsia" w:ascii="宋体" w:hAnsi="宋体"/>
          <w:color w:val="auto"/>
          <w:sz w:val="24"/>
          <w:highlight w:val="none"/>
          <w:lang w:eastAsia="zh-CN"/>
        </w:rPr>
        <w:t>。</w:t>
      </w:r>
    </w:p>
    <w:p>
      <w:pPr>
        <w:ind w:firstLine="480" w:firstLineChars="200"/>
        <w:rPr>
          <w:rFonts w:hint="eastAsia" w:ascii="宋体" w:hAnsi="宋体"/>
          <w:color w:val="auto"/>
          <w:sz w:val="24"/>
          <w:highlight w:val="none"/>
        </w:rPr>
      </w:pPr>
      <w:r>
        <w:rPr>
          <w:rFonts w:hint="eastAsia" w:ascii="宋体" w:hAnsi="宋体"/>
          <w:color w:val="auto"/>
          <w:sz w:val="24"/>
          <w:highlight w:val="none"/>
        </w:rPr>
        <w:t>16.投标人需根据招标文件要求及有关建设规定对以下各点作出书面承诺（工程承诺书）：</w:t>
      </w:r>
    </w:p>
    <w:p>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A.严格按照设计图纸施工方面</w:t>
      </w:r>
      <w:r>
        <w:rPr>
          <w:rFonts w:hint="eastAsia" w:ascii="宋体" w:hAnsi="宋体"/>
          <w:color w:val="auto"/>
          <w:sz w:val="24"/>
          <w:highlight w:val="none"/>
          <w:lang w:val="en-US" w:eastAsia="zh-CN"/>
        </w:rPr>
        <w:t>；</w:t>
      </w:r>
    </w:p>
    <w:p>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B.安全施工、安全责任方面、文明施工方面</w:t>
      </w:r>
      <w:r>
        <w:rPr>
          <w:rFonts w:hint="eastAsia" w:ascii="宋体" w:hAnsi="宋体"/>
          <w:color w:val="auto"/>
          <w:sz w:val="24"/>
          <w:highlight w:val="none"/>
          <w:lang w:val="en-US" w:eastAsia="zh-CN"/>
        </w:rPr>
        <w:t>；</w:t>
      </w:r>
    </w:p>
    <w:p>
      <w:pPr>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C.工程质量、工程进度方面</w:t>
      </w:r>
      <w:r>
        <w:rPr>
          <w:rFonts w:hint="eastAsia" w:ascii="宋体" w:hAnsi="宋体"/>
          <w:color w:val="auto"/>
          <w:sz w:val="24"/>
          <w:highlight w:val="none"/>
          <w:lang w:val="en-US" w:eastAsia="zh-CN"/>
        </w:rPr>
        <w:t>；</w:t>
      </w:r>
    </w:p>
    <w:p>
      <w:pPr>
        <w:ind w:firstLine="480" w:firstLineChars="200"/>
        <w:rPr>
          <w:rFonts w:hint="eastAsia" w:ascii="宋体" w:hAnsi="宋体"/>
          <w:color w:val="auto"/>
          <w:sz w:val="24"/>
          <w:highlight w:val="none"/>
        </w:rPr>
      </w:pPr>
      <w:r>
        <w:rPr>
          <w:rFonts w:hint="eastAsia" w:ascii="宋体" w:hAnsi="宋体"/>
          <w:color w:val="auto"/>
          <w:sz w:val="24"/>
          <w:highlight w:val="none"/>
        </w:rPr>
        <w:t xml:space="preserve">D.投入本工程的技术人员和管理人员到位方面； </w:t>
      </w:r>
    </w:p>
    <w:p>
      <w:pPr>
        <w:ind w:firstLine="480" w:firstLineChars="200"/>
        <w:rPr>
          <w:rFonts w:hint="eastAsia" w:ascii="宋体" w:hAnsi="宋体"/>
          <w:color w:val="auto"/>
          <w:sz w:val="24"/>
          <w:highlight w:val="none"/>
        </w:rPr>
      </w:pPr>
      <w:r>
        <w:rPr>
          <w:rFonts w:hint="eastAsia" w:ascii="宋体" w:hAnsi="宋体"/>
          <w:color w:val="auto"/>
          <w:sz w:val="24"/>
          <w:highlight w:val="none"/>
        </w:rPr>
        <w:t xml:space="preserve">E.综合单价风险包干及招标文件关于投标报价的有关规定方面； </w:t>
      </w:r>
    </w:p>
    <w:p>
      <w:pPr>
        <w:ind w:firstLine="480" w:firstLineChars="200"/>
        <w:rPr>
          <w:rFonts w:hint="eastAsia" w:ascii="宋体" w:hAnsi="宋体"/>
          <w:color w:val="auto"/>
          <w:sz w:val="24"/>
          <w:highlight w:val="none"/>
        </w:rPr>
      </w:pPr>
      <w:r>
        <w:rPr>
          <w:rFonts w:hint="eastAsia" w:ascii="宋体" w:hAnsi="宋体"/>
          <w:color w:val="auto"/>
          <w:sz w:val="24"/>
          <w:highlight w:val="none"/>
        </w:rPr>
        <w:t>F．承诺实施完成本工程范围内的增加及变更工程，费用按照投标报价书中的相应价格或经审定的价格完成；</w:t>
      </w:r>
    </w:p>
    <w:p>
      <w:pPr>
        <w:ind w:firstLine="480" w:firstLineChars="200"/>
        <w:rPr>
          <w:rFonts w:hint="eastAsia" w:ascii="宋体" w:hAnsi="宋体"/>
          <w:color w:val="auto"/>
          <w:sz w:val="24"/>
          <w:highlight w:val="none"/>
        </w:rPr>
      </w:pPr>
      <w:r>
        <w:rPr>
          <w:rFonts w:hint="eastAsia" w:ascii="宋体" w:hAnsi="宋体"/>
          <w:color w:val="auto"/>
          <w:sz w:val="24"/>
          <w:highlight w:val="none"/>
        </w:rPr>
        <w:t>G.承诺书须加盖单位公章，未在投标文件中作出书面承诺的或书面承诺未盖公章，视为不响应招标文件实质性内容，否决其投标</w:t>
      </w:r>
      <w:r>
        <w:rPr>
          <w:rFonts w:hint="eastAsia" w:ascii="宋体" w:hAnsi="宋体"/>
          <w:color w:val="auto"/>
          <w:sz w:val="24"/>
          <w:highlight w:val="none"/>
          <w:lang w:eastAsia="zh-CN"/>
        </w:rPr>
        <w:t>。</w:t>
      </w:r>
    </w:p>
    <w:p>
      <w:pPr>
        <w:tabs>
          <w:tab w:val="left" w:pos="1080"/>
        </w:tabs>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17.</w:t>
      </w:r>
      <w:r>
        <w:rPr>
          <w:rFonts w:hint="eastAsia"/>
          <w:bCs/>
          <w:color w:val="auto"/>
          <w:sz w:val="24"/>
          <w:highlight w:val="none"/>
        </w:rPr>
        <w:t>投标人</w:t>
      </w:r>
      <w:r>
        <w:rPr>
          <w:rFonts w:hint="eastAsia" w:ascii="宋体" w:hAnsi="宋体"/>
          <w:color w:val="auto"/>
          <w:sz w:val="24"/>
          <w:highlight w:val="none"/>
        </w:rPr>
        <w:t>未在投标文件中按招标文件要求作出</w:t>
      </w:r>
      <w:r>
        <w:rPr>
          <w:rFonts w:hint="eastAsia"/>
          <w:bCs/>
          <w:color w:val="auto"/>
          <w:sz w:val="24"/>
          <w:highlight w:val="none"/>
        </w:rPr>
        <w:t>诚信承诺或未在诚信承诺书</w:t>
      </w:r>
      <w:r>
        <w:rPr>
          <w:rFonts w:hint="eastAsia" w:ascii="宋体" w:hAnsi="宋体"/>
          <w:color w:val="auto"/>
          <w:sz w:val="24"/>
          <w:highlight w:val="none"/>
        </w:rPr>
        <w:t>加盖单位公章的</w:t>
      </w:r>
      <w:r>
        <w:rPr>
          <w:rFonts w:hint="eastAsia" w:ascii="宋体" w:hAnsi="宋体"/>
          <w:color w:val="auto"/>
          <w:sz w:val="24"/>
          <w:highlight w:val="none"/>
          <w:lang w:eastAsia="zh-CN"/>
        </w:rPr>
        <w:t>。</w:t>
      </w:r>
    </w:p>
    <w:p>
      <w:pPr>
        <w:ind w:firstLine="480" w:firstLineChars="200"/>
        <w:rPr>
          <w:rFonts w:hint="eastAsia" w:ascii="宋体" w:hAnsi="宋体"/>
          <w:color w:val="auto"/>
          <w:sz w:val="24"/>
          <w:highlight w:val="none"/>
        </w:rPr>
      </w:pPr>
      <w:r>
        <w:rPr>
          <w:rFonts w:hint="eastAsia" w:ascii="宋体" w:hAnsi="宋体"/>
          <w:color w:val="auto"/>
          <w:sz w:val="24"/>
          <w:highlight w:val="none"/>
        </w:rPr>
        <w:t>18.经计算机评标系统检测到不同投标人的投标报价中分部分项工程量清单综合单价相似度达到80%及以上的。</w:t>
      </w:r>
    </w:p>
    <w:p>
      <w:pPr>
        <w:tabs>
          <w:tab w:val="left" w:pos="1080"/>
        </w:tabs>
        <w:ind w:firstLine="480" w:firstLineChars="200"/>
        <w:rPr>
          <w:rFonts w:hint="eastAsia" w:ascii="宋体"/>
          <w:color w:val="auto"/>
          <w:sz w:val="24"/>
          <w:highlight w:val="none"/>
        </w:rPr>
      </w:pPr>
      <w:r>
        <w:rPr>
          <w:rFonts w:hint="eastAsia" w:ascii="宋体" w:hAnsi="宋体"/>
          <w:color w:val="auto"/>
          <w:sz w:val="24"/>
          <w:highlight w:val="none"/>
          <w:lang w:val="en-US" w:eastAsia="zh-CN"/>
        </w:rPr>
        <w:t>19.</w:t>
      </w:r>
      <w:r>
        <w:rPr>
          <w:rFonts w:hint="eastAsia"/>
          <w:color w:val="auto"/>
          <w:sz w:val="24"/>
          <w:highlight w:val="none"/>
        </w:rPr>
        <w:t>法律、法规、规章规定的其他情形。</w:t>
      </w:r>
    </w:p>
    <w:p>
      <w:pPr>
        <w:rPr>
          <w:rFonts w:hint="eastAsia"/>
          <w:color w:val="auto"/>
          <w:highlight w:val="none"/>
        </w:rPr>
      </w:pPr>
    </w:p>
    <w:p>
      <w:pPr>
        <w:rPr>
          <w:rFonts w:hint="eastAsia"/>
          <w:color w:val="auto"/>
          <w:highlight w:val="none"/>
        </w:rPr>
      </w:pPr>
    </w:p>
    <w:p>
      <w:pPr>
        <w:jc w:val="center"/>
        <w:outlineLvl w:val="0"/>
        <w:rPr>
          <w:rFonts w:hint="eastAsia" w:ascii="宋体" w:hAnsi="宋体" w:eastAsia="宋体" w:cs="Times New Roman"/>
          <w:b/>
          <w:bCs/>
          <w:color w:val="auto"/>
          <w:kern w:val="2"/>
          <w:sz w:val="36"/>
          <w:szCs w:val="36"/>
          <w:highlight w:val="none"/>
          <w:lang w:val="en-US" w:eastAsia="zh-CN" w:bidi="ar-SA"/>
        </w:rPr>
      </w:pPr>
      <w:bookmarkStart w:id="6" w:name="_Toc28964992"/>
      <w:r>
        <w:rPr>
          <w:rFonts w:hint="eastAsia" w:ascii="宋体" w:hAnsi="宋体" w:eastAsia="宋体"/>
          <w:color w:val="auto"/>
          <w:sz w:val="36"/>
          <w:szCs w:val="36"/>
          <w:highlight w:val="none"/>
        </w:rPr>
        <w:br w:type="page"/>
      </w:r>
      <w:bookmarkStart w:id="7" w:name="_Toc17544028"/>
      <w:r>
        <w:rPr>
          <w:rFonts w:hint="eastAsia" w:ascii="宋体" w:hAnsi="宋体" w:eastAsia="宋体" w:cs="Times New Roman"/>
          <w:b/>
          <w:bCs/>
          <w:color w:val="auto"/>
          <w:kern w:val="2"/>
          <w:sz w:val="36"/>
          <w:szCs w:val="36"/>
          <w:highlight w:val="none"/>
          <w:lang w:val="en-US" w:eastAsia="zh-CN" w:bidi="ar-SA"/>
        </w:rPr>
        <w:t>第一章  招标公告</w:t>
      </w:r>
      <w:bookmarkEnd w:id="6"/>
      <w:bookmarkEnd w:id="7"/>
    </w:p>
    <w:p>
      <w:pPr>
        <w:spacing w:before="240" w:beforeLines="100" w:line="360" w:lineRule="auto"/>
        <w:ind w:firstLine="1440" w:firstLineChars="600"/>
        <w:rPr>
          <w:rFonts w:hint="eastAsia"/>
          <w:color w:val="auto"/>
          <w:sz w:val="24"/>
          <w:highlight w:val="none"/>
        </w:rPr>
      </w:pPr>
      <w:r>
        <w:rPr>
          <w:rFonts w:hint="eastAsia" w:ascii="宋体" w:hAnsi="宋体"/>
          <w:color w:val="auto"/>
          <w:sz w:val="24"/>
          <w:highlight w:val="none"/>
          <w:u w:val="single"/>
        </w:rPr>
        <w:t xml:space="preserve">             （项目名称）          </w:t>
      </w:r>
      <w:r>
        <w:rPr>
          <w:rFonts w:hint="eastAsia" w:ascii="黑体" w:eastAsia="黑体"/>
          <w:b/>
          <w:color w:val="auto"/>
          <w:sz w:val="24"/>
          <w:highlight w:val="none"/>
        </w:rPr>
        <w:t>施工招标公告</w:t>
      </w:r>
    </w:p>
    <w:tbl>
      <w:tblPr>
        <w:tblStyle w:val="43"/>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69"/>
        <w:gridCol w:w="1746"/>
        <w:gridCol w:w="1425"/>
        <w:gridCol w:w="1518"/>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投资项目代码</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投资项目名称</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招标项目名称</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标段（包）名称</w:t>
            </w:r>
          </w:p>
        </w:tc>
        <w:tc>
          <w:tcPr>
            <w:tcW w:w="3171" w:type="dxa"/>
            <w:gridSpan w:val="2"/>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（如无填“</w:t>
            </w:r>
            <w:r>
              <w:rPr>
                <w:rFonts w:hint="default"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eastAsia="zh-CN"/>
              </w:rPr>
              <w:t>”）</w:t>
            </w: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公告性质</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资格审查方式</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招标项目实施地点</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资金来源</w:t>
            </w:r>
          </w:p>
        </w:tc>
        <w:tc>
          <w:tcPr>
            <w:tcW w:w="3171" w:type="dxa"/>
            <w:gridSpan w:val="2"/>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c>
          <w:tcPr>
            <w:tcW w:w="1518"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资金来源构成</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招标范围规模</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招标内容</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工期</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最高投标限价</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是否接受联合体投标</w:t>
            </w:r>
          </w:p>
        </w:tc>
        <w:tc>
          <w:tcPr>
            <w:tcW w:w="7650" w:type="dxa"/>
            <w:gridSpan w:val="4"/>
            <w:noWrap w:val="0"/>
            <w:vAlign w:val="center"/>
          </w:tcPr>
          <w:p>
            <w:pPr>
              <w:spacing w:line="240" w:lineRule="auto"/>
              <w:jc w:val="center"/>
              <w:outlineLvl w:val="1"/>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（填是或否）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vMerge w:val="restart"/>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投标资格能力要求（包括但不限于资质人员、业绩等要求）</w:t>
            </w: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投标人资格要求</w:t>
            </w:r>
          </w:p>
        </w:tc>
        <w:tc>
          <w:tcPr>
            <w:tcW w:w="5904" w:type="dxa"/>
            <w:gridSpan w:val="3"/>
            <w:noWrap w:val="0"/>
            <w:vAlign w:val="center"/>
          </w:tcPr>
          <w:p>
            <w:pPr>
              <w:spacing w:line="240" w:lineRule="auto"/>
              <w:jc w:val="left"/>
              <w:outlineLvl w:val="1"/>
              <w:rPr>
                <w:rFonts w:hint="default" w:ascii="宋体" w:hAnsi="宋体" w:eastAsia="宋体"/>
                <w:color w:val="auto"/>
                <w:highlight w:val="none"/>
                <w:lang w:val="en-US" w:eastAsia="zh-CN"/>
              </w:rPr>
            </w:pPr>
            <w:r>
              <w:rPr>
                <w:rFonts w:hint="eastAsia" w:ascii="宋体" w:hAnsi="宋体"/>
                <w:color w:val="auto"/>
                <w:highlight w:val="none"/>
              </w:rPr>
              <w:t>投标人</w:t>
            </w:r>
            <w:r>
              <w:rPr>
                <w:rFonts w:hint="eastAsia" w:ascii="宋体" w:hAnsi="宋体"/>
                <w:color w:val="auto"/>
                <w:highlight w:val="none"/>
                <w:lang w:eastAsia="zh-CN"/>
              </w:rPr>
              <w:t>应</w:t>
            </w:r>
            <w:r>
              <w:rPr>
                <w:rFonts w:hint="eastAsia" w:ascii="宋体" w:hAnsi="宋体"/>
                <w:color w:val="auto"/>
                <w:highlight w:val="none"/>
              </w:rPr>
              <w:t>具备</w:t>
            </w:r>
            <w:r>
              <w:rPr>
                <w:rFonts w:hint="eastAsia" w:ascii="宋体" w:hAnsi="宋体"/>
                <w:color w:val="auto"/>
                <w:highlight w:val="none"/>
                <w:lang w:eastAsia="zh-CN"/>
              </w:rPr>
              <w:t>以下</w:t>
            </w:r>
            <w:r>
              <w:rPr>
                <w:rFonts w:hint="eastAsia" w:ascii="宋体" w:hAnsi="宋体"/>
                <w:color w:val="auto"/>
                <w:highlight w:val="none"/>
                <w:u w:val="none"/>
              </w:rPr>
              <w:t>资质</w:t>
            </w:r>
            <w:r>
              <w:rPr>
                <w:rFonts w:hint="eastAsia" w:ascii="宋体" w:hAnsi="宋体"/>
                <w:color w:val="auto"/>
                <w:highlight w:val="none"/>
                <w:u w:val="none"/>
                <w:lang w:eastAsia="zh-CN"/>
              </w:rPr>
              <w:t>：</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w:t>
            </w:r>
          </w:p>
          <w:p>
            <w:pPr>
              <w:spacing w:line="240" w:lineRule="auto"/>
              <w:jc w:val="left"/>
              <w:outlineLvl w:val="1"/>
              <w:rPr>
                <w:rFonts w:hint="eastAsia" w:ascii="宋体" w:hAnsi="宋体"/>
                <w:color w:val="auto"/>
                <w:highlight w:val="none"/>
              </w:rPr>
            </w:pPr>
            <w:r>
              <w:rPr>
                <w:rFonts w:hint="eastAsia" w:ascii="宋体" w:hAnsi="宋体"/>
                <w:color w:val="auto"/>
                <w:highlight w:val="none"/>
              </w:rPr>
              <w:t>投标人拟派项目负责人</w:t>
            </w:r>
            <w:r>
              <w:rPr>
                <w:rFonts w:hint="eastAsia" w:ascii="宋体" w:hAnsi="宋体"/>
                <w:color w:val="auto"/>
                <w:highlight w:val="none"/>
                <w:lang w:eastAsia="zh-CN"/>
              </w:rPr>
              <w:t>应持有：</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，并</w:t>
            </w:r>
            <w:r>
              <w:rPr>
                <w:rFonts w:hint="eastAsia" w:ascii="宋体" w:hAnsi="宋体"/>
                <w:color w:val="auto"/>
                <w:highlight w:val="none"/>
              </w:rPr>
              <w:t>具备有效的安全生产考核合格证书，且未担任其他在建工程项目的项目负责人。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vMerge w:val="continue"/>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投标人业绩要求</w:t>
            </w:r>
          </w:p>
        </w:tc>
        <w:tc>
          <w:tcPr>
            <w:tcW w:w="5904" w:type="dxa"/>
            <w:gridSpan w:val="3"/>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是否采用电子招标投标方式</w:t>
            </w:r>
          </w:p>
        </w:tc>
        <w:tc>
          <w:tcPr>
            <w:tcW w:w="7650" w:type="dxa"/>
            <w:gridSpan w:val="4"/>
            <w:noWrap w:val="0"/>
            <w:vAlign w:val="center"/>
          </w:tcPr>
          <w:p>
            <w:pPr>
              <w:spacing w:line="240" w:lineRule="auto"/>
              <w:jc w:val="center"/>
              <w:outlineLvl w:val="1"/>
              <w:rPr>
                <w:rFonts w:hint="eastAsia" w:ascii="宋体" w:hAnsi="宋体"/>
                <w:color w:val="auto"/>
                <w:highlight w:val="none"/>
                <w:lang w:eastAsia="zh-CN"/>
              </w:rPr>
            </w:pPr>
            <w:r>
              <w:rPr>
                <w:rFonts w:hint="eastAsia" w:ascii="宋体" w:hAnsi="宋体" w:eastAsia="宋体" w:cs="宋体"/>
                <w:color w:val="auto"/>
                <w:sz w:val="21"/>
                <w:szCs w:val="21"/>
                <w:highlight w:val="none"/>
                <w:vertAlign w:val="baseline"/>
                <w:lang w:eastAsia="zh-CN"/>
              </w:rPr>
              <w:t>（填是或否）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获取</w:t>
            </w:r>
            <w:r>
              <w:rPr>
                <w:rFonts w:hint="eastAsia" w:ascii="宋体" w:hAnsi="宋体" w:eastAsia="宋体" w:cs="宋体"/>
                <w:b/>
                <w:bCs/>
                <w:color w:val="auto"/>
                <w:sz w:val="21"/>
                <w:szCs w:val="21"/>
                <w:highlight w:val="none"/>
                <w:vertAlign w:val="baseline"/>
                <w:lang w:val="en-US" w:eastAsia="zh-CN"/>
              </w:rPr>
              <w:t>招标文件的方式</w:t>
            </w: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下载招标文件的网络地址</w:t>
            </w:r>
          </w:p>
        </w:tc>
        <w:tc>
          <w:tcPr>
            <w:tcW w:w="5904" w:type="dxa"/>
            <w:gridSpan w:val="3"/>
            <w:noWrap w:val="0"/>
            <w:vAlign w:val="center"/>
          </w:tcPr>
          <w:p>
            <w:pPr>
              <w:wordWrap w:val="0"/>
              <w:spacing w:line="240" w:lineRule="auto"/>
              <w:jc w:val="left"/>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lang w:eastAsia="zh-CN"/>
              </w:rPr>
              <w:t>广东省</w:t>
            </w:r>
            <w:r>
              <w:rPr>
                <w:rFonts w:hint="eastAsia" w:ascii="宋体" w:hAnsi="宋体" w:eastAsia="宋体" w:cs="宋体"/>
                <w:color w:val="auto"/>
                <w:szCs w:val="21"/>
                <w:highlight w:val="none"/>
              </w:rPr>
              <w:t>公共资源交易平台</w:t>
            </w:r>
            <w:r>
              <w:rPr>
                <w:rFonts w:hint="eastAsia" w:ascii="宋体" w:hAnsi="宋体" w:eastAsia="宋体" w:cs="宋体"/>
                <w:color w:val="auto"/>
                <w:szCs w:val="21"/>
                <w:highlight w:val="none"/>
                <w:lang w:eastAsia="zh-CN"/>
              </w:rPr>
              <w:t>（江门市）网址：</w:t>
            </w:r>
            <w:r>
              <w:rPr>
                <w:rFonts w:hint="eastAsia" w:ascii="宋体" w:hAnsi="宋体" w:eastAsia="宋体" w:cs="宋体"/>
                <w:color w:val="auto"/>
                <w:sz w:val="21"/>
                <w:szCs w:val="21"/>
                <w:highlight w:val="none"/>
              </w:rPr>
              <w:t>https://ygp.gdzwfw.gov.cn/ggzy-portal/index.html#/440700/index</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eastAsia="zh-CN"/>
              </w:rPr>
              <w:t>获取</w:t>
            </w:r>
            <w:r>
              <w:rPr>
                <w:rFonts w:hint="eastAsia" w:ascii="宋体" w:hAnsi="宋体" w:eastAsia="宋体" w:cs="宋体"/>
                <w:b/>
                <w:bCs/>
                <w:color w:val="auto"/>
                <w:sz w:val="21"/>
                <w:szCs w:val="21"/>
                <w:highlight w:val="none"/>
                <w:vertAlign w:val="baseline"/>
                <w:lang w:val="en-US" w:eastAsia="zh-CN"/>
              </w:rPr>
              <w:t>招标文件开始时间</w:t>
            </w: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c>
          <w:tcPr>
            <w:tcW w:w="1425"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获取招标文件截止时间</w:t>
            </w:r>
          </w:p>
        </w:tc>
        <w:tc>
          <w:tcPr>
            <w:tcW w:w="4479" w:type="dxa"/>
            <w:gridSpan w:val="2"/>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eastAsia="zh-CN"/>
              </w:rPr>
              <w:t>递交</w:t>
            </w:r>
            <w:r>
              <w:rPr>
                <w:rFonts w:hint="eastAsia" w:ascii="宋体" w:hAnsi="宋体" w:eastAsia="宋体" w:cs="宋体"/>
                <w:b/>
                <w:bCs/>
                <w:color w:val="auto"/>
                <w:sz w:val="21"/>
                <w:szCs w:val="21"/>
                <w:highlight w:val="none"/>
                <w:vertAlign w:val="baseline"/>
                <w:lang w:val="en-US" w:eastAsia="zh-CN"/>
              </w:rPr>
              <w:t>投标文件截止时间</w:t>
            </w: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c>
          <w:tcPr>
            <w:tcW w:w="1425" w:type="dxa"/>
            <w:noWrap w:val="0"/>
            <w:vAlign w:val="center"/>
          </w:tcPr>
          <w:p>
            <w:pPr>
              <w:spacing w:line="240" w:lineRule="auto"/>
              <w:jc w:val="center"/>
              <w:outlineLvl w:val="1"/>
              <w:rPr>
                <w:rFonts w:hint="default"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投标文件递交方式</w:t>
            </w:r>
          </w:p>
        </w:tc>
        <w:tc>
          <w:tcPr>
            <w:tcW w:w="4479" w:type="dxa"/>
            <w:gridSpan w:val="2"/>
            <w:noWrap w:val="0"/>
            <w:vAlign w:val="center"/>
          </w:tcPr>
          <w:p>
            <w:pPr>
              <w:wordWrap w:val="0"/>
              <w:spacing w:line="240" w:lineRule="auto"/>
              <w:jc w:val="left"/>
              <w:outlineLvl w:val="1"/>
              <w:rPr>
                <w:rFonts w:hint="eastAsia" w:ascii="宋体" w:hAnsi="宋体" w:eastAsia="宋体"/>
                <w:color w:val="auto"/>
                <w:highlight w:val="none"/>
                <w:lang w:val="en-US" w:eastAsia="zh-CN"/>
              </w:rPr>
            </w:pPr>
            <w:r>
              <w:rPr>
                <w:rFonts w:hint="eastAsia" w:ascii="宋体" w:hAnsi="宋体"/>
                <w:color w:val="auto"/>
                <w:highlight w:val="none"/>
                <w:lang w:val="en-US" w:eastAsia="zh-CN"/>
              </w:rPr>
              <w:t>1.递交投标文件平台网址：</w:t>
            </w:r>
            <w:r>
              <w:rPr>
                <w:rFonts w:hint="eastAsia" w:ascii="宋体" w:hAnsi="宋体" w:eastAsia="宋体" w:cs="宋体"/>
                <w:color w:val="auto"/>
                <w:sz w:val="21"/>
                <w:szCs w:val="21"/>
                <w:highlight w:val="none"/>
              </w:rPr>
              <w:t>https://ygp.gdzwfw.gov.cn/ggzy-portal/index.html#/440700/index</w:t>
            </w:r>
            <w:r>
              <w:rPr>
                <w:rFonts w:hint="eastAsia" w:ascii="宋体" w:hAnsi="宋体" w:eastAsia="宋体" w:cs="宋体"/>
                <w:color w:val="auto"/>
                <w:sz w:val="21"/>
                <w:szCs w:val="21"/>
                <w:highlight w:val="none"/>
                <w:lang w:eastAsia="zh-CN"/>
              </w:rPr>
              <w:t>。</w:t>
            </w:r>
          </w:p>
          <w:p>
            <w:pPr>
              <w:spacing w:line="240" w:lineRule="auto"/>
              <w:jc w:val="left"/>
              <w:outlineLvl w:val="1"/>
              <w:rPr>
                <w:rFonts w:hint="default" w:ascii="宋体" w:hAnsi="宋体"/>
                <w:color w:val="auto"/>
                <w:highlight w:val="none"/>
                <w:lang w:val="en-US" w:eastAsia="zh-CN"/>
              </w:rPr>
            </w:pPr>
            <w:r>
              <w:rPr>
                <w:rFonts w:hint="eastAsia" w:ascii="宋体" w:hAnsi="宋体"/>
                <w:color w:val="auto"/>
                <w:highlight w:val="none"/>
                <w:lang w:val="en-US" w:eastAsia="zh-CN"/>
              </w:rPr>
              <w:t>2.</w:t>
            </w:r>
            <w:r>
              <w:rPr>
                <w:rFonts w:hint="eastAsia" w:ascii="宋体" w:hAnsi="宋体" w:eastAsia="宋体" w:cs="宋体"/>
                <w:color w:val="auto"/>
                <w:szCs w:val="21"/>
                <w:highlight w:val="none"/>
              </w:rPr>
              <w:t>逾期传输递交的或者未传输递交到指定的电子招标投标交易平台的投标文件将被拒绝。</w:t>
            </w:r>
          </w:p>
          <w:p>
            <w:pPr>
              <w:spacing w:line="240" w:lineRule="auto"/>
              <w:jc w:val="left"/>
              <w:outlineLvl w:val="1"/>
              <w:rPr>
                <w:rFonts w:hint="eastAsia" w:ascii="宋体" w:hAnsi="宋体"/>
                <w:color w:val="auto"/>
                <w:highlight w:val="none"/>
                <w:lang w:val="en-US" w:eastAsia="zh-CN"/>
              </w:rPr>
            </w:pPr>
            <w:r>
              <w:rPr>
                <w:rFonts w:hint="eastAsia" w:ascii="宋体" w:hAnsi="宋体"/>
                <w:color w:val="auto"/>
                <w:highlight w:val="none"/>
                <w:lang w:val="en-US" w:eastAsia="zh-CN"/>
              </w:rPr>
              <w:t>3.相关操作手册通过</w:t>
            </w:r>
            <w:r>
              <w:rPr>
                <w:rFonts w:hint="eastAsia" w:ascii="宋体" w:hAnsi="宋体"/>
                <w:color w:val="auto"/>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仿宋_GB2312" w:hAnsi="仿宋_GB2312" w:eastAsia="仿宋_GB2312" w:cs="仿宋_GB2312"/>
                <w:color w:val="auto"/>
                <w:highlight w:val="none"/>
                <w:lang w:eastAsia="zh-CN"/>
              </w:rPr>
              <w:t>→</w:t>
            </w:r>
            <w:r>
              <w:rPr>
                <w:rFonts w:hint="eastAsia" w:ascii="宋体" w:hAnsi="宋体"/>
                <w:color w:val="auto"/>
                <w:highlight w:val="none"/>
                <w:lang w:eastAsia="zh-CN"/>
              </w:rPr>
              <w:t>服务指南获取。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开标时间</w:t>
            </w:r>
          </w:p>
        </w:tc>
        <w:tc>
          <w:tcPr>
            <w:tcW w:w="1746"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c>
          <w:tcPr>
            <w:tcW w:w="1425"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开标地点</w:t>
            </w:r>
          </w:p>
        </w:tc>
        <w:tc>
          <w:tcPr>
            <w:tcW w:w="4479" w:type="dxa"/>
            <w:gridSpan w:val="2"/>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发布公告媒介</w:t>
            </w:r>
          </w:p>
        </w:tc>
        <w:tc>
          <w:tcPr>
            <w:tcW w:w="7650" w:type="dxa"/>
            <w:gridSpan w:val="4"/>
            <w:noWrap w:val="0"/>
            <w:vAlign w:val="center"/>
          </w:tcPr>
          <w:p>
            <w:pPr>
              <w:spacing w:line="240" w:lineRule="auto"/>
              <w:jc w:val="center"/>
              <w:outlineLvl w:val="1"/>
              <w:rPr>
                <w:rFonts w:hint="eastAsia" w:ascii="宋体" w:hAnsi="宋体"/>
                <w:color w:val="auto"/>
                <w:szCs w:val="21"/>
                <w:highlight w:val="none"/>
              </w:rPr>
            </w:pPr>
            <w:r>
              <w:rPr>
                <w:rFonts w:hint="eastAsia" w:ascii="宋体" w:hAnsi="宋体"/>
                <w:color w:val="auto"/>
                <w:szCs w:val="21"/>
                <w:highlight w:val="none"/>
              </w:rPr>
              <w:t>广东省招标投标监管网、</w:t>
            </w:r>
            <w:r>
              <w:rPr>
                <w:rFonts w:hint="eastAsia" w:ascii="宋体" w:hAnsi="宋体"/>
                <w:color w:val="auto"/>
                <w:szCs w:val="21"/>
                <w:highlight w:val="none"/>
                <w:lang w:eastAsia="zh-CN"/>
              </w:rPr>
              <w:t>广东省公共资源交易平台（江门市）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招标人</w:t>
            </w:r>
          </w:p>
        </w:tc>
        <w:tc>
          <w:tcPr>
            <w:tcW w:w="3171" w:type="dxa"/>
            <w:gridSpan w:val="2"/>
            <w:noWrap w:val="0"/>
            <w:vAlign w:val="center"/>
          </w:tcPr>
          <w:p>
            <w:pPr>
              <w:spacing w:line="240" w:lineRule="auto"/>
              <w:jc w:val="left"/>
              <w:outlineLvl w:val="1"/>
              <w:rPr>
                <w:rFonts w:hint="eastAsia" w:ascii="宋体" w:hAnsi="宋体" w:eastAsia="宋体" w:cs="宋体"/>
                <w:color w:val="auto"/>
                <w:sz w:val="21"/>
                <w:szCs w:val="21"/>
                <w:highlight w:val="none"/>
                <w:vertAlign w:val="baseline"/>
              </w:rPr>
            </w:pP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联系地址</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招标人联系人</w:t>
            </w:r>
          </w:p>
        </w:tc>
        <w:tc>
          <w:tcPr>
            <w:tcW w:w="3171" w:type="dxa"/>
            <w:gridSpan w:val="2"/>
            <w:noWrap w:val="0"/>
            <w:vAlign w:val="center"/>
          </w:tcPr>
          <w:p>
            <w:pPr>
              <w:spacing w:line="240" w:lineRule="auto"/>
              <w:jc w:val="left"/>
              <w:outlineLvl w:val="1"/>
              <w:rPr>
                <w:rFonts w:hint="eastAsia" w:ascii="宋体" w:hAnsi="宋体" w:eastAsia="宋体" w:cs="宋体"/>
                <w:color w:val="auto"/>
                <w:sz w:val="21"/>
                <w:szCs w:val="21"/>
                <w:highlight w:val="none"/>
                <w:vertAlign w:val="baseline"/>
              </w:rPr>
            </w:pP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联系电话</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招标代理机构</w:t>
            </w:r>
          </w:p>
        </w:tc>
        <w:tc>
          <w:tcPr>
            <w:tcW w:w="3171" w:type="dxa"/>
            <w:gridSpan w:val="2"/>
            <w:noWrap w:val="0"/>
            <w:vAlign w:val="center"/>
          </w:tcPr>
          <w:p>
            <w:pPr>
              <w:spacing w:line="240" w:lineRule="auto"/>
              <w:jc w:val="left"/>
              <w:outlineLvl w:val="1"/>
              <w:rPr>
                <w:rFonts w:hint="eastAsia" w:ascii="宋体" w:hAnsi="宋体" w:eastAsia="宋体" w:cs="宋体"/>
                <w:color w:val="auto"/>
                <w:sz w:val="21"/>
                <w:szCs w:val="21"/>
                <w:highlight w:val="none"/>
                <w:vertAlign w:val="baseline"/>
              </w:rPr>
            </w:pP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联系地址</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招标代理联系人</w:t>
            </w:r>
          </w:p>
        </w:tc>
        <w:tc>
          <w:tcPr>
            <w:tcW w:w="3171" w:type="dxa"/>
            <w:gridSpan w:val="2"/>
            <w:noWrap w:val="0"/>
            <w:vAlign w:val="center"/>
          </w:tcPr>
          <w:p>
            <w:pPr>
              <w:spacing w:line="240" w:lineRule="auto"/>
              <w:jc w:val="left"/>
              <w:outlineLvl w:val="1"/>
              <w:rPr>
                <w:rFonts w:hint="eastAsia" w:ascii="宋体" w:hAnsi="宋体" w:eastAsia="宋体" w:cs="宋体"/>
                <w:color w:val="auto"/>
                <w:sz w:val="21"/>
                <w:szCs w:val="21"/>
                <w:highlight w:val="none"/>
                <w:vertAlign w:val="baseline"/>
              </w:rPr>
            </w:pP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联系电话</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招标监督机构</w:t>
            </w:r>
          </w:p>
        </w:tc>
        <w:tc>
          <w:tcPr>
            <w:tcW w:w="3171" w:type="dxa"/>
            <w:gridSpan w:val="2"/>
            <w:noWrap w:val="0"/>
            <w:vAlign w:val="center"/>
          </w:tcPr>
          <w:p>
            <w:pPr>
              <w:spacing w:line="240" w:lineRule="auto"/>
              <w:jc w:val="left"/>
              <w:outlineLvl w:val="1"/>
              <w:rPr>
                <w:rFonts w:hint="eastAsia" w:ascii="宋体" w:hAnsi="宋体" w:eastAsia="宋体" w:cs="宋体"/>
                <w:color w:val="auto"/>
                <w:sz w:val="21"/>
                <w:szCs w:val="21"/>
                <w:highlight w:val="none"/>
                <w:vertAlign w:val="baseline"/>
                <w:lang w:eastAsia="zh-CN"/>
              </w:rPr>
            </w:pPr>
          </w:p>
        </w:tc>
        <w:tc>
          <w:tcPr>
            <w:tcW w:w="1518"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eastAsia="zh-CN"/>
              </w:rPr>
              <w:t>联系电话</w:t>
            </w:r>
          </w:p>
        </w:tc>
        <w:tc>
          <w:tcPr>
            <w:tcW w:w="2961" w:type="dxa"/>
            <w:noWrap w:val="0"/>
            <w:vAlign w:val="center"/>
          </w:tcPr>
          <w:p>
            <w:pPr>
              <w:spacing w:line="240" w:lineRule="auto"/>
              <w:jc w:val="center"/>
              <w:outlineLvl w:val="1"/>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69" w:type="dxa"/>
            <w:noWrap w:val="0"/>
            <w:vAlign w:val="center"/>
          </w:tcPr>
          <w:p>
            <w:pPr>
              <w:spacing w:line="240" w:lineRule="auto"/>
              <w:jc w:val="center"/>
              <w:outlineLvl w:val="1"/>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其他依法应当载明的内容</w:t>
            </w:r>
          </w:p>
        </w:tc>
        <w:tc>
          <w:tcPr>
            <w:tcW w:w="7650" w:type="dxa"/>
            <w:gridSpan w:val="4"/>
            <w:noWrap w:val="0"/>
            <w:vAlign w:val="center"/>
          </w:tcPr>
          <w:p>
            <w:pPr>
              <w:widowControl/>
              <w:spacing w:line="240" w:lineRule="auto"/>
              <w:ind w:firstLine="0"/>
              <w:jc w:val="left"/>
              <w:rPr>
                <w:rFonts w:hint="eastAsia" w:ascii="宋体" w:hAnsi="宋体" w:eastAsia="宋体" w:cs="Times New Roman"/>
                <w:i w:val="0"/>
                <w:iCs w:val="0"/>
                <w:caps w:val="0"/>
                <w:color w:val="auto"/>
                <w:spacing w:val="0"/>
                <w:kern w:val="2"/>
                <w:sz w:val="21"/>
                <w:szCs w:val="21"/>
                <w:highlight w:val="none"/>
                <w:shd w:val="clear" w:color="auto" w:fill="auto"/>
                <w:lang w:val="en-US" w:eastAsia="zh-CN" w:bidi="ar"/>
              </w:rPr>
            </w:pPr>
            <w:r>
              <w:rPr>
                <w:rFonts w:hint="eastAsia" w:ascii="宋体" w:hAnsi="宋体" w:eastAsia="宋体" w:cs="Times New Roman"/>
                <w:i w:val="0"/>
                <w:iCs w:val="0"/>
                <w:caps w:val="0"/>
                <w:color w:val="auto"/>
                <w:spacing w:val="0"/>
                <w:kern w:val="2"/>
                <w:sz w:val="21"/>
                <w:szCs w:val="21"/>
                <w:highlight w:val="none"/>
                <w:shd w:val="clear" w:color="auto" w:fill="auto"/>
                <w:lang w:val="en-US" w:eastAsia="zh-CN" w:bidi="ar"/>
              </w:rPr>
              <w:t>投标人提问截止时间：                 招标人澄清的时间：</w:t>
            </w:r>
            <w:r>
              <w:rPr>
                <w:rFonts w:hint="eastAsia" w:ascii="宋体" w:hAnsi="宋体" w:eastAsia="宋体" w:cs="Times New Roman"/>
                <w:i w:val="0"/>
                <w:iCs w:val="0"/>
                <w:caps w:val="0"/>
                <w:color w:val="auto"/>
                <w:spacing w:val="0"/>
                <w:kern w:val="2"/>
                <w:sz w:val="21"/>
                <w:szCs w:val="21"/>
                <w:highlight w:val="none"/>
                <w:shd w:val="clear" w:color="auto" w:fill="auto"/>
                <w:lang w:val="en-US" w:eastAsia="zh-CN" w:bidi="ar"/>
              </w:rPr>
              <w:br w:type="textWrapping"/>
            </w:r>
            <w:r>
              <w:rPr>
                <w:rFonts w:hint="eastAsia" w:ascii="宋体" w:hAnsi="宋体" w:eastAsia="宋体" w:cs="Times New Roman"/>
                <w:i w:val="0"/>
                <w:iCs w:val="0"/>
                <w:caps w:val="0"/>
                <w:color w:val="auto"/>
                <w:spacing w:val="0"/>
                <w:kern w:val="2"/>
                <w:sz w:val="21"/>
                <w:szCs w:val="21"/>
                <w:highlight w:val="none"/>
                <w:shd w:val="clear" w:color="auto" w:fill="auto"/>
                <w:lang w:val="en-US" w:eastAsia="zh-CN" w:bidi="ar"/>
              </w:rPr>
              <w:t>招标文件异议截止时间：               投标人投诉截止时间：</w:t>
            </w:r>
          </w:p>
          <w:p>
            <w:pPr>
              <w:widowControl/>
              <w:spacing w:line="240" w:lineRule="auto"/>
              <w:ind w:firstLine="0"/>
              <w:jc w:val="left"/>
              <w:rPr>
                <w:rFonts w:hint="eastAsia" w:ascii="宋体" w:hAnsi="宋体"/>
                <w:color w:val="auto"/>
                <w:szCs w:val="21"/>
                <w:highlight w:val="none"/>
                <w:u w:val="single"/>
              </w:rPr>
            </w:pPr>
            <w:r>
              <w:rPr>
                <w:rFonts w:hint="eastAsia" w:ascii="宋体" w:hAnsi="宋体" w:eastAsia="宋体" w:cs="Times New Roman"/>
                <w:i w:val="0"/>
                <w:iCs w:val="0"/>
                <w:caps w:val="0"/>
                <w:color w:val="auto"/>
                <w:spacing w:val="0"/>
                <w:kern w:val="2"/>
                <w:sz w:val="21"/>
                <w:szCs w:val="21"/>
                <w:highlight w:val="none"/>
                <w:shd w:val="clear" w:color="auto" w:fill="auto"/>
                <w:lang w:val="en-US" w:eastAsia="zh-CN" w:bidi="ar"/>
              </w:rPr>
              <w:t>投标保证金到账截止时间：</w:t>
            </w:r>
          </w:p>
        </w:tc>
      </w:tr>
    </w:tbl>
    <w:p>
      <w:pPr>
        <w:pStyle w:val="38"/>
        <w:rPr>
          <w:rFonts w:hint="eastAsia" w:ascii="宋体" w:hAnsi="宋体" w:eastAsia="宋体"/>
          <w:color w:val="auto"/>
          <w:sz w:val="36"/>
          <w:szCs w:val="36"/>
          <w:highlight w:val="none"/>
        </w:rPr>
      </w:pPr>
      <w:bookmarkStart w:id="8" w:name="_Toc28964993"/>
      <w:r>
        <w:rPr>
          <w:rFonts w:ascii="宋体" w:hAnsi="宋体" w:eastAsia="宋体"/>
          <w:color w:val="auto"/>
          <w:sz w:val="36"/>
          <w:szCs w:val="36"/>
          <w:highlight w:val="none"/>
        </w:rPr>
        <w:br w:type="page"/>
      </w:r>
      <w:bookmarkEnd w:id="8"/>
      <w:bookmarkStart w:id="9" w:name="_Toc291270274"/>
      <w:bookmarkStart w:id="10" w:name="_Toc1364328233"/>
      <w:bookmarkStart w:id="11" w:name="_Toc1368234135"/>
      <w:bookmarkStart w:id="12" w:name="_Toc28964994"/>
      <w:r>
        <w:rPr>
          <w:rFonts w:hint="eastAsia" w:ascii="宋体" w:hAnsi="宋体" w:eastAsia="宋体"/>
          <w:color w:val="auto"/>
          <w:sz w:val="36"/>
          <w:szCs w:val="36"/>
          <w:highlight w:val="none"/>
        </w:rPr>
        <w:t>第二章  投标人须知</w:t>
      </w:r>
      <w:bookmarkEnd w:id="9"/>
      <w:bookmarkEnd w:id="10"/>
      <w:bookmarkEnd w:id="11"/>
      <w:bookmarkEnd w:id="12"/>
    </w:p>
    <w:p>
      <w:pPr>
        <w:spacing w:line="240" w:lineRule="auto"/>
        <w:rPr>
          <w:rFonts w:hint="eastAsia" w:ascii="黑体" w:eastAsia="黑体"/>
          <w:color w:val="auto"/>
          <w:sz w:val="28"/>
          <w:szCs w:val="28"/>
          <w:highlight w:val="none"/>
        </w:rPr>
      </w:pPr>
      <w:r>
        <w:rPr>
          <w:rFonts w:hint="eastAsia" w:ascii="黑体" w:eastAsia="黑体"/>
          <w:color w:val="auto"/>
          <w:sz w:val="28"/>
          <w:szCs w:val="28"/>
          <w:highlight w:val="none"/>
        </w:rPr>
        <w:t>一、投标人须知前附表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0" w:type="dxa"/>
          <w:right w:w="57" w:type="dxa"/>
        </w:tblCellMar>
      </w:tblPr>
      <w:tblGrid>
        <w:gridCol w:w="905"/>
        <w:gridCol w:w="1105"/>
        <w:gridCol w:w="803"/>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18" w:hRule="atLeast"/>
          <w:jc w:val="center"/>
        </w:trPr>
        <w:tc>
          <w:tcPr>
            <w:tcW w:w="905" w:type="dxa"/>
            <w:noWrap w:val="0"/>
            <w:vAlign w:val="center"/>
          </w:tcPr>
          <w:p>
            <w:pPr>
              <w:jc w:val="center"/>
              <w:rPr>
                <w:rFonts w:hint="eastAsia"/>
                <w:color w:val="auto"/>
                <w:highlight w:val="none"/>
              </w:rPr>
            </w:pPr>
            <w:r>
              <w:rPr>
                <w:rFonts w:hint="eastAsia"/>
                <w:color w:val="auto"/>
                <w:highlight w:val="none"/>
              </w:rPr>
              <w:t>条款号</w:t>
            </w:r>
          </w:p>
        </w:tc>
        <w:tc>
          <w:tcPr>
            <w:tcW w:w="1908" w:type="dxa"/>
            <w:gridSpan w:val="2"/>
            <w:noWrap w:val="0"/>
            <w:vAlign w:val="center"/>
          </w:tcPr>
          <w:p>
            <w:pPr>
              <w:jc w:val="center"/>
              <w:rPr>
                <w:rFonts w:hint="eastAsia"/>
                <w:color w:val="auto"/>
                <w:highlight w:val="none"/>
              </w:rPr>
            </w:pPr>
            <w:r>
              <w:rPr>
                <w:rFonts w:hint="eastAsia"/>
                <w:color w:val="auto"/>
                <w:highlight w:val="none"/>
              </w:rPr>
              <w:t>条  款  名  称</w:t>
            </w:r>
          </w:p>
        </w:tc>
        <w:tc>
          <w:tcPr>
            <w:tcW w:w="6835" w:type="dxa"/>
            <w:noWrap w:val="0"/>
            <w:vAlign w:val="center"/>
          </w:tcPr>
          <w:p>
            <w:pPr>
              <w:jc w:val="center"/>
              <w:rPr>
                <w:rFonts w:hint="eastAsia"/>
                <w:color w:val="auto"/>
                <w:highlight w:val="none"/>
              </w:rPr>
            </w:pPr>
            <w:r>
              <w:rPr>
                <w:rFonts w:hint="eastAsia"/>
                <w:color w:val="auto"/>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84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1.1.2</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招标人</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名称：</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电话：</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719"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招标代理机构</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名称：</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电话：</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5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1.1.4</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项目名称</w:t>
            </w:r>
          </w:p>
        </w:tc>
        <w:tc>
          <w:tcPr>
            <w:tcW w:w="6835" w:type="dxa"/>
            <w:noWrap w:val="0"/>
            <w:vAlign w:val="center"/>
          </w:tcPr>
          <w:p>
            <w:pPr>
              <w:rPr>
                <w:rFonts w:hint="eastAsia" w:ascii="宋体" w:hAnsi="宋体"/>
                <w:color w:val="auto"/>
                <w:highlight w:val="none"/>
                <w:u w:val="single"/>
              </w:rPr>
            </w:pP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5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1.1.5</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建设地点</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5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1.2.1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资金来源</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5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1.2.2</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出资比例</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5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1.2.3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资金落实情况</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10"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招标范围</w:t>
            </w:r>
          </w:p>
        </w:tc>
        <w:tc>
          <w:tcPr>
            <w:tcW w:w="6835" w:type="dxa"/>
            <w:noWrap w:val="0"/>
            <w:vAlign w:val="center"/>
          </w:tcPr>
          <w:p>
            <w:pPr>
              <w:rPr>
                <w:rFonts w:ascii="宋体" w:hAnsi="宋体"/>
                <w:color w:val="auto"/>
                <w:highlight w:val="none"/>
              </w:rPr>
            </w:pP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关于招标范围的详细说明见“技术标准和要求”。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705"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1.3.2</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计划工期</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计划工期：</w:t>
            </w:r>
            <w:r>
              <w:rPr>
                <w:rFonts w:hint="eastAsia" w:ascii="宋体" w:hAnsi="宋体"/>
                <w:color w:val="auto"/>
                <w:highlight w:val="none"/>
                <w:u w:val="single"/>
              </w:rPr>
              <w:t xml:space="preserve">       </w:t>
            </w:r>
            <w:r>
              <w:rPr>
                <w:rFonts w:hint="eastAsia" w:ascii="宋体" w:hAnsi="宋体"/>
                <w:color w:val="auto"/>
                <w:highlight w:val="none"/>
              </w:rPr>
              <w:t>个日历天</w:t>
            </w:r>
          </w:p>
          <w:p>
            <w:pPr>
              <w:rPr>
                <w:rFonts w:hint="eastAsia" w:ascii="宋体" w:hAnsi="宋体"/>
                <w:color w:val="auto"/>
                <w:highlight w:val="none"/>
              </w:rPr>
            </w:pPr>
            <w:r>
              <w:rPr>
                <w:rFonts w:hint="eastAsia" w:ascii="宋体" w:hAnsi="宋体"/>
                <w:color w:val="auto"/>
                <w:highlight w:val="none"/>
              </w:rPr>
              <w:t>定额工期：</w:t>
            </w:r>
            <w:r>
              <w:rPr>
                <w:rFonts w:hint="eastAsia" w:ascii="宋体" w:hAnsi="宋体"/>
                <w:color w:val="auto"/>
                <w:highlight w:val="none"/>
                <w:u w:val="single"/>
              </w:rPr>
              <w:t xml:space="preserve">       </w:t>
            </w:r>
            <w:r>
              <w:rPr>
                <w:rFonts w:hint="eastAsia" w:ascii="宋体" w:hAnsi="宋体"/>
                <w:color w:val="auto"/>
                <w:highlight w:val="none"/>
              </w:rPr>
              <w:t>个日历天</w:t>
            </w:r>
          </w:p>
          <w:p>
            <w:pPr>
              <w:rPr>
                <w:rFonts w:hint="eastAsia" w:ascii="宋体" w:hAnsi="宋体"/>
                <w:color w:val="auto"/>
                <w:highlight w:val="none"/>
              </w:rPr>
            </w:pPr>
            <w:r>
              <w:rPr>
                <w:rFonts w:hint="eastAsia" w:ascii="宋体" w:hAnsi="宋体"/>
                <w:color w:val="auto"/>
                <w:highlight w:val="none"/>
              </w:rPr>
              <w:t>除上述总工期外，发包人还要求以下区段工期：</w:t>
            </w:r>
            <w:r>
              <w:rPr>
                <w:rFonts w:hint="eastAsia" w:ascii="宋体" w:hAnsi="宋体"/>
                <w:color w:val="auto"/>
                <w:highlight w:val="none"/>
                <w:u w:val="single"/>
              </w:rPr>
              <w:t xml:space="preserve">                  </w:t>
            </w:r>
          </w:p>
          <w:p>
            <w:pPr>
              <w:rPr>
                <w:rFonts w:hint="eastAsia" w:ascii="宋体" w:hAnsi="宋体"/>
                <w:color w:val="auto"/>
                <w:highlight w:val="none"/>
                <w:u w:val="single"/>
              </w:rPr>
            </w:pPr>
            <w:r>
              <w:rPr>
                <w:rFonts w:hint="eastAsia" w:ascii="宋体" w:hAnsi="宋体"/>
                <w:color w:val="auto"/>
                <w:highlight w:val="none"/>
              </w:rPr>
              <w:t>其他要求：</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有关工期的详细要求见“技术标准和要求”。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3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质量要求</w:t>
            </w:r>
          </w:p>
        </w:tc>
        <w:tc>
          <w:tcPr>
            <w:tcW w:w="6835" w:type="dxa"/>
            <w:noWrap w:val="0"/>
            <w:vAlign w:val="center"/>
          </w:tcPr>
          <w:p>
            <w:pPr>
              <w:rPr>
                <w:rFonts w:hint="eastAsia" w:ascii="宋体" w:hAnsi="宋体"/>
                <w:color w:val="auto"/>
                <w:highlight w:val="none"/>
                <w:u w:val="single"/>
              </w:rPr>
            </w:pPr>
            <w:r>
              <w:rPr>
                <w:rFonts w:hint="eastAsia" w:ascii="宋体" w:hAnsi="宋体"/>
                <w:color w:val="auto"/>
                <w:highlight w:val="none"/>
              </w:rPr>
              <w:t>质量标准：</w:t>
            </w:r>
            <w:r>
              <w:rPr>
                <w:rFonts w:hint="eastAsia" w:ascii="宋体" w:hAnsi="宋体" w:cs="宋体"/>
                <w:color w:val="auto"/>
                <w:szCs w:val="21"/>
                <w:highlight w:val="none"/>
                <w:u w:val="single"/>
              </w:rPr>
              <w:t>符合现行国家有关工程施工验收规范和标准的要求合格。</w:t>
            </w:r>
          </w:p>
          <w:p>
            <w:pPr>
              <w:rPr>
                <w:rFonts w:hint="eastAsia" w:ascii="宋体" w:hAnsi="宋体"/>
                <w:color w:val="auto"/>
                <w:highlight w:val="none"/>
              </w:rPr>
            </w:pPr>
            <w:r>
              <w:rPr>
                <w:rFonts w:hint="eastAsia" w:ascii="宋体" w:hAnsi="宋体"/>
                <w:color w:val="auto"/>
                <w:highlight w:val="none"/>
              </w:rPr>
              <w:t>关于质量要求的详细说明见“技术标准和要求”。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16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1.4.1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投标人资格条件</w:t>
            </w:r>
          </w:p>
        </w:tc>
        <w:tc>
          <w:tcPr>
            <w:tcW w:w="6835" w:type="dxa"/>
            <w:noWrap w:val="0"/>
            <w:vAlign w:val="center"/>
          </w:tcPr>
          <w:p>
            <w:pPr>
              <w:jc w:val="left"/>
              <w:rPr>
                <w:rFonts w:hint="eastAsia" w:ascii="宋体" w:hAnsi="宋体"/>
                <w:color w:val="auto"/>
                <w:highlight w:val="none"/>
                <w:u w:val="single"/>
              </w:rPr>
            </w:pPr>
            <w:r>
              <w:rPr>
                <w:rFonts w:hint="eastAsia" w:ascii="宋体" w:hAnsi="宋体"/>
                <w:color w:val="auto"/>
                <w:highlight w:val="none"/>
              </w:rPr>
              <w:t>1.资质条件：</w:t>
            </w:r>
            <w:r>
              <w:rPr>
                <w:rFonts w:hint="eastAsia" w:ascii="宋体" w:hAnsi="宋体"/>
                <w:color w:val="auto"/>
                <w:highlight w:val="none"/>
                <w:u w:val="single"/>
              </w:rPr>
              <w:t xml:space="preserve">                               </w:t>
            </w:r>
          </w:p>
          <w:p>
            <w:pPr>
              <w:jc w:val="left"/>
              <w:rPr>
                <w:rFonts w:hint="eastAsia" w:ascii="宋体" w:hAnsi="宋体"/>
                <w:color w:val="auto"/>
                <w:highlight w:val="none"/>
                <w:u w:val="single"/>
                <w:lang w:val="en-US" w:eastAsia="zh-CN"/>
              </w:rPr>
            </w:pPr>
            <w:r>
              <w:rPr>
                <w:rFonts w:hint="eastAsia" w:ascii="宋体" w:hAnsi="宋体"/>
                <w:color w:val="auto"/>
                <w:highlight w:val="none"/>
                <w:u w:val="none"/>
                <w:lang w:val="en-US" w:eastAsia="zh-CN"/>
              </w:rPr>
              <w:t>2.业绩条件：</w:t>
            </w:r>
            <w:r>
              <w:rPr>
                <w:rFonts w:hint="eastAsia" w:ascii="宋体" w:hAnsi="宋体"/>
                <w:color w:val="auto"/>
                <w:highlight w:val="none"/>
                <w:u w:val="single"/>
                <w:lang w:val="en-US" w:eastAsia="zh-CN"/>
              </w:rPr>
              <w:t xml:space="preserve">                               </w:t>
            </w:r>
          </w:p>
          <w:p>
            <w:pPr>
              <w:jc w:val="left"/>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.项目负责人资格：</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none"/>
              </w:rPr>
              <w:t>（</w:t>
            </w:r>
            <w:r>
              <w:rPr>
                <w:rFonts w:hint="eastAsia" w:ascii="宋体" w:hAnsi="宋体"/>
                <w:color w:val="auto"/>
                <w:highlight w:val="none"/>
                <w:u w:val="none"/>
                <w:lang w:eastAsia="zh-CN"/>
              </w:rPr>
              <w:t>注册执业资格）</w:t>
            </w:r>
            <w:r>
              <w:rPr>
                <w:rFonts w:hint="eastAsia" w:ascii="宋体" w:hAnsi="宋体"/>
                <w:color w:val="auto"/>
                <w:highlight w:val="none"/>
              </w:rPr>
              <w:t>，具备有效的安全生产考核合格证书，且不得担任其他在施建设工程项目的项目负责人。须在投标单位缴纳养老保险（①项目负责人未达到退休年龄的，需提供在投标单位</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月缴纳养老保险的证明；②项目负责人已达到退休年龄且不超过65周岁的，则可提供养老保险待遇领取情况资料</w:t>
            </w:r>
            <w:r>
              <w:rPr>
                <w:rFonts w:hint="eastAsia" w:ascii="宋体" w:hAnsi="宋体" w:eastAsia="宋体" w:cs="宋体"/>
                <w:color w:val="auto"/>
                <w:highlight w:val="none"/>
              </w:rPr>
              <w:t>〈</w:t>
            </w:r>
            <w:r>
              <w:rPr>
                <w:rFonts w:hint="eastAsia" w:ascii="宋体" w:hAnsi="宋体"/>
                <w:color w:val="auto"/>
                <w:highlight w:val="none"/>
              </w:rPr>
              <w:t>或退休证</w:t>
            </w:r>
            <w:r>
              <w:rPr>
                <w:rFonts w:hint="eastAsia" w:ascii="宋体" w:hAnsi="宋体" w:eastAsia="宋体" w:cs="宋体"/>
                <w:color w:val="auto"/>
                <w:highlight w:val="none"/>
              </w:rPr>
              <w:t>〉</w:t>
            </w:r>
            <w:r>
              <w:rPr>
                <w:rFonts w:hint="eastAsia" w:ascii="宋体" w:hAnsi="宋体"/>
                <w:color w:val="auto"/>
                <w:highlight w:val="none"/>
              </w:rPr>
              <w:t>和单位的返聘证明）。</w:t>
            </w:r>
          </w:p>
          <w:p>
            <w:pPr>
              <w:jc w:val="left"/>
              <w:rPr>
                <w:rFonts w:hint="eastAsia" w:ascii="宋体" w:hAnsi="宋体"/>
                <w:color w:val="auto"/>
                <w:highlight w:val="none"/>
              </w:rPr>
            </w:pPr>
            <w:r>
              <w:rPr>
                <w:rFonts w:hint="eastAsia" w:ascii="宋体" w:hAnsi="宋体"/>
                <w:color w:val="auto"/>
                <w:highlight w:val="none"/>
                <w:u w:val="none"/>
                <w:lang w:val="en-US" w:eastAsia="zh-CN"/>
              </w:rPr>
              <w:t>4.</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073"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1.4.2</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是否接受联合体投标</w:t>
            </w:r>
          </w:p>
        </w:tc>
        <w:tc>
          <w:tcPr>
            <w:tcW w:w="6835" w:type="dxa"/>
            <w:noWrap w:val="0"/>
            <w:vAlign w:val="center"/>
          </w:tcPr>
          <w:p>
            <w:pPr>
              <w:rPr>
                <w:rFonts w:hint="eastAsia" w:ascii="宋体" w:hAnsi="宋体"/>
                <w:color w:val="auto"/>
                <w:highlight w:val="none"/>
              </w:rPr>
            </w:pPr>
            <w:r>
              <w:rPr>
                <w:rFonts w:hint="eastAsia" w:ascii="宋体" w:hAnsi="宋体" w:cs="宋体"/>
                <w:color w:val="auto"/>
                <w:kern w:val="0"/>
                <w:szCs w:val="21"/>
                <w:highlight w:val="none"/>
              </w:rPr>
              <w:t>囗</w:t>
            </w:r>
            <w:r>
              <w:rPr>
                <w:rFonts w:hint="eastAsia" w:ascii="宋体" w:hAnsi="宋体"/>
                <w:color w:val="auto"/>
                <w:highlight w:val="none"/>
              </w:rPr>
              <w:t>不接受。</w:t>
            </w:r>
          </w:p>
          <w:p>
            <w:pPr>
              <w:rPr>
                <w:rFonts w:hint="eastAsia" w:ascii="宋体" w:hAnsi="宋体"/>
                <w:color w:val="auto"/>
                <w:highlight w:val="none"/>
                <w:u w:val="single"/>
              </w:rPr>
            </w:pPr>
            <w:r>
              <w:rPr>
                <w:rFonts w:hint="eastAsia" w:ascii="宋体" w:hAnsi="宋体" w:cs="宋体"/>
                <w:color w:val="auto"/>
                <w:kern w:val="0"/>
                <w:szCs w:val="21"/>
                <w:highlight w:val="none"/>
              </w:rPr>
              <w:t>囗</w:t>
            </w:r>
            <w:r>
              <w:rPr>
                <w:rFonts w:hint="eastAsia" w:ascii="宋体" w:hAnsi="宋体"/>
                <w:color w:val="auto"/>
                <w:highlight w:val="none"/>
              </w:rPr>
              <w:t>接受，应满足下列要求：</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注：联合体资质按照联合体协议约定的分工认定。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650"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1.4.3</w:t>
            </w:r>
          </w:p>
        </w:tc>
        <w:tc>
          <w:tcPr>
            <w:tcW w:w="1908" w:type="dxa"/>
            <w:gridSpan w:val="2"/>
            <w:noWrap w:val="0"/>
            <w:vAlign w:val="center"/>
          </w:tcPr>
          <w:p>
            <w:pPr>
              <w:rPr>
                <w:rFonts w:hint="eastAsia"/>
                <w:color w:val="auto"/>
                <w:highlight w:val="none"/>
              </w:rPr>
            </w:pPr>
            <w:r>
              <w:rPr>
                <w:rFonts w:hint="eastAsia"/>
                <w:color w:val="auto"/>
                <w:highlight w:val="none"/>
              </w:rPr>
              <w:t>投标人不得存在的其他情形</w:t>
            </w:r>
          </w:p>
        </w:tc>
        <w:tc>
          <w:tcPr>
            <w:tcW w:w="6835" w:type="dxa"/>
            <w:noWrap w:val="0"/>
            <w:vAlign w:val="center"/>
          </w:tcPr>
          <w:p>
            <w:pPr>
              <w:rPr>
                <w:rFonts w:hint="eastAsia" w:ascii="宋体" w:hAnsi="宋体"/>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投标人属于信用中国“重点领域严重失信主体名单”栏目中</w:t>
            </w:r>
            <w:r>
              <w:rPr>
                <w:rFonts w:hint="eastAsia" w:ascii="宋体" w:hAnsi="宋体"/>
                <w:color w:val="auto"/>
                <w:highlight w:val="none"/>
                <w:lang w:eastAsia="zh-CN"/>
              </w:rPr>
              <w:t>的</w:t>
            </w:r>
            <w:r>
              <w:rPr>
                <w:rFonts w:hint="eastAsia" w:ascii="宋体" w:hAnsi="宋体"/>
                <w:color w:val="auto"/>
                <w:highlight w:val="none"/>
              </w:rPr>
              <w:t>“失信被执行人”或“拖欠农民工工资失信联合惩戒对象名单”</w:t>
            </w:r>
            <w:r>
              <w:rPr>
                <w:rFonts w:hint="eastAsia" w:ascii="宋体" w:hAnsi="宋体"/>
                <w:color w:val="auto"/>
                <w:highlight w:val="none"/>
                <w:lang w:eastAsia="zh-CN"/>
              </w:rPr>
              <w:t>。</w:t>
            </w:r>
          </w:p>
          <w:p>
            <w:pPr>
              <w:rPr>
                <w:rFonts w:hint="default" w:ascii="宋体" w:hAnsi="宋体"/>
                <w:color w:val="auto"/>
                <w:highlight w:val="none"/>
                <w:lang w:val="en-US" w:eastAsia="zh-CN"/>
              </w:rPr>
            </w:pPr>
            <w:r>
              <w:rPr>
                <w:rFonts w:hint="eastAsia" w:ascii="宋体" w:hAnsi="宋体"/>
                <w:color w:val="auto"/>
                <w:highlight w:val="none"/>
                <w:lang w:val="en-US" w:eastAsia="zh-CN"/>
              </w:rPr>
              <w:t>2.</w:t>
            </w:r>
            <w:r>
              <w:rPr>
                <w:rFonts w:hint="eastAsia" w:ascii="宋体" w:hAnsi="宋体"/>
                <w:color w:val="auto"/>
                <w:highlight w:val="none"/>
              </w:rPr>
              <w:t>省外建筑企业</w:t>
            </w:r>
            <w:r>
              <w:rPr>
                <w:rFonts w:hint="eastAsia" w:ascii="宋体" w:hAnsi="宋体"/>
                <w:color w:val="auto"/>
                <w:highlight w:val="none"/>
                <w:lang w:eastAsia="zh-CN"/>
              </w:rPr>
              <w:t>未</w:t>
            </w:r>
            <w:r>
              <w:rPr>
                <w:rFonts w:hint="eastAsia" w:ascii="宋体" w:hAnsi="宋体"/>
                <w:color w:val="auto"/>
                <w:highlight w:val="none"/>
              </w:rPr>
              <w:t>在“进粤企业和人员诚信信息登记平台”录入相关</w:t>
            </w:r>
            <w:r>
              <w:rPr>
                <w:rFonts w:hint="eastAsia" w:ascii="宋体" w:hAnsi="宋体"/>
                <w:color w:val="auto"/>
                <w:highlight w:val="none"/>
                <w:lang w:eastAsia="zh-CN"/>
              </w:rPr>
              <w:t>企业基本信息、资质情况</w:t>
            </w:r>
            <w:r>
              <w:rPr>
                <w:rFonts w:hint="eastAsia" w:ascii="宋体" w:hAnsi="宋体"/>
                <w:color w:val="auto"/>
                <w:highlight w:val="none"/>
              </w:rPr>
              <w:t>信息并通过数据规范检查</w:t>
            </w:r>
            <w:r>
              <w:rPr>
                <w:rFonts w:hint="eastAsia" w:ascii="宋体" w:hAnsi="宋体"/>
                <w:color w:val="auto"/>
                <w:highlight w:val="none"/>
                <w:lang w:eastAsia="zh-CN"/>
              </w:rPr>
              <w:t>（</w:t>
            </w:r>
            <w:r>
              <w:rPr>
                <w:rFonts w:hint="eastAsia" w:ascii="宋体" w:hAnsi="宋体"/>
                <w:color w:val="auto"/>
                <w:highlight w:val="none"/>
              </w:rPr>
              <w:t>在投标文件中提供信息打印件以备审查</w:t>
            </w:r>
            <w:r>
              <w:rPr>
                <w:rFonts w:hint="eastAsia" w:ascii="宋体" w:hAnsi="宋体"/>
                <w:color w:val="auto"/>
                <w:highlight w:val="none"/>
                <w:lang w:eastAsia="zh-CN"/>
              </w:rPr>
              <w:t>）</w:t>
            </w:r>
            <w:r>
              <w:rPr>
                <w:rFonts w:hint="eastAsia" w:ascii="宋体" w:hAnsi="宋体"/>
                <w:color w:val="auto"/>
                <w:highlight w:val="none"/>
              </w:rPr>
              <w:t>。</w:t>
            </w:r>
          </w:p>
          <w:p>
            <w:pPr>
              <w:rPr>
                <w:rFonts w:hint="eastAsia" w:ascii="宋体" w:hAnsi="宋体"/>
                <w:color w:val="auto"/>
                <w:highlight w:val="none"/>
              </w:rPr>
            </w:pPr>
            <w:r>
              <w:rPr>
                <w:rFonts w:hint="eastAsia" w:ascii="宋体" w:hAnsi="宋体" w:cs="Arial"/>
                <w:color w:val="auto"/>
                <w:kern w:val="0"/>
                <w:szCs w:val="21"/>
                <w:highlight w:val="none"/>
                <w:lang w:val="en-US" w:eastAsia="zh-CN"/>
              </w:rPr>
              <w:t>3.</w:t>
            </w:r>
            <w:r>
              <w:rPr>
                <w:rFonts w:hint="eastAsia" w:ascii="宋体" w:hAnsi="宋体" w:cs="Arial"/>
                <w:color w:val="auto"/>
                <w:kern w:val="0"/>
                <w:szCs w:val="21"/>
                <w:highlight w:val="none"/>
              </w:rPr>
              <w:t>投标人（包括联合体所有成员）</w:t>
            </w:r>
            <w:r>
              <w:rPr>
                <w:rFonts w:hint="eastAsia" w:ascii="宋体" w:hAnsi="宋体" w:cs="Arial"/>
                <w:color w:val="auto"/>
                <w:kern w:val="0"/>
                <w:szCs w:val="21"/>
                <w:highlight w:val="none"/>
                <w:lang w:val="en-US" w:eastAsia="zh-CN"/>
              </w:rPr>
              <w:t>属于</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江门市建筑市场信用信息管理系统</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中对应资质企业类型</w:t>
            </w:r>
            <w:r>
              <w:rPr>
                <w:rFonts w:hint="eastAsia" w:ascii="宋体" w:hAnsi="宋体" w:cs="Arial"/>
                <w:color w:val="auto"/>
                <w:kern w:val="0"/>
                <w:szCs w:val="21"/>
                <w:highlight w:val="none"/>
              </w:rPr>
              <w:t>信用等级为</w:t>
            </w:r>
            <w:r>
              <w:rPr>
                <w:rFonts w:hint="eastAsia" w:ascii="宋体" w:hAnsi="宋体" w:cs="Arial"/>
                <w:color w:val="auto"/>
                <w:kern w:val="0"/>
                <w:szCs w:val="21"/>
                <w:highlight w:val="none"/>
                <w:lang w:val="en-US" w:eastAsia="zh-CN"/>
              </w:rPr>
              <w:t>D、E</w:t>
            </w:r>
            <w:r>
              <w:rPr>
                <w:rFonts w:hint="eastAsia" w:ascii="宋体" w:hAnsi="宋体" w:cs="Arial"/>
                <w:color w:val="auto"/>
                <w:kern w:val="0"/>
                <w:szCs w:val="21"/>
                <w:highlight w:val="none"/>
              </w:rPr>
              <w:t>级的企业。</w:t>
            </w:r>
          </w:p>
          <w:p>
            <w:pPr>
              <w:rPr>
                <w:rFonts w:hint="eastAsia"/>
                <w:color w:val="auto"/>
                <w:highlight w:val="none"/>
                <w:u w:val="single"/>
              </w:rPr>
            </w:pPr>
            <w:r>
              <w:rPr>
                <w:rFonts w:hint="eastAsia" w:ascii="宋体" w:hAnsi="宋体" w:eastAsia="宋体" w:cs="Times New Roman"/>
                <w:color w:val="auto"/>
                <w:highlight w:val="none"/>
                <w:u w:val="none"/>
                <w:lang w:val="en-US" w:eastAsia="zh-CN"/>
              </w:rPr>
              <w:t>4.</w:t>
            </w:r>
            <w:r>
              <w:rPr>
                <w:rFonts w:hint="eastAsia" w:ascii="宋体" w:hAnsi="宋体" w:eastAsia="宋体" w:cs="Times New Roman"/>
                <w:color w:val="auto"/>
                <w:highlight w:val="none"/>
                <w:u w:val="single"/>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09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1.9.1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踏勘现场</w:t>
            </w:r>
          </w:p>
        </w:tc>
        <w:tc>
          <w:tcPr>
            <w:tcW w:w="6835" w:type="dxa"/>
            <w:noWrap w:val="0"/>
            <w:vAlign w:val="center"/>
          </w:tcPr>
          <w:p>
            <w:pPr>
              <w:rPr>
                <w:rFonts w:hint="eastAsia" w:ascii="宋体" w:hAnsi="宋体"/>
                <w:color w:val="auto"/>
                <w:highlight w:val="none"/>
              </w:rPr>
            </w:pPr>
            <w:r>
              <w:rPr>
                <w:rFonts w:hint="eastAsia" w:ascii="宋体" w:hAnsi="宋体" w:cs="宋体"/>
                <w:color w:val="auto"/>
                <w:kern w:val="0"/>
                <w:szCs w:val="21"/>
                <w:highlight w:val="none"/>
              </w:rPr>
              <w:t>囗</w:t>
            </w:r>
            <w:r>
              <w:rPr>
                <w:rFonts w:hint="eastAsia" w:ascii="宋体" w:hAnsi="宋体"/>
                <w:color w:val="auto"/>
                <w:highlight w:val="none"/>
              </w:rPr>
              <w:t>不组织。</w:t>
            </w:r>
          </w:p>
          <w:p>
            <w:pPr>
              <w:rPr>
                <w:rFonts w:hint="eastAsia" w:ascii="宋体" w:hAnsi="宋体"/>
                <w:color w:val="auto"/>
                <w:highlight w:val="none"/>
              </w:rPr>
            </w:pPr>
            <w:r>
              <w:rPr>
                <w:rFonts w:hint="eastAsia" w:ascii="宋体" w:hAnsi="宋体" w:cs="宋体"/>
                <w:color w:val="auto"/>
                <w:kern w:val="0"/>
                <w:szCs w:val="21"/>
                <w:highlight w:val="none"/>
              </w:rPr>
              <w:t>囗</w:t>
            </w:r>
            <w:r>
              <w:rPr>
                <w:rFonts w:hint="eastAsia" w:ascii="宋体" w:hAnsi="宋体"/>
                <w:color w:val="auto"/>
                <w:highlight w:val="none"/>
              </w:rPr>
              <w:t>组织，踏勘时间：</w:t>
            </w:r>
            <w:r>
              <w:rPr>
                <w:rFonts w:hint="eastAsia" w:ascii="宋体" w:hAnsi="宋体"/>
                <w:color w:val="auto"/>
                <w:highlight w:val="none"/>
                <w:u w:val="single"/>
              </w:rPr>
              <w:t xml:space="preserve">                       </w:t>
            </w:r>
          </w:p>
          <w:p>
            <w:pPr>
              <w:rPr>
                <w:rFonts w:hint="eastAsia" w:ascii="宋体" w:hAnsi="宋体"/>
                <w:color w:val="auto"/>
                <w:highlight w:val="none"/>
                <w:u w:val="single"/>
              </w:rPr>
            </w:pPr>
            <w:r>
              <w:rPr>
                <w:rFonts w:hint="eastAsia" w:ascii="宋体" w:hAnsi="宋体"/>
                <w:color w:val="auto"/>
                <w:highlight w:val="none"/>
              </w:rPr>
              <w:t xml:space="preserve">        踏勘集中地点：</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642"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1.10</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分  包</w:t>
            </w:r>
          </w:p>
        </w:tc>
        <w:tc>
          <w:tcPr>
            <w:tcW w:w="6835" w:type="dxa"/>
            <w:noWrap w:val="0"/>
            <w:vAlign w:val="center"/>
          </w:tcPr>
          <w:p>
            <w:pPr>
              <w:rPr>
                <w:rFonts w:hint="eastAsia" w:ascii="宋体" w:hAnsi="宋体"/>
                <w:color w:val="auto"/>
                <w:highlight w:val="none"/>
              </w:rPr>
            </w:pPr>
            <w:r>
              <w:rPr>
                <w:rFonts w:hint="eastAsia"/>
                <w:color w:val="auto"/>
                <w:szCs w:val="21"/>
                <w:highlight w:val="none"/>
              </w:rPr>
              <w:t>囗</w:t>
            </w:r>
            <w:r>
              <w:rPr>
                <w:rFonts w:hint="eastAsia" w:ascii="宋体" w:hAnsi="宋体"/>
                <w:color w:val="auto"/>
                <w:highlight w:val="none"/>
              </w:rPr>
              <w:t>不允许。</w:t>
            </w:r>
          </w:p>
          <w:p>
            <w:pPr>
              <w:rPr>
                <w:rFonts w:hint="eastAsia" w:ascii="宋体" w:hAnsi="宋体"/>
                <w:color w:val="auto"/>
                <w:highlight w:val="none"/>
              </w:rPr>
            </w:pPr>
            <w:r>
              <w:rPr>
                <w:rFonts w:hint="eastAsia"/>
                <w:color w:val="auto"/>
                <w:szCs w:val="21"/>
                <w:highlight w:val="none"/>
              </w:rPr>
              <w:t>囗</w:t>
            </w:r>
            <w:r>
              <w:rPr>
                <w:rFonts w:hint="eastAsia" w:ascii="宋体" w:hAnsi="宋体"/>
                <w:color w:val="auto"/>
                <w:highlight w:val="none"/>
              </w:rPr>
              <w:t>允许，分包内容要求：</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 xml:space="preserve">        分包金额要求：</w:t>
            </w:r>
            <w:r>
              <w:rPr>
                <w:rFonts w:hint="eastAsia" w:ascii="宋体" w:hAnsi="宋体"/>
                <w:color w:val="auto"/>
                <w:highlight w:val="none"/>
                <w:u w:val="single"/>
              </w:rPr>
              <w:t xml:space="preserve">                   </w:t>
            </w:r>
          </w:p>
          <w:p>
            <w:pPr>
              <w:rPr>
                <w:rFonts w:hint="eastAsia" w:ascii="宋体" w:hAnsi="宋体"/>
                <w:color w:val="auto"/>
                <w:highlight w:val="none"/>
                <w:u w:val="single"/>
              </w:rPr>
            </w:pPr>
            <w:r>
              <w:rPr>
                <w:rFonts w:hint="eastAsia" w:ascii="宋体" w:hAnsi="宋体"/>
                <w:color w:val="auto"/>
                <w:highlight w:val="none"/>
              </w:rPr>
              <w:t xml:space="preserve">        接受分包的第三人资质要求：</w:t>
            </w:r>
            <w:r>
              <w:rPr>
                <w:rFonts w:hint="eastAsia" w:ascii="宋体" w:hAnsi="宋体"/>
                <w:color w:val="auto"/>
                <w:highlight w:val="none"/>
                <w:u w:val="single"/>
              </w:rPr>
              <w:t xml:space="preserve">       </w:t>
            </w:r>
          </w:p>
          <w:p>
            <w:pPr>
              <w:ind w:left="840" w:leftChars="400"/>
              <w:rPr>
                <w:rFonts w:hint="eastAsia" w:ascii="宋体" w:hAnsi="宋体"/>
                <w:color w:val="auto"/>
                <w:highlight w:val="none"/>
              </w:rPr>
            </w:pPr>
            <w:r>
              <w:rPr>
                <w:rFonts w:hint="eastAsia"/>
                <w:bCs/>
                <w:color w:val="auto"/>
                <w:highlight w:val="none"/>
              </w:rPr>
              <w:t>其他要求：</w:t>
            </w:r>
            <w:r>
              <w:rPr>
                <w:rFonts w:hint="eastAsia"/>
                <w:bCs/>
                <w:color w:val="auto"/>
                <w:highlight w:val="none"/>
                <w:u w:val="single"/>
              </w:rPr>
              <w:t xml:space="preserve">     </w:t>
            </w:r>
            <w:r>
              <w:rPr>
                <w:bCs/>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68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1.11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偏  离</w:t>
            </w:r>
          </w:p>
        </w:tc>
        <w:tc>
          <w:tcPr>
            <w:tcW w:w="6835" w:type="dxa"/>
            <w:noWrap w:val="0"/>
            <w:vAlign w:val="center"/>
          </w:tcPr>
          <w:p>
            <w:pPr>
              <w:rPr>
                <w:rFonts w:hint="eastAsia" w:ascii="宋体" w:hAnsi="宋体"/>
                <w:color w:val="auto"/>
                <w:highlight w:val="none"/>
              </w:rPr>
            </w:pPr>
            <w:r>
              <w:rPr>
                <w:rFonts w:hint="eastAsia"/>
                <w:color w:val="auto"/>
                <w:szCs w:val="21"/>
                <w:highlight w:val="none"/>
              </w:rPr>
              <w:t>囗</w:t>
            </w:r>
            <w:r>
              <w:rPr>
                <w:rFonts w:hint="eastAsia" w:ascii="宋体" w:hAnsi="宋体"/>
                <w:color w:val="auto"/>
                <w:highlight w:val="none"/>
              </w:rPr>
              <w:t>不允许。</w:t>
            </w:r>
          </w:p>
          <w:p>
            <w:pPr>
              <w:rPr>
                <w:rFonts w:hint="eastAsia" w:ascii="宋体" w:hAnsi="宋体"/>
                <w:color w:val="auto"/>
                <w:highlight w:val="none"/>
              </w:rPr>
            </w:pPr>
            <w:r>
              <w:rPr>
                <w:rFonts w:hint="eastAsia"/>
                <w:color w:val="auto"/>
                <w:szCs w:val="21"/>
                <w:highlight w:val="none"/>
              </w:rPr>
              <w:t>囗</w:t>
            </w:r>
            <w:r>
              <w:rPr>
                <w:rFonts w:hint="eastAsia" w:ascii="宋体" w:hAnsi="宋体"/>
                <w:color w:val="auto"/>
                <w:highlight w:val="none"/>
              </w:rPr>
              <w:t>允许，可偏离的项目和范围见招标文件。</w:t>
            </w:r>
          </w:p>
          <w:p>
            <w:pPr>
              <w:rPr>
                <w:rFonts w:hint="eastAsia" w:ascii="宋体" w:hAnsi="宋体"/>
                <w:color w:val="auto"/>
                <w:highlight w:val="none"/>
              </w:rPr>
            </w:pPr>
            <w:r>
              <w:rPr>
                <w:rFonts w:hint="eastAsia" w:ascii="宋体" w:hAnsi="宋体"/>
                <w:color w:val="auto"/>
                <w:highlight w:val="none"/>
              </w:rPr>
              <w:t xml:space="preserve">       “技术标准和要求”：</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 xml:space="preserve">        允许偏离最高项数：</w:t>
            </w:r>
            <w:r>
              <w:rPr>
                <w:rFonts w:hint="eastAsia" w:ascii="宋体" w:hAnsi="宋体"/>
                <w:color w:val="auto"/>
                <w:highlight w:val="none"/>
                <w:u w:val="single"/>
              </w:rPr>
              <w:t xml:space="preserve">               </w:t>
            </w:r>
          </w:p>
          <w:p>
            <w:pPr>
              <w:rPr>
                <w:rFonts w:hint="eastAsia" w:ascii="宋体" w:hAnsi="宋体"/>
                <w:color w:val="auto"/>
                <w:highlight w:val="none"/>
              </w:rPr>
            </w:pPr>
            <w:r>
              <w:rPr>
                <w:rFonts w:hint="eastAsia" w:ascii="宋体" w:hAnsi="宋体"/>
                <w:color w:val="auto"/>
                <w:highlight w:val="none"/>
              </w:rPr>
              <w:t xml:space="preserve">        偏差调整方法：</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850"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2.1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构成招标文件的其他材料</w:t>
            </w:r>
          </w:p>
        </w:tc>
        <w:tc>
          <w:tcPr>
            <w:tcW w:w="6835" w:type="dxa"/>
            <w:noWrap w:val="0"/>
            <w:vAlign w:val="center"/>
          </w:tcPr>
          <w:p>
            <w:pPr>
              <w:rPr>
                <w:rFonts w:hint="eastAsia"/>
                <w:color w:val="auto"/>
                <w:highlight w:val="none"/>
              </w:rPr>
            </w:pPr>
            <w:r>
              <w:rPr>
                <w:rFonts w:hint="eastAsia" w:ascii="宋体" w:hAnsi="宋体" w:eastAsia="宋体" w:cs="宋体"/>
                <w:color w:val="auto"/>
                <w:highlight w:val="none"/>
              </w:rPr>
              <w:t>1.</w:t>
            </w:r>
            <w:r>
              <w:rPr>
                <w:rFonts w:hint="eastAsia"/>
                <w:color w:val="auto"/>
                <w:highlight w:val="none"/>
              </w:rPr>
              <w:t>招标人发出的工程量清单（另册）</w:t>
            </w:r>
          </w:p>
          <w:p>
            <w:pPr>
              <w:pStyle w:val="41"/>
              <w:spacing w:line="240" w:lineRule="auto"/>
              <w:ind w:firstLine="0" w:firstLineChars="0"/>
              <w:rPr>
                <w:color w:val="auto"/>
                <w:highlight w:val="none"/>
                <w:u w:val="single"/>
              </w:rPr>
            </w:pPr>
            <w:r>
              <w:rPr>
                <w:rFonts w:hint="eastAsia" w:ascii="宋体"/>
                <w:color w:val="auto"/>
                <w:highlight w:val="none"/>
                <w:u w:val="single"/>
              </w:rPr>
              <w:t xml:space="preserve">                             </w:t>
            </w:r>
            <w:r>
              <w:rPr>
                <w:rFonts w:asci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783"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3.1.1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构成投标文件的其他材料</w:t>
            </w:r>
          </w:p>
        </w:tc>
        <w:tc>
          <w:tcPr>
            <w:tcW w:w="683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1.在“已标价工程量清单”的报价文件后应附上“造价工程师注册证书”，委托造价咨询单位编制投标报价的应提供“委托书”或“协议书”</w:t>
            </w:r>
            <w:r>
              <w:rPr>
                <w:rFonts w:hint="eastAsia" w:ascii="宋体" w:hAnsi="宋体"/>
                <w:color w:val="auto"/>
                <w:szCs w:val="21"/>
                <w:highlight w:val="none"/>
                <w:lang w:eastAsia="zh-CN"/>
              </w:rPr>
              <w:t>扫描</w:t>
            </w:r>
            <w:r>
              <w:rPr>
                <w:rFonts w:hint="eastAsia" w:ascii="宋体" w:hAnsi="宋体"/>
                <w:color w:val="auto"/>
                <w:szCs w:val="21"/>
                <w:highlight w:val="none"/>
              </w:rPr>
              <w:t>件，造价工程师注册执业单位必须与投标人或咨询单位（指受委托编制投标报价的）相符。</w:t>
            </w:r>
          </w:p>
          <w:p>
            <w:pPr>
              <w:rPr>
                <w:rFonts w:hint="eastAsia" w:ascii="宋体" w:hAnsi="宋体"/>
                <w:color w:val="auto"/>
                <w:szCs w:val="21"/>
                <w:highlight w:val="none"/>
                <w:u w:val="single"/>
              </w:rPr>
            </w:pPr>
            <w:r>
              <w:rPr>
                <w:rFonts w:hint="eastAsia" w:ascii="宋体" w:hAnsi="宋体"/>
                <w:color w:val="auto"/>
                <w:highlight w:val="none"/>
              </w:rPr>
              <w:t>2.</w:t>
            </w:r>
            <w:r>
              <w:rPr>
                <w:rFonts w:hint="eastAsia" w:ascii="宋体" w:hAnsi="宋体"/>
                <w:color w:val="auto"/>
                <w:highlight w:val="none"/>
                <w:u w:val="single"/>
              </w:rPr>
              <w:t xml:space="preserve">                                </w:t>
            </w:r>
            <w:r>
              <w:rPr>
                <w:rFonts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182" w:hRule="atLeast"/>
          <w:jc w:val="center"/>
        </w:trPr>
        <w:tc>
          <w:tcPr>
            <w:tcW w:w="905"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3.2.3</w:t>
            </w:r>
          </w:p>
        </w:tc>
        <w:tc>
          <w:tcPr>
            <w:tcW w:w="1908" w:type="dxa"/>
            <w:gridSpan w:val="2"/>
            <w:noWrap w:val="0"/>
            <w:vAlign w:val="center"/>
          </w:tcPr>
          <w:p>
            <w:pPr>
              <w:rPr>
                <w:rFonts w:hint="eastAsia" w:ascii="宋体" w:hAnsi="宋体"/>
                <w:color w:val="auto"/>
                <w:kern w:val="2"/>
                <w:sz w:val="21"/>
                <w:szCs w:val="24"/>
                <w:highlight w:val="none"/>
                <w:lang w:val="en-US" w:eastAsia="zh-CN" w:bidi="ar-SA"/>
              </w:rPr>
            </w:pPr>
            <w:r>
              <w:rPr>
                <w:rFonts w:hint="eastAsia" w:ascii="宋体" w:hAnsi="宋体"/>
                <w:color w:val="auto"/>
                <w:highlight w:val="none"/>
                <w:lang w:eastAsia="zh-CN"/>
              </w:rPr>
              <w:t>最高投标限价</w:t>
            </w:r>
          </w:p>
        </w:tc>
        <w:tc>
          <w:tcPr>
            <w:tcW w:w="6835" w:type="dxa"/>
            <w:noWrap w:val="0"/>
            <w:vAlign w:val="center"/>
          </w:tcPr>
          <w:p>
            <w:pPr>
              <w:rPr>
                <w:rFonts w:hint="eastAsia" w:ascii="宋体" w:hAnsi="宋体" w:eastAsia="宋体"/>
                <w:color w:val="auto"/>
                <w:highlight w:val="none"/>
                <w:lang w:eastAsia="zh-CN"/>
              </w:rPr>
            </w:pPr>
            <w:r>
              <w:rPr>
                <w:rFonts w:hint="eastAsia" w:ascii="宋体" w:hAnsi="宋体"/>
                <w:color w:val="auto"/>
                <w:highlight w:val="none"/>
                <w:lang w:eastAsia="zh-CN"/>
              </w:rPr>
              <w:t>最高投标限价</w:t>
            </w:r>
            <w:r>
              <w:rPr>
                <w:rFonts w:hint="eastAsia" w:ascii="宋体" w:hAnsi="宋体"/>
                <w:color w:val="auto"/>
                <w:highlight w:val="none"/>
              </w:rPr>
              <w:t>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元</w:t>
            </w:r>
            <w:r>
              <w:rPr>
                <w:rFonts w:hint="eastAsia" w:ascii="宋体" w:hAnsi="宋体"/>
                <w:color w:val="auto"/>
                <w:highlight w:val="none"/>
                <w:lang w:eastAsia="zh-CN"/>
              </w:rPr>
              <w:t>，</w:t>
            </w:r>
            <w:r>
              <w:rPr>
                <w:rFonts w:hint="eastAsia" w:ascii="宋体" w:hAnsi="宋体"/>
                <w:color w:val="auto"/>
                <w:highlight w:val="none"/>
              </w:rPr>
              <w:t>其中</w:t>
            </w:r>
            <w:r>
              <w:rPr>
                <w:rFonts w:hint="eastAsia" w:ascii="宋体" w:hAnsi="宋体"/>
                <w:color w:val="auto"/>
                <w:highlight w:val="none"/>
                <w:lang w:eastAsia="zh-CN"/>
              </w:rPr>
              <w:t>安全生产</w:t>
            </w:r>
            <w:r>
              <w:rPr>
                <w:rFonts w:hint="eastAsia" w:ascii="宋体" w:hAnsi="宋体"/>
                <w:color w:val="auto"/>
                <w:highlight w:val="none"/>
              </w:rPr>
              <w:t>措施费：</w:t>
            </w:r>
            <w:r>
              <w:rPr>
                <w:rFonts w:hint="eastAsia" w:ascii="宋体" w:hAnsi="宋体"/>
                <w:color w:val="auto"/>
                <w:highlight w:val="none"/>
                <w:u w:val="single"/>
              </w:rPr>
              <w:t xml:space="preserve">     </w:t>
            </w:r>
            <w:r>
              <w:rPr>
                <w:rFonts w:hint="eastAsia" w:ascii="宋体" w:hAnsi="宋体"/>
                <w:color w:val="auto"/>
                <w:highlight w:val="none"/>
              </w:rPr>
              <w:t>元，暂列金额为：</w:t>
            </w:r>
            <w:r>
              <w:rPr>
                <w:rFonts w:hint="eastAsia" w:ascii="宋体" w:hAnsi="宋体"/>
                <w:color w:val="auto"/>
                <w:highlight w:val="none"/>
                <w:u w:val="single"/>
              </w:rPr>
              <w:t xml:space="preserve">     </w:t>
            </w:r>
            <w:r>
              <w:rPr>
                <w:rFonts w:hint="eastAsia" w:ascii="宋体" w:hAnsi="宋体"/>
                <w:color w:val="auto"/>
                <w:highlight w:val="none"/>
              </w:rPr>
              <w:t>元，暂估价为：</w:t>
            </w:r>
            <w:r>
              <w:rPr>
                <w:rFonts w:hint="eastAsia" w:ascii="宋体" w:hAnsi="宋体"/>
                <w:color w:val="auto"/>
                <w:highlight w:val="none"/>
                <w:u w:val="single"/>
              </w:rPr>
              <w:t xml:space="preserve">     </w:t>
            </w:r>
            <w:r>
              <w:rPr>
                <w:rFonts w:hint="eastAsia" w:ascii="宋体" w:hAnsi="宋体"/>
                <w:color w:val="auto"/>
                <w:highlight w:val="none"/>
              </w:rPr>
              <w:t>元。</w:t>
            </w:r>
            <w:r>
              <w:rPr>
                <w:rFonts w:hint="eastAsia" w:ascii="宋体" w:hAnsi="宋体"/>
                <w:color w:val="auto"/>
                <w:highlight w:val="none"/>
                <w:lang w:eastAsia="zh-CN"/>
              </w:rPr>
              <w:t>（</w:t>
            </w:r>
            <w:r>
              <w:rPr>
                <w:rFonts w:hint="eastAsia" w:ascii="宋体" w:hAnsi="宋体"/>
                <w:color w:val="auto"/>
                <w:highlight w:val="none"/>
              </w:rPr>
              <w:t>注：安全</w:t>
            </w:r>
            <w:r>
              <w:rPr>
                <w:rFonts w:hint="eastAsia" w:ascii="宋体" w:hAnsi="宋体"/>
                <w:color w:val="auto"/>
                <w:highlight w:val="none"/>
                <w:lang w:eastAsia="zh-CN"/>
              </w:rPr>
              <w:t>生产</w:t>
            </w:r>
            <w:r>
              <w:rPr>
                <w:rFonts w:hint="eastAsia" w:ascii="宋体" w:hAnsi="宋体"/>
                <w:color w:val="auto"/>
                <w:highlight w:val="none"/>
              </w:rPr>
              <w:t>措施费、暂列金额及暂估价</w:t>
            </w:r>
            <w:r>
              <w:rPr>
                <w:rFonts w:hint="eastAsia" w:ascii="宋体" w:hAnsi="宋体"/>
                <w:color w:val="auto"/>
                <w:highlight w:val="none"/>
                <w:lang w:eastAsia="zh-CN"/>
              </w:rPr>
              <w:t>不参与竞争，投标人报价时不得调整。投标人投标报价应包含上述费用，且不得高于最高投标限价。评标办法、定标办法中的投标报价为包含上述费用的总价格。）</w:t>
            </w:r>
          </w:p>
          <w:p>
            <w:pPr>
              <w:rPr>
                <w:rFonts w:hint="default" w:ascii="宋体" w:hAnsi="宋体"/>
                <w:color w:val="auto"/>
                <w:kern w:val="2"/>
                <w:sz w:val="21"/>
                <w:szCs w:val="24"/>
                <w:highlight w:val="none"/>
                <w:u w:val="single"/>
                <w:lang w:val="en-US" w:eastAsia="zh-CN" w:bidi="ar-SA"/>
              </w:rPr>
            </w:pPr>
            <w:r>
              <w:rPr>
                <w:rFonts w:hint="eastAsia" w:ascii="宋体" w:hAnsi="宋体"/>
                <w:color w:val="auto"/>
                <w:highlight w:val="none"/>
                <w:lang w:eastAsia="zh-CN"/>
              </w:rPr>
              <w:t>其他情况说明：</w:t>
            </w:r>
            <w:r>
              <w:rPr>
                <w:rFonts w:hint="eastAsia" w:ascii="宋体" w:hAnsi="宋体"/>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16"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3.3.1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投标有效期</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09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3.4.1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投标保证金</w:t>
            </w:r>
          </w:p>
        </w:tc>
        <w:tc>
          <w:tcPr>
            <w:tcW w:w="6835" w:type="dxa"/>
            <w:noWrap w:val="0"/>
            <w:vAlign w:val="center"/>
          </w:tcPr>
          <w:p>
            <w:pPr>
              <w:jc w:val="left"/>
              <w:rPr>
                <w:rFonts w:hint="eastAsia" w:ascii="宋体" w:hAnsi="宋体" w:eastAsia="宋体"/>
                <w:color w:val="auto"/>
                <w:szCs w:val="21"/>
                <w:highlight w:val="none"/>
                <w:u w:val="single"/>
                <w:lang w:val="en-US" w:eastAsia="zh-CN"/>
              </w:rPr>
            </w:pPr>
            <w:r>
              <w:rPr>
                <w:rFonts w:hint="eastAsia"/>
                <w:color w:val="auto"/>
                <w:szCs w:val="21"/>
                <w:highlight w:val="none"/>
              </w:rPr>
              <w:t>囗</w:t>
            </w:r>
            <w:r>
              <w:rPr>
                <w:rFonts w:hint="eastAsia"/>
                <w:color w:val="auto"/>
                <w:szCs w:val="21"/>
                <w:highlight w:val="none"/>
                <w:lang w:eastAsia="zh-CN"/>
              </w:rPr>
              <w:t>本项目不需要递交保证金。</w:t>
            </w:r>
          </w:p>
          <w:p>
            <w:pPr>
              <w:jc w:val="left"/>
              <w:rPr>
                <w:rFonts w:hint="default" w:ascii="Tahoma" w:hAnsi="宋体" w:cs="@smartSimSun"/>
                <w:szCs w:val="20"/>
                <w:highlight w:val="none"/>
              </w:rPr>
            </w:pPr>
            <w:r>
              <w:rPr>
                <w:rFonts w:hint="eastAsia"/>
                <w:color w:val="auto"/>
                <w:szCs w:val="21"/>
                <w:highlight w:val="none"/>
              </w:rPr>
              <w:t>囗</w:t>
            </w:r>
            <w:r>
              <w:rPr>
                <w:rFonts w:hint="eastAsia"/>
                <w:color w:val="auto"/>
                <w:szCs w:val="21"/>
                <w:highlight w:val="none"/>
                <w:lang w:eastAsia="zh-CN"/>
              </w:rPr>
              <w:t>本项目需要递交保证金，</w:t>
            </w:r>
            <w:r>
              <w:rPr>
                <w:rFonts w:hint="eastAsia" w:ascii="宋体" w:hAnsi="宋体"/>
                <w:color w:val="auto"/>
                <w:szCs w:val="21"/>
                <w:highlight w:val="none"/>
              </w:rPr>
              <w:t>投标保证金递交截止时间见公告。</w:t>
            </w:r>
          </w:p>
          <w:p>
            <w:pPr>
              <w:jc w:val="left"/>
              <w:rPr>
                <w:rFonts w:hint="eastAsia" w:ascii="宋体" w:hAnsi="宋体"/>
                <w:color w:val="auto"/>
                <w:highlight w:val="none"/>
              </w:rPr>
            </w:pPr>
            <w:r>
              <w:rPr>
                <w:rFonts w:hint="eastAsia" w:ascii="宋体" w:hAnsi="宋体"/>
                <w:b/>
                <w:bCs/>
                <w:color w:val="auto"/>
                <w:szCs w:val="21"/>
                <w:highlight w:val="none"/>
              </w:rPr>
              <w:t>投标保证金的金额：</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估算价的2%、不超过50万元</w:t>
            </w:r>
            <w:r>
              <w:rPr>
                <w:rFonts w:hint="eastAsia" w:ascii="宋体" w:hAnsi="宋体"/>
                <w:color w:val="auto"/>
                <w:highlight w:val="none"/>
              </w:rPr>
              <w:t>）</w:t>
            </w:r>
          </w:p>
          <w:p>
            <w:pPr>
              <w:ind w:left="0" w:firstLine="0" w:firstLineChars="0"/>
              <w:jc w:val="left"/>
              <w:rPr>
                <w:rFonts w:hint="eastAsia"/>
                <w:color w:val="auto"/>
                <w:szCs w:val="21"/>
                <w:highlight w:val="none"/>
                <w:lang w:val="en-US" w:eastAsia="zh-CN"/>
              </w:rPr>
            </w:pPr>
            <w:r>
              <w:rPr>
                <w:rFonts w:hint="eastAsia" w:ascii="宋体" w:hAnsi="宋体"/>
                <w:b/>
                <w:bCs/>
                <w:color w:val="auto"/>
                <w:szCs w:val="21"/>
                <w:highlight w:val="none"/>
                <w:lang w:eastAsia="zh-CN"/>
              </w:rPr>
              <w:t>投标保证金形式</w:t>
            </w:r>
            <w:r>
              <w:rPr>
                <w:rFonts w:hint="eastAsia" w:ascii="宋体" w:hAnsi="宋体"/>
                <w:b/>
                <w:bCs/>
                <w:color w:val="auto"/>
                <w:szCs w:val="21"/>
                <w:highlight w:val="none"/>
              </w:rPr>
              <w:t>：</w:t>
            </w:r>
            <w:r>
              <w:rPr>
                <w:rFonts w:hint="eastAsia"/>
                <w:color w:val="auto"/>
                <w:szCs w:val="21"/>
                <w:highlight w:val="none"/>
              </w:rPr>
              <w:t>囗</w:t>
            </w:r>
            <w:r>
              <w:rPr>
                <w:rFonts w:hint="eastAsia"/>
                <w:color w:val="auto"/>
                <w:szCs w:val="21"/>
                <w:highlight w:val="none"/>
                <w:lang w:eastAsia="zh-CN"/>
              </w:rPr>
              <w:t>银行转账</w:t>
            </w:r>
            <w:r>
              <w:rPr>
                <w:rFonts w:hint="eastAsia" w:ascii="宋体" w:hAnsi="宋体" w:cs="宋体"/>
                <w:color w:val="auto"/>
                <w:szCs w:val="21"/>
                <w:highlight w:val="none"/>
              </w:rPr>
              <w:t xml:space="preserve">  </w:t>
            </w:r>
            <w:r>
              <w:rPr>
                <w:rFonts w:hint="eastAsia"/>
                <w:color w:val="auto"/>
                <w:szCs w:val="21"/>
                <w:highlight w:val="none"/>
              </w:rPr>
              <w:t>囗</w:t>
            </w:r>
            <w:r>
              <w:rPr>
                <w:rFonts w:hint="eastAsia"/>
                <w:color w:val="auto"/>
                <w:szCs w:val="21"/>
                <w:highlight w:val="none"/>
                <w:lang w:eastAsia="zh-CN"/>
              </w:rPr>
              <w:t>银行保函</w:t>
            </w:r>
            <w:r>
              <w:rPr>
                <w:rFonts w:hint="eastAsia" w:ascii="宋体" w:hAnsi="宋体" w:cs="宋体"/>
                <w:color w:val="auto"/>
                <w:szCs w:val="21"/>
                <w:highlight w:val="none"/>
                <w:lang w:val="en-US" w:eastAsia="zh-CN"/>
              </w:rPr>
              <w:t xml:space="preserve">  </w:t>
            </w:r>
            <w:r>
              <w:rPr>
                <w:rFonts w:hint="eastAsia"/>
                <w:color w:val="auto"/>
                <w:szCs w:val="21"/>
                <w:highlight w:val="none"/>
              </w:rPr>
              <w:t>囗</w:t>
            </w:r>
            <w:r>
              <w:rPr>
                <w:rFonts w:hint="eastAsia"/>
                <w:color w:val="auto"/>
                <w:szCs w:val="21"/>
                <w:highlight w:val="none"/>
                <w:lang w:eastAsia="zh-CN"/>
              </w:rPr>
              <w:t>保证保险</w:t>
            </w:r>
            <w:r>
              <w:rPr>
                <w:rFonts w:hint="eastAsia"/>
                <w:color w:val="auto"/>
                <w:szCs w:val="21"/>
                <w:highlight w:val="none"/>
                <w:lang w:val="en-US" w:eastAsia="zh-CN"/>
              </w:rPr>
              <w:t xml:space="preserve"> </w:t>
            </w:r>
          </w:p>
          <w:p>
            <w:pPr>
              <w:ind w:left="0" w:firstLine="1680" w:firstLineChars="800"/>
              <w:jc w:val="left"/>
              <w:rPr>
                <w:rFonts w:hint="eastAsia" w:ascii="宋体" w:hAnsi="宋体" w:eastAsia="宋体" w:cs="宋体"/>
                <w:color w:val="auto"/>
                <w:szCs w:val="21"/>
                <w:highlight w:val="none"/>
                <w:lang w:val="en-US" w:eastAsia="zh-CN"/>
              </w:rPr>
            </w:pPr>
            <w:r>
              <w:rPr>
                <w:rFonts w:hint="eastAsia"/>
                <w:color w:val="auto"/>
                <w:szCs w:val="21"/>
                <w:highlight w:val="none"/>
              </w:rPr>
              <w:t>囗</w:t>
            </w:r>
            <w:r>
              <w:rPr>
                <w:rFonts w:hint="eastAsia"/>
                <w:color w:val="auto"/>
                <w:szCs w:val="21"/>
                <w:highlight w:val="none"/>
                <w:lang w:eastAsia="zh-CN"/>
              </w:rPr>
              <w:t>专业工程担保公司担保</w:t>
            </w:r>
            <w:r>
              <w:rPr>
                <w:rFonts w:hint="eastAsia"/>
                <w:color w:val="auto"/>
                <w:szCs w:val="21"/>
                <w:highlight w:val="none"/>
                <w:lang w:val="en-US" w:eastAsia="zh-CN"/>
              </w:rPr>
              <w:t xml:space="preserve">  </w:t>
            </w:r>
            <w:r>
              <w:rPr>
                <w:rFonts w:hint="eastAsia"/>
                <w:color w:val="auto"/>
                <w:szCs w:val="21"/>
                <w:highlight w:val="none"/>
              </w:rPr>
              <w:t>囗</w:t>
            </w:r>
            <w:r>
              <w:rPr>
                <w:rFonts w:hint="eastAsia"/>
                <w:color w:val="auto"/>
                <w:szCs w:val="21"/>
                <w:highlight w:val="none"/>
                <w:lang w:eastAsia="zh-CN"/>
              </w:rPr>
              <w:t>投标保证金承诺函</w:t>
            </w:r>
          </w:p>
          <w:p>
            <w:pPr>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递交方式：</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（1）在线递交</w:t>
            </w:r>
          </w:p>
          <w:p>
            <w:pPr>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①</w:t>
            </w:r>
            <w:r>
              <w:rPr>
                <w:rFonts w:hint="eastAsia" w:ascii="宋体" w:hAnsi="宋体" w:cs="宋体"/>
                <w:color w:val="auto"/>
                <w:szCs w:val="21"/>
                <w:highlight w:val="none"/>
              </w:rPr>
              <w:t>通过江门</w:t>
            </w:r>
            <w:r>
              <w:rPr>
                <w:rFonts w:hint="eastAsia" w:ascii="宋体" w:hAnsi="宋体" w:eastAsia="宋体" w:cs="Times New Roman"/>
                <w:color w:val="auto"/>
                <w:szCs w:val="21"/>
                <w:highlight w:val="none"/>
              </w:rPr>
              <w:t>市公共资源交易</w:t>
            </w:r>
            <w:r>
              <w:rPr>
                <w:rFonts w:hint="eastAsia" w:ascii="宋体" w:hAnsi="宋体" w:eastAsia="宋体" w:cs="Times New Roman"/>
                <w:color w:val="auto"/>
                <w:szCs w:val="21"/>
                <w:highlight w:val="none"/>
                <w:lang w:eastAsia="zh-CN"/>
              </w:rPr>
              <w:t>系统递交</w:t>
            </w:r>
            <w:r>
              <w:rPr>
                <w:rFonts w:hint="eastAsia" w:ascii="宋体" w:hAnsi="宋体" w:eastAsia="宋体" w:cs="Times New Roman"/>
                <w:color w:val="auto"/>
                <w:szCs w:val="21"/>
                <w:highlight w:val="none"/>
              </w:rPr>
              <w:t>的（投标人</w:t>
            </w:r>
            <w:r>
              <w:rPr>
                <w:rFonts w:hint="eastAsia" w:ascii="宋体" w:hAnsi="宋体" w:eastAsia="宋体" w:cs="Times New Roman"/>
                <w:color w:val="auto"/>
                <w:szCs w:val="21"/>
                <w:highlight w:val="none"/>
                <w:lang w:eastAsia="zh-CN"/>
              </w:rPr>
              <w:t>必须使用</w:t>
            </w:r>
            <w:r>
              <w:rPr>
                <w:rFonts w:hint="eastAsia" w:ascii="宋体" w:hAnsi="宋体" w:eastAsia="宋体" w:cs="Times New Roman"/>
                <w:color w:val="auto"/>
                <w:szCs w:val="21"/>
                <w:highlight w:val="none"/>
              </w:rPr>
              <w:t>的基本账户），投标人是否成功缴纳投标保证金以投标截止时江门市公共资源交易中心出具的到账名单为准。投标人在投标截止时间前必须自行核实投标保证金到账情况</w:t>
            </w:r>
            <w:r>
              <w:rPr>
                <w:rFonts w:hint="eastAsia" w:ascii="宋体" w:hAnsi="宋体" w:eastAsia="宋体" w:cs="Times New Roman"/>
                <w:color w:val="auto"/>
                <w:szCs w:val="21"/>
                <w:highlight w:val="none"/>
                <w:lang w:eastAsia="zh-CN"/>
              </w:rPr>
              <w:t>。</w:t>
            </w:r>
          </w:p>
          <w:p>
            <w:pPr>
              <w:ind w:firstLine="0" w:firstLineChars="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rPr>
              <w:t>②</w:t>
            </w:r>
            <w:r>
              <w:rPr>
                <w:rFonts w:hint="eastAsia" w:ascii="宋体" w:hAnsi="宋体" w:eastAsia="宋体" w:cs="Times New Roman"/>
                <w:color w:val="auto"/>
                <w:kern w:val="2"/>
                <w:sz w:val="21"/>
                <w:szCs w:val="21"/>
                <w:highlight w:val="none"/>
                <w:lang w:val="en-US" w:eastAsia="zh-CN" w:bidi="ar"/>
              </w:rPr>
              <w:t>通过广东省建筑市场监管公共服务平台招投标及合同履约监管系统（地址：</w:t>
            </w:r>
            <w:r>
              <w:rPr>
                <w:rFonts w:hint="eastAsia" w:ascii="宋体" w:hAnsi="宋体" w:eastAsia="宋体" w:cs="Times New Roman"/>
                <w:color w:val="auto"/>
                <w:kern w:val="2"/>
                <w:sz w:val="21"/>
                <w:szCs w:val="21"/>
                <w:highlight w:val="none"/>
                <w:lang w:val="en-US" w:eastAsia="zh-CN" w:bidi="ar"/>
              </w:rPr>
              <w:fldChar w:fldCharType="begin"/>
            </w:r>
            <w:r>
              <w:rPr>
                <w:rFonts w:hint="eastAsia" w:ascii="宋体" w:hAnsi="宋体" w:eastAsia="宋体" w:cs="Times New Roman"/>
                <w:color w:val="auto"/>
                <w:kern w:val="2"/>
                <w:sz w:val="21"/>
                <w:szCs w:val="21"/>
                <w:highlight w:val="none"/>
                <w:lang w:val="en-US" w:eastAsia="zh-CN" w:bidi="ar"/>
              </w:rPr>
              <w:instrText xml:space="preserve"> HYPERLINK "http://210.76.80.152:8008）" </w:instrText>
            </w:r>
            <w:r>
              <w:rPr>
                <w:rFonts w:hint="eastAsia" w:ascii="宋体" w:hAnsi="宋体" w:eastAsia="宋体" w:cs="Times New Roman"/>
                <w:color w:val="auto"/>
                <w:kern w:val="2"/>
                <w:sz w:val="21"/>
                <w:szCs w:val="21"/>
                <w:highlight w:val="none"/>
                <w:lang w:val="en-US" w:eastAsia="zh-CN" w:bidi="ar"/>
              </w:rPr>
              <w:fldChar w:fldCharType="separate"/>
            </w:r>
            <w:r>
              <w:rPr>
                <w:rStyle w:val="49"/>
                <w:rFonts w:hint="eastAsia" w:ascii="宋体" w:hAnsi="宋体" w:eastAsia="宋体" w:cs="Times New Roman"/>
                <w:color w:val="auto"/>
                <w:kern w:val="2"/>
                <w:sz w:val="21"/>
                <w:szCs w:val="21"/>
                <w:highlight w:val="none"/>
                <w:lang w:val="en-US" w:eastAsia="zh-CN" w:bidi="ar"/>
              </w:rPr>
              <w:t>http://210.76.80.152:8008）</w:t>
            </w:r>
            <w:r>
              <w:rPr>
                <w:rFonts w:hint="eastAsia" w:ascii="宋体" w:hAnsi="宋体" w:eastAsia="宋体" w:cs="Times New Roman"/>
                <w:color w:val="auto"/>
                <w:kern w:val="2"/>
                <w:sz w:val="21"/>
                <w:szCs w:val="21"/>
                <w:highlight w:val="none"/>
                <w:lang w:val="en-US" w:eastAsia="zh-CN" w:bidi="ar"/>
              </w:rPr>
              <w:fldChar w:fldCharType="end"/>
            </w:r>
            <w:r>
              <w:rPr>
                <w:rFonts w:hint="eastAsia" w:ascii="宋体" w:hAnsi="宋体" w:eastAsia="宋体" w:cs="Times New Roman"/>
                <w:color w:val="auto"/>
                <w:kern w:val="2"/>
                <w:sz w:val="21"/>
                <w:szCs w:val="21"/>
                <w:highlight w:val="none"/>
                <w:lang w:val="en-US" w:eastAsia="zh-CN" w:bidi="ar"/>
              </w:rPr>
              <w:t>→“工程担保管理子系统”→“工程担保便民服务”申请的</w:t>
            </w: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lang w:eastAsia="zh-CN"/>
              </w:rPr>
              <w:t>必须使用</w:t>
            </w:r>
            <w:r>
              <w:rPr>
                <w:rFonts w:hint="eastAsia" w:ascii="宋体" w:hAnsi="宋体" w:eastAsia="宋体" w:cs="Times New Roman"/>
                <w:color w:val="auto"/>
                <w:szCs w:val="21"/>
                <w:highlight w:val="none"/>
              </w:rPr>
              <w:t>的基本账户）</w:t>
            </w:r>
            <w:r>
              <w:rPr>
                <w:rFonts w:hint="eastAsia" w:ascii="宋体" w:hAnsi="宋体" w:eastAsia="宋体" w:cs="Times New Roman"/>
                <w:color w:val="auto"/>
                <w:kern w:val="2"/>
                <w:sz w:val="21"/>
                <w:szCs w:val="21"/>
                <w:highlight w:val="none"/>
                <w:lang w:val="en-US" w:eastAsia="zh-CN" w:bidi="ar"/>
              </w:rPr>
              <w:t>，</w:t>
            </w:r>
            <w:r>
              <w:rPr>
                <w:rFonts w:hint="eastAsia" w:ascii="宋体" w:hAnsi="宋体" w:eastAsia="宋体" w:cs="Times New Roman"/>
                <w:color w:val="auto"/>
                <w:spacing w:val="0"/>
                <w:kern w:val="2"/>
                <w:sz w:val="21"/>
                <w:szCs w:val="21"/>
                <w:highlight w:val="none"/>
                <w:lang w:val="en-US" w:eastAsia="zh-CN" w:bidi="ar"/>
              </w:rPr>
              <w:t>投标人是否成功缴纳投标保证金以投标截止时工程担保管理子系统查询的名单信息为准。</w:t>
            </w:r>
            <w:r>
              <w:rPr>
                <w:rFonts w:hint="eastAsia" w:ascii="宋体" w:hAnsi="宋体" w:eastAsia="宋体" w:cs="Times New Roman"/>
                <w:color w:val="auto"/>
                <w:kern w:val="2"/>
                <w:sz w:val="21"/>
                <w:szCs w:val="21"/>
                <w:highlight w:val="none"/>
                <w:lang w:val="en-US" w:eastAsia="zh-CN" w:bidi="ar"/>
              </w:rPr>
              <w:t>招标人/招标代理在开标时，通过“工程担保管理子系统”→“保函展示验真查询”功能，输入项目编码或项目名称，对本项目各投标人所提交投标保证金进行查验。</w:t>
            </w:r>
            <w:r>
              <w:rPr>
                <w:rFonts w:hint="eastAsia" w:ascii="宋体" w:hAnsi="宋体" w:eastAsia="宋体" w:cs="Times New Roman"/>
                <w:color w:val="auto"/>
                <w:spacing w:val="0"/>
                <w:sz w:val="21"/>
                <w:szCs w:val="21"/>
                <w:highlight w:val="none"/>
                <w:lang w:val="en-US" w:eastAsia="zh-CN" w:bidi="ar"/>
              </w:rPr>
              <w:t>（具体操作可在首页右侧功能“操作指引”中下载“电子保函/保证保险操</w:t>
            </w:r>
            <w:r>
              <w:rPr>
                <w:rFonts w:hint="eastAsia" w:ascii="宋体" w:hAnsi="宋体" w:eastAsia="宋体" w:cs="宋体"/>
                <w:color w:val="auto"/>
                <w:spacing w:val="0"/>
                <w:sz w:val="21"/>
                <w:szCs w:val="21"/>
                <w:highlight w:val="none"/>
                <w:lang w:val="en-US" w:eastAsia="zh-CN"/>
              </w:rPr>
              <w:t>作指引”查看）</w:t>
            </w:r>
          </w:p>
          <w:p>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（2）现场递交</w:t>
            </w:r>
          </w:p>
          <w:p>
            <w:pPr>
              <w:ind w:firstLine="0" w:firstLineChars="0"/>
              <w:jc w:val="left"/>
              <w:rPr>
                <w:rFonts w:ascii="宋体" w:hAnsi="宋体"/>
                <w:color w:val="auto"/>
                <w:szCs w:val="21"/>
                <w:highlight w:val="none"/>
              </w:rPr>
            </w:pPr>
            <w:r>
              <w:rPr>
                <w:rFonts w:hint="eastAsia" w:ascii="宋体" w:hAnsi="宋体" w:eastAsia="宋体" w:cs="宋体"/>
                <w:color w:val="auto"/>
                <w:szCs w:val="21"/>
                <w:highlight w:val="none"/>
                <w:lang w:eastAsia="zh-CN"/>
              </w:rPr>
              <w:t>①</w:t>
            </w:r>
            <w:r>
              <w:rPr>
                <w:rFonts w:hint="eastAsia" w:ascii="宋体" w:hAnsi="宋体"/>
                <w:b w:val="0"/>
                <w:bCs/>
                <w:color w:val="auto"/>
                <w:szCs w:val="21"/>
                <w:highlight w:val="none"/>
              </w:rPr>
              <w:t>银行保函。</w:t>
            </w:r>
            <w:r>
              <w:rPr>
                <w:rFonts w:hint="eastAsia" w:ascii="宋体" w:hAnsi="宋体"/>
                <w:color w:val="auto"/>
                <w:szCs w:val="21"/>
                <w:highlight w:val="none"/>
              </w:rPr>
              <w:t>投标人自行开具银行保函的，</w:t>
            </w:r>
            <w:r>
              <w:rPr>
                <w:rFonts w:hint="eastAsia" w:ascii="宋体" w:hAnsi="宋体" w:cs="宋体"/>
                <w:color w:val="auto"/>
                <w:szCs w:val="21"/>
                <w:highlight w:val="none"/>
              </w:rPr>
              <w:t>在</w:t>
            </w:r>
            <w:r>
              <w:rPr>
                <w:rFonts w:hint="eastAsia" w:ascii="宋体" w:hAnsi="宋体" w:cs="宋体"/>
                <w:color w:val="auto"/>
                <w:szCs w:val="21"/>
                <w:highlight w:val="none"/>
                <w:lang w:eastAsia="zh-CN"/>
              </w:rPr>
              <w:t>规定的时间送达开标场所，包括</w:t>
            </w:r>
            <w:r>
              <w:rPr>
                <w:rFonts w:hint="eastAsia" w:ascii="宋体" w:hAnsi="宋体" w:cs="宋体"/>
                <w:color w:val="auto"/>
                <w:szCs w:val="21"/>
                <w:highlight w:val="none"/>
                <w:lang w:val="en-US" w:eastAsia="zh-CN"/>
              </w:rPr>
              <w:t>保证金单据（</w:t>
            </w:r>
            <w:r>
              <w:rPr>
                <w:rFonts w:hint="default" w:ascii="宋体" w:hAnsi="宋体" w:cs="宋体"/>
                <w:color w:val="auto"/>
                <w:szCs w:val="21"/>
                <w:highlight w:val="none"/>
                <w:lang w:val="en-US"/>
              </w:rPr>
              <w:t>银行保函</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原件</w:t>
            </w:r>
            <w:r>
              <w:rPr>
                <w:rFonts w:hint="eastAsia" w:ascii="宋体" w:hAnsi="宋体" w:eastAsia="宋体" w:cs="Times New Roman"/>
                <w:color w:val="auto"/>
                <w:szCs w:val="21"/>
                <w:highlight w:val="none"/>
              </w:rPr>
              <w:t>〔银</w:t>
            </w:r>
            <w:r>
              <w:rPr>
                <w:rFonts w:hint="eastAsia" w:ascii="宋体" w:hAnsi="宋体"/>
                <w:color w:val="auto"/>
                <w:szCs w:val="21"/>
                <w:highlight w:val="none"/>
              </w:rPr>
              <w:t>行保函应从其基本账户开户银行开具，如不是从其基本账户开户银行开具的，则须</w:t>
            </w:r>
            <w:r>
              <w:rPr>
                <w:rFonts w:hint="eastAsia" w:ascii="宋体" w:hAnsi="宋体"/>
                <w:color w:val="auto"/>
                <w:szCs w:val="21"/>
                <w:highlight w:val="none"/>
                <w:lang w:eastAsia="zh-CN"/>
              </w:rPr>
              <w:t>在投标文件中附上</w:t>
            </w:r>
            <w:r>
              <w:rPr>
                <w:rFonts w:hint="eastAsia" w:ascii="宋体" w:hAnsi="宋体"/>
                <w:color w:val="auto"/>
                <w:szCs w:val="21"/>
                <w:highlight w:val="none"/>
              </w:rPr>
              <w:t>由开具保函的银行提供从其基本账户转账划付资金的收款凭证或收费凭证（凭证须有对应的保函编号，并有银行加盖的业务印章</w:t>
            </w:r>
            <w:r>
              <w:rPr>
                <w:rFonts w:hint="eastAsia" w:ascii="宋体" w:hAnsi="宋体" w:eastAsia="宋体" w:cs="Times New Roman"/>
                <w:color w:val="auto"/>
                <w:szCs w:val="21"/>
                <w:highlight w:val="none"/>
              </w:rPr>
              <w:t>）〕</w:t>
            </w:r>
            <w:r>
              <w:rPr>
                <w:rFonts w:hint="eastAsia" w:ascii="宋体" w:hAnsi="宋体"/>
                <w:color w:val="auto"/>
                <w:szCs w:val="21"/>
                <w:highlight w:val="none"/>
              </w:rPr>
              <w:t>。</w:t>
            </w:r>
          </w:p>
          <w:p>
            <w:pPr>
              <w:ind w:firstLine="0" w:firstLineChars="0"/>
              <w:jc w:val="left"/>
              <w:rPr>
                <w:rFonts w:hint="eastAsia" w:ascii="宋体" w:hAnsi="宋体"/>
                <w:color w:val="auto"/>
                <w:szCs w:val="21"/>
                <w:highlight w:val="none"/>
              </w:rPr>
            </w:pPr>
            <w:r>
              <w:rPr>
                <w:rFonts w:hint="eastAsia" w:ascii="宋体" w:hAnsi="宋体" w:eastAsia="宋体" w:cs="宋体"/>
                <w:color w:val="auto"/>
                <w:szCs w:val="21"/>
                <w:highlight w:val="none"/>
                <w:lang w:eastAsia="zh-CN"/>
              </w:rPr>
              <w:t>②</w:t>
            </w:r>
            <w:r>
              <w:rPr>
                <w:rFonts w:hint="eastAsia" w:ascii="宋体" w:hAnsi="宋体"/>
                <w:b w:val="0"/>
                <w:bCs/>
                <w:color w:val="auto"/>
                <w:szCs w:val="21"/>
                <w:highlight w:val="none"/>
              </w:rPr>
              <w:t>保证保险。</w:t>
            </w:r>
            <w:r>
              <w:rPr>
                <w:rFonts w:hint="eastAsia" w:ascii="宋体" w:hAnsi="宋体"/>
                <w:color w:val="auto"/>
                <w:szCs w:val="21"/>
                <w:highlight w:val="none"/>
              </w:rPr>
              <w:t>投标人自行开具</w:t>
            </w:r>
            <w:r>
              <w:rPr>
                <w:rFonts w:hint="eastAsia" w:ascii="宋体" w:hAnsi="宋体"/>
                <w:color w:val="auto"/>
                <w:szCs w:val="21"/>
                <w:highlight w:val="none"/>
                <w:lang w:val="en-US" w:eastAsia="zh-CN"/>
              </w:rPr>
              <w:t>保证保险</w:t>
            </w:r>
            <w:r>
              <w:rPr>
                <w:rFonts w:hint="eastAsia" w:ascii="宋体" w:hAnsi="宋体"/>
                <w:color w:val="auto"/>
                <w:szCs w:val="21"/>
                <w:highlight w:val="none"/>
              </w:rPr>
              <w:t>的，</w:t>
            </w:r>
            <w:r>
              <w:rPr>
                <w:rFonts w:hint="eastAsia" w:ascii="宋体" w:hAnsi="宋体"/>
                <w:color w:val="auto"/>
                <w:szCs w:val="21"/>
                <w:highlight w:val="none"/>
                <w:lang w:val="en-US" w:eastAsia="zh-CN"/>
              </w:rPr>
              <w:t>在</w:t>
            </w:r>
            <w:r>
              <w:rPr>
                <w:rFonts w:hint="eastAsia" w:ascii="宋体" w:hAnsi="宋体" w:cs="宋体"/>
                <w:color w:val="auto"/>
                <w:szCs w:val="21"/>
                <w:highlight w:val="none"/>
                <w:lang w:eastAsia="zh-CN"/>
              </w:rPr>
              <w:t>规定的时间送达开标场所，包括</w:t>
            </w:r>
            <w:r>
              <w:rPr>
                <w:rFonts w:hint="eastAsia" w:ascii="宋体" w:hAnsi="宋体"/>
                <w:color w:val="auto"/>
                <w:szCs w:val="21"/>
                <w:highlight w:val="none"/>
              </w:rPr>
              <w:t>投标</w:t>
            </w:r>
            <w:r>
              <w:rPr>
                <w:rFonts w:hint="eastAsia" w:ascii="宋体" w:hAnsi="宋体"/>
                <w:color w:val="auto"/>
                <w:szCs w:val="21"/>
                <w:highlight w:val="none"/>
                <w:lang w:val="en-US" w:eastAsia="zh-CN"/>
              </w:rPr>
              <w:t>保证金单据（</w:t>
            </w:r>
            <w:r>
              <w:rPr>
                <w:rFonts w:hint="eastAsia" w:ascii="宋体" w:hAnsi="宋体"/>
                <w:color w:val="auto"/>
                <w:szCs w:val="21"/>
                <w:highlight w:val="none"/>
              </w:rPr>
              <w:t>保证保险</w:t>
            </w:r>
            <w:r>
              <w:rPr>
                <w:rFonts w:hint="eastAsia" w:ascii="宋体" w:hAnsi="宋体"/>
                <w:color w:val="auto"/>
                <w:szCs w:val="21"/>
                <w:highlight w:val="none"/>
                <w:lang w:eastAsia="zh-CN"/>
              </w:rPr>
              <w:t>）</w:t>
            </w:r>
            <w:r>
              <w:rPr>
                <w:rFonts w:hint="eastAsia" w:ascii="宋体" w:hAnsi="宋体"/>
                <w:color w:val="auto"/>
                <w:szCs w:val="21"/>
                <w:highlight w:val="none"/>
              </w:rPr>
              <w:t>原件</w:t>
            </w: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在投标文件中附上</w:t>
            </w:r>
            <w:r>
              <w:rPr>
                <w:rFonts w:hint="eastAsia" w:ascii="宋体" w:hAnsi="宋体"/>
                <w:color w:val="auto"/>
                <w:szCs w:val="21"/>
                <w:highlight w:val="none"/>
              </w:rPr>
              <w:t>由开具保证保险的保险公司提供的从投标人基本账户转账划付资金的收款凭证或收费凭证（凭证须有对应的保证保险编号，并有保险公司印章）</w:t>
            </w:r>
            <w:r>
              <w:rPr>
                <w:rFonts w:hint="eastAsia" w:ascii="宋体" w:hAnsi="宋体" w:eastAsia="宋体" w:cs="Times New Roman"/>
                <w:color w:val="auto"/>
                <w:szCs w:val="21"/>
                <w:highlight w:val="none"/>
              </w:rPr>
              <w:t>〕</w:t>
            </w:r>
            <w:r>
              <w:rPr>
                <w:rFonts w:hint="eastAsia" w:ascii="宋体" w:hAnsi="宋体"/>
                <w:color w:val="auto"/>
                <w:szCs w:val="21"/>
                <w:highlight w:val="none"/>
              </w:rPr>
              <w:t>。</w:t>
            </w:r>
          </w:p>
          <w:p>
            <w:pPr>
              <w:ind w:firstLine="0" w:firstLineChars="0"/>
              <w:jc w:val="left"/>
              <w:rPr>
                <w:rFonts w:hint="default" w:ascii="宋体" w:hAnsi="宋体" w:eastAsia="宋体"/>
                <w:color w:val="auto"/>
                <w:szCs w:val="21"/>
                <w:highlight w:val="none"/>
                <w:lang w:val="en-US" w:eastAsia="zh-CN"/>
              </w:rPr>
            </w:pPr>
            <w:r>
              <w:rPr>
                <w:rFonts w:hint="eastAsia" w:ascii="宋体" w:hAnsi="宋体" w:eastAsia="宋体" w:cs="宋体"/>
                <w:color w:val="auto"/>
                <w:szCs w:val="21"/>
                <w:highlight w:val="none"/>
                <w:lang w:eastAsia="zh-CN"/>
              </w:rPr>
              <w:t>③</w:t>
            </w:r>
            <w:r>
              <w:rPr>
                <w:rFonts w:hint="eastAsia"/>
                <w:color w:val="auto"/>
                <w:szCs w:val="21"/>
                <w:highlight w:val="none"/>
                <w:lang w:eastAsia="zh-CN"/>
              </w:rPr>
              <w:t>专业工程担保公司担保</w:t>
            </w:r>
            <w:r>
              <w:rPr>
                <w:rFonts w:hint="eastAsia" w:ascii="宋体" w:hAnsi="宋体"/>
                <w:color w:val="auto"/>
                <w:szCs w:val="21"/>
                <w:highlight w:val="none"/>
                <w:u w:val="single"/>
                <w:lang w:val="en-US" w:eastAsia="zh-CN"/>
              </w:rPr>
              <w:t>。投标人自行选择专业担保公司开具担保的，在</w:t>
            </w:r>
            <w:r>
              <w:rPr>
                <w:rFonts w:hint="eastAsia" w:ascii="宋体" w:hAnsi="宋体" w:cs="宋体"/>
                <w:color w:val="auto"/>
                <w:szCs w:val="21"/>
                <w:highlight w:val="none"/>
                <w:lang w:eastAsia="zh-CN"/>
              </w:rPr>
              <w:t>规定的时间送达开标场所，包括</w:t>
            </w:r>
            <w:r>
              <w:rPr>
                <w:rFonts w:hint="eastAsia" w:ascii="宋体" w:hAnsi="宋体"/>
                <w:color w:val="auto"/>
                <w:szCs w:val="21"/>
                <w:highlight w:val="none"/>
                <w:u w:val="single"/>
                <w:lang w:eastAsia="zh-CN"/>
              </w:rPr>
              <w:t>相关保证金单据原</w:t>
            </w:r>
            <w:r>
              <w:rPr>
                <w:rFonts w:hint="eastAsia" w:ascii="宋体" w:hAnsi="宋体"/>
                <w:color w:val="auto"/>
                <w:szCs w:val="21"/>
                <w:highlight w:val="none"/>
                <w:u w:val="single"/>
              </w:rPr>
              <w:t>件</w:t>
            </w:r>
            <w:r>
              <w:rPr>
                <w:rFonts w:hint="eastAsia" w:ascii="宋体" w:hAnsi="宋体" w:eastAsia="宋体" w:cs="Times New Roman"/>
                <w:color w:val="auto"/>
                <w:szCs w:val="21"/>
                <w:highlight w:val="none"/>
                <w:u w:val="single"/>
              </w:rPr>
              <w:t>〔</w:t>
            </w:r>
            <w:r>
              <w:rPr>
                <w:rFonts w:hint="eastAsia" w:ascii="宋体" w:hAnsi="宋体"/>
                <w:color w:val="auto"/>
                <w:szCs w:val="21"/>
                <w:highlight w:val="none"/>
                <w:lang w:eastAsia="zh-CN"/>
              </w:rPr>
              <w:t>在投标文件中附上</w:t>
            </w:r>
            <w:r>
              <w:rPr>
                <w:rFonts w:hint="eastAsia" w:ascii="宋体" w:hAnsi="宋体"/>
                <w:color w:val="auto"/>
                <w:szCs w:val="21"/>
                <w:highlight w:val="none"/>
              </w:rPr>
              <w:t>由开具</w:t>
            </w:r>
            <w:r>
              <w:rPr>
                <w:rFonts w:hint="eastAsia" w:ascii="宋体" w:hAnsi="宋体"/>
                <w:color w:val="auto"/>
                <w:szCs w:val="21"/>
                <w:highlight w:val="none"/>
                <w:lang w:eastAsia="zh-CN"/>
              </w:rPr>
              <w:t>担保</w:t>
            </w:r>
            <w:r>
              <w:rPr>
                <w:rFonts w:hint="eastAsia" w:ascii="宋体" w:hAnsi="宋体"/>
                <w:color w:val="auto"/>
                <w:szCs w:val="21"/>
                <w:highlight w:val="none"/>
              </w:rPr>
              <w:t>的公司提供的从投标人基本账户转账划付资金的收款</w:t>
            </w:r>
            <w:r>
              <w:rPr>
                <w:rFonts w:hint="eastAsia" w:ascii="宋体" w:hAnsi="宋体"/>
                <w:color w:val="auto"/>
                <w:szCs w:val="21"/>
                <w:highlight w:val="none"/>
                <w:lang w:eastAsia="zh-CN"/>
              </w:rPr>
              <w:t>记录（有担保公司印章）</w:t>
            </w:r>
            <w:r>
              <w:rPr>
                <w:rFonts w:hint="eastAsia" w:ascii="宋体" w:hAnsi="宋体" w:eastAsia="宋体" w:cs="Times New Roman"/>
                <w:color w:val="auto"/>
                <w:szCs w:val="21"/>
                <w:highlight w:val="none"/>
                <w:u w:val="single"/>
              </w:rPr>
              <w:t>〕</w:t>
            </w:r>
            <w:r>
              <w:rPr>
                <w:rFonts w:hint="eastAsia" w:ascii="宋体" w:hAnsi="宋体"/>
                <w:color w:val="auto"/>
                <w:szCs w:val="21"/>
                <w:highlight w:val="none"/>
                <w:u w:val="single"/>
              </w:rPr>
              <w:t>。</w:t>
            </w:r>
          </w:p>
          <w:p>
            <w:pPr>
              <w:jc w:val="left"/>
              <w:rPr>
                <w:highlight w:val="none"/>
              </w:rPr>
            </w:pPr>
            <w:r>
              <w:rPr>
                <w:rFonts w:hint="eastAsia" w:ascii="宋体" w:hAnsi="宋体" w:eastAsia="宋体" w:cs="宋体"/>
                <w:color w:val="auto"/>
                <w:szCs w:val="21"/>
                <w:highlight w:val="none"/>
                <w:lang w:val="en-US" w:eastAsia="zh-CN"/>
              </w:rPr>
              <w:t>④</w:t>
            </w:r>
            <w:r>
              <w:rPr>
                <w:rFonts w:hint="eastAsia"/>
                <w:color w:val="auto"/>
                <w:szCs w:val="21"/>
                <w:highlight w:val="none"/>
                <w:lang w:eastAsia="zh-CN"/>
              </w:rPr>
              <w:t>投标保证金承诺函。</w:t>
            </w:r>
            <w:r>
              <w:rPr>
                <w:rFonts w:hint="eastAsia" w:ascii="宋体" w:hAnsi="宋体"/>
                <w:color w:val="auto"/>
                <w:szCs w:val="21"/>
                <w:highlight w:val="none"/>
                <w:lang w:val="en-US" w:eastAsia="zh-CN"/>
              </w:rPr>
              <w:t>符合条件的</w:t>
            </w:r>
            <w:r>
              <w:rPr>
                <w:rFonts w:hint="eastAsia" w:ascii="宋体" w:hAnsi="宋体"/>
                <w:color w:val="auto"/>
                <w:szCs w:val="21"/>
                <w:highlight w:val="none"/>
                <w:lang w:eastAsia="zh-CN"/>
              </w:rPr>
              <w:t>投标人采用投标保证金承诺函的，在</w:t>
            </w:r>
            <w:r>
              <w:rPr>
                <w:rFonts w:hint="eastAsia" w:ascii="宋体" w:hAnsi="宋体" w:cs="宋体"/>
                <w:color w:val="auto"/>
                <w:szCs w:val="21"/>
                <w:highlight w:val="none"/>
                <w:lang w:eastAsia="zh-CN"/>
              </w:rPr>
              <w:t>规定的时间将</w:t>
            </w:r>
            <w:r>
              <w:rPr>
                <w:rFonts w:hint="eastAsia" w:ascii="宋体" w:hAnsi="宋体"/>
                <w:color w:val="auto"/>
                <w:szCs w:val="21"/>
                <w:highlight w:val="none"/>
                <w:lang w:eastAsia="zh-CN"/>
              </w:rPr>
              <w:t>已盖章的承诺函原件</w:t>
            </w:r>
            <w:r>
              <w:rPr>
                <w:rFonts w:hint="eastAsia" w:ascii="宋体" w:hAnsi="宋体" w:cs="宋体"/>
                <w:color w:val="auto"/>
                <w:szCs w:val="21"/>
                <w:highlight w:val="none"/>
                <w:lang w:eastAsia="zh-CN"/>
              </w:rPr>
              <w:t>送达开标场所</w:t>
            </w:r>
            <w:r>
              <w:rPr>
                <w:rFonts w:hint="eastAsia" w:ascii="宋体" w:hAnsi="宋体"/>
                <w:color w:val="auto"/>
                <w:szCs w:val="21"/>
                <w:highlight w:val="none"/>
                <w:lang w:eastAsia="zh-CN"/>
              </w:rPr>
              <w:t>，投标保证金承诺函格式详见“投标文件格式”。</w:t>
            </w:r>
          </w:p>
          <w:p>
            <w:pPr>
              <w:jc w:val="left"/>
              <w:rPr>
                <w:rFonts w:hint="eastAsia" w:ascii="宋体" w:hAnsi="宋体"/>
                <w:b/>
                <w:bCs/>
                <w:color w:val="auto"/>
                <w:szCs w:val="21"/>
                <w:highlight w:val="none"/>
              </w:rPr>
            </w:pPr>
            <w:r>
              <w:rPr>
                <w:rFonts w:hint="eastAsia" w:ascii="宋体" w:hAnsi="宋体"/>
                <w:b/>
                <w:bCs/>
                <w:color w:val="auto"/>
                <w:szCs w:val="21"/>
                <w:highlight w:val="none"/>
              </w:rPr>
              <w:t>注意事项：</w:t>
            </w:r>
          </w:p>
          <w:p>
            <w:pPr>
              <w:jc w:val="left"/>
              <w:rPr>
                <w:rFonts w:hint="eastAsia"/>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投标人需</w:t>
            </w:r>
            <w:r>
              <w:rPr>
                <w:rFonts w:hint="eastAsia" w:ascii="宋体" w:hAnsi="宋体"/>
                <w:color w:val="auto"/>
                <w:szCs w:val="21"/>
                <w:highlight w:val="none"/>
              </w:rPr>
              <w:t>在投标文件中提供投标人基本账户的“开户许可证”或“基本存款账户信息”扫描件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采用投标保证金承诺函除外）</w:t>
            </w:r>
            <w:r>
              <w:rPr>
                <w:rFonts w:hint="eastAsia" w:ascii="宋体" w:hAnsi="宋体"/>
                <w:color w:val="auto"/>
                <w:szCs w:val="21"/>
                <w:highlight w:val="none"/>
              </w:rPr>
              <w:t>；（2）投标人递交投标保证金的有效性由评标委员会认定，经评标委员会核查，不符合招标文件要求的否决其投标；（3）投标有效期内招标人对投标人提供的</w:t>
            </w:r>
            <w:r>
              <w:rPr>
                <w:rFonts w:hint="eastAsia" w:ascii="宋体" w:hAnsi="宋体"/>
                <w:color w:val="auto"/>
                <w:szCs w:val="21"/>
                <w:highlight w:val="none"/>
                <w:lang w:eastAsia="zh-CN"/>
              </w:rPr>
              <w:t>保证金单据</w:t>
            </w:r>
            <w:r>
              <w:rPr>
                <w:rFonts w:hint="eastAsia" w:ascii="宋体" w:hAnsi="宋体"/>
                <w:color w:val="auto"/>
                <w:szCs w:val="21"/>
                <w:highlight w:val="none"/>
              </w:rPr>
              <w:t>进行核查，如发现有虚假须上报行政主管部门处理；（4）保证保险具体按照《关于在全市房屋建筑和市政基础设施工程开展建设工程保证保险有关工作的通知》</w:t>
            </w:r>
            <w:r>
              <w:rPr>
                <w:rFonts w:hint="eastAsia" w:ascii="宋体" w:hAnsi="宋体"/>
                <w:color w:val="auto"/>
                <w:szCs w:val="21"/>
                <w:highlight w:val="none"/>
                <w:lang w:eastAsia="zh-CN"/>
              </w:rPr>
              <w:t>《关于江门市房屋市政工程开展建设工程保证保险有关工作的补充通知》</w:t>
            </w:r>
            <w:r>
              <w:rPr>
                <w:rFonts w:hint="eastAsia" w:ascii="宋体" w:hAnsi="宋体"/>
                <w:color w:val="auto"/>
                <w:szCs w:val="21"/>
                <w:highlight w:val="none"/>
              </w:rPr>
              <w:t>的要求执行</w:t>
            </w:r>
            <w:r>
              <w:rPr>
                <w:rFonts w:hint="eastAsia" w:ascii="宋体" w:hAnsi="宋体"/>
                <w:color w:val="auto"/>
                <w:szCs w:val="21"/>
                <w:highlight w:val="none"/>
                <w:lang w:eastAsia="zh-CN"/>
              </w:rPr>
              <w:t>，如遇政策调整，按新政策执行</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0"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3.4.3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投标保证金退还</w:t>
            </w:r>
          </w:p>
        </w:tc>
        <w:tc>
          <w:tcPr>
            <w:tcW w:w="683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1.中</w:t>
            </w:r>
            <w:r>
              <w:rPr>
                <w:rFonts w:hint="eastAsia" w:ascii="宋体" w:hAnsi="宋体"/>
                <w:color w:val="auto"/>
                <w:szCs w:val="21"/>
                <w:highlight w:val="none"/>
                <w:lang w:eastAsia="zh-CN"/>
              </w:rPr>
              <w:t>标通知书发出之日起</w:t>
            </w:r>
            <w:r>
              <w:rPr>
                <w:rFonts w:hint="eastAsia" w:ascii="宋体" w:hAnsi="宋体"/>
                <w:color w:val="auto"/>
                <w:szCs w:val="21"/>
                <w:highlight w:val="none"/>
                <w:lang w:val="en-US" w:eastAsia="zh-CN"/>
              </w:rPr>
              <w:t>5</w:t>
            </w:r>
            <w:r>
              <w:rPr>
                <w:rFonts w:hint="eastAsia" w:ascii="宋体" w:hAnsi="宋体"/>
                <w:color w:val="auto"/>
                <w:szCs w:val="21"/>
                <w:highlight w:val="none"/>
              </w:rPr>
              <w:t>日内，向除中标候选人</w:t>
            </w:r>
            <w:r>
              <w:rPr>
                <w:rFonts w:hint="eastAsia" w:ascii="宋体" w:hAnsi="宋体"/>
                <w:color w:val="auto"/>
                <w:szCs w:val="21"/>
                <w:highlight w:val="none"/>
                <w:lang w:eastAsia="zh-CN"/>
              </w:rPr>
              <w:t>以</w:t>
            </w:r>
            <w:r>
              <w:rPr>
                <w:rFonts w:hint="eastAsia" w:ascii="宋体" w:hAnsi="宋体"/>
                <w:color w:val="auto"/>
                <w:szCs w:val="21"/>
                <w:highlight w:val="none"/>
              </w:rPr>
              <w:t>外的投标人退还投标保证金。</w:t>
            </w:r>
          </w:p>
          <w:p>
            <w:pPr>
              <w:rPr>
                <w:rFonts w:hint="eastAsia" w:ascii="宋体" w:hAnsi="宋体"/>
                <w:color w:val="auto"/>
                <w:highlight w:val="none"/>
              </w:rPr>
            </w:pPr>
            <w:r>
              <w:rPr>
                <w:rFonts w:hint="eastAsia" w:ascii="宋体" w:hAnsi="宋体"/>
                <w:color w:val="auto"/>
                <w:szCs w:val="21"/>
                <w:highlight w:val="none"/>
              </w:rPr>
              <w:t>2.签订合同后5日内，向中标人和</w:t>
            </w:r>
            <w:r>
              <w:rPr>
                <w:rFonts w:hint="eastAsia" w:ascii="宋体" w:hAnsi="宋体"/>
                <w:color w:val="auto"/>
                <w:szCs w:val="21"/>
                <w:highlight w:val="none"/>
                <w:lang w:eastAsia="zh-CN"/>
              </w:rPr>
              <w:t>其他</w:t>
            </w:r>
            <w:r>
              <w:rPr>
                <w:rFonts w:hint="eastAsia" w:ascii="宋体" w:hAnsi="宋体"/>
                <w:color w:val="auto"/>
                <w:szCs w:val="21"/>
                <w:highlight w:val="none"/>
              </w:rPr>
              <w:t>中标候选人退还投标保证金。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63" w:hRule="atLeast"/>
          <w:jc w:val="center"/>
        </w:trPr>
        <w:tc>
          <w:tcPr>
            <w:tcW w:w="905" w:type="dxa"/>
            <w:noWrap w:val="0"/>
            <w:vAlign w:val="center"/>
          </w:tcPr>
          <w:p>
            <w:pPr>
              <w:jc w:val="center"/>
              <w:rPr>
                <w:rFonts w:hint="eastAsia" w:ascii="宋体" w:hAnsi="宋体"/>
                <w:color w:val="auto"/>
                <w:highlight w:val="none"/>
              </w:rPr>
            </w:pPr>
            <w:r>
              <w:rPr>
                <w:rFonts w:ascii="宋体" w:hAnsi="宋体"/>
                <w:color w:val="auto"/>
                <w:szCs w:val="21"/>
                <w:highlight w:val="none"/>
              </w:rPr>
              <w:t>3.4.4</w:t>
            </w:r>
          </w:p>
        </w:tc>
        <w:tc>
          <w:tcPr>
            <w:tcW w:w="1908" w:type="dxa"/>
            <w:gridSpan w:val="2"/>
            <w:noWrap w:val="0"/>
            <w:vAlign w:val="center"/>
          </w:tcPr>
          <w:p>
            <w:pPr>
              <w:rPr>
                <w:rFonts w:hint="eastAsia" w:ascii="宋体" w:hAnsi="宋体"/>
                <w:color w:val="auto"/>
                <w:highlight w:val="none"/>
              </w:rPr>
            </w:pPr>
            <w:r>
              <w:rPr>
                <w:rFonts w:hint="eastAsia" w:ascii="宋体" w:hAnsi="宋体"/>
                <w:color w:val="auto"/>
                <w:szCs w:val="21"/>
                <w:highlight w:val="none"/>
              </w:rPr>
              <w:t>其他可以不予退还投标保证金的情况</w:t>
            </w:r>
          </w:p>
        </w:tc>
        <w:tc>
          <w:tcPr>
            <w:tcW w:w="6835" w:type="dxa"/>
            <w:noWrap w:val="0"/>
            <w:vAlign w:val="center"/>
          </w:tcPr>
          <w:p>
            <w:pPr>
              <w:rPr>
                <w:rFonts w:hint="eastAsia" w:ascii="宋体" w:hAnsi="宋体"/>
                <w:color w:val="auto"/>
                <w:szCs w:val="21"/>
                <w:highlight w:val="none"/>
              </w:rPr>
            </w:pPr>
            <w:r>
              <w:rPr>
                <w:rFonts w:hint="eastAsia" w:ascii="宋体" w:hAnsi="宋体" w:eastAsia="宋体" w:cs="宋体"/>
                <w:color w:val="auto"/>
                <w:szCs w:val="21"/>
                <w:highlight w:val="none"/>
              </w:rPr>
              <w:sym w:font="Wingdings" w:char="00FE"/>
            </w:r>
            <w:r>
              <w:rPr>
                <w:rFonts w:hint="eastAsia" w:ascii="Times New Roman" w:hAnsi="Times New Roman" w:eastAsia="宋体" w:cs="Times New Roman"/>
                <w:color w:val="auto"/>
                <w:szCs w:val="21"/>
                <w:highlight w:val="none"/>
              </w:rPr>
              <w:t>经</w:t>
            </w:r>
            <w:r>
              <w:rPr>
                <w:rFonts w:hint="eastAsia" w:ascii="宋体" w:hAnsi="宋体" w:eastAsia="宋体" w:cs="宋体"/>
                <w:color w:val="auto"/>
                <w:szCs w:val="21"/>
                <w:highlight w:val="none"/>
              </w:rPr>
              <w:t>查实存在围标串标</w:t>
            </w:r>
            <w:r>
              <w:rPr>
                <w:rFonts w:hint="eastAsia" w:ascii="宋体" w:hAnsi="宋体"/>
                <w:color w:val="auto"/>
                <w:szCs w:val="21"/>
                <w:highlight w:val="none"/>
              </w:rPr>
              <w:t>违法行为的；</w:t>
            </w:r>
          </w:p>
          <w:p>
            <w:pPr>
              <w:rPr>
                <w:rFonts w:hint="eastAsia" w:ascii="宋体" w:hAnsi="宋体"/>
                <w:color w:val="auto"/>
                <w:szCs w:val="21"/>
                <w:highlight w:val="none"/>
              </w:rPr>
            </w:pPr>
            <w:r>
              <w:rPr>
                <w:rFonts w:hint="eastAsia"/>
                <w:color w:val="auto"/>
                <w:szCs w:val="21"/>
                <w:highlight w:val="none"/>
              </w:rPr>
              <w:t>囗</w:t>
            </w:r>
            <w:r>
              <w:rPr>
                <w:rFonts w:hint="eastAsia" w:ascii="宋体" w:hAnsi="宋体"/>
                <w:color w:val="auto"/>
                <w:szCs w:val="21"/>
                <w:highlight w:val="none"/>
              </w:rPr>
              <w:t>其他违法行为：</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3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3.6</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是否允许递交备选投标方案</w:t>
            </w:r>
          </w:p>
        </w:tc>
        <w:tc>
          <w:tcPr>
            <w:tcW w:w="6835" w:type="dxa"/>
            <w:noWrap w:val="0"/>
            <w:vAlign w:val="center"/>
          </w:tcPr>
          <w:p>
            <w:pPr>
              <w:rPr>
                <w:rFonts w:hint="eastAsia" w:ascii="宋体" w:hAnsi="宋体"/>
                <w:color w:val="auto"/>
                <w:highlight w:val="none"/>
              </w:rPr>
            </w:pPr>
            <w:r>
              <w:rPr>
                <w:rFonts w:hint="eastAsia" w:ascii="宋体" w:hAnsi="宋体" w:eastAsia="宋体" w:cs="宋体"/>
                <w:color w:val="auto"/>
                <w:szCs w:val="21"/>
                <w:highlight w:val="none"/>
              </w:rPr>
              <w:sym w:font="Wingdings" w:char="00FE"/>
            </w:r>
            <w:r>
              <w:rPr>
                <w:rFonts w:hint="eastAsia"/>
                <w:color w:val="auto"/>
                <w:szCs w:val="21"/>
                <w:highlight w:val="none"/>
                <w:lang w:eastAsia="zh-CN"/>
              </w:rPr>
              <w:t>不</w:t>
            </w:r>
            <w:r>
              <w:rPr>
                <w:rFonts w:hint="eastAsia" w:ascii="宋体" w:hAnsi="宋体"/>
                <w:color w:val="auto"/>
                <w:highlight w:val="none"/>
              </w:rPr>
              <w:t>允许。</w:t>
            </w:r>
          </w:p>
          <w:p>
            <w:pPr>
              <w:rPr>
                <w:rFonts w:hint="eastAsia" w:ascii="宋体" w:hAnsi="宋体"/>
                <w:color w:val="auto"/>
                <w:highlight w:val="none"/>
                <w:u w:val="single"/>
              </w:rPr>
            </w:pPr>
            <w:r>
              <w:rPr>
                <w:rFonts w:hint="eastAsia"/>
                <w:color w:val="auto"/>
                <w:szCs w:val="21"/>
                <w:highlight w:val="none"/>
              </w:rPr>
              <w:t>囗</w:t>
            </w:r>
            <w:r>
              <w:rPr>
                <w:rFonts w:hint="eastAsia" w:ascii="宋体" w:hAnsi="宋体"/>
                <w:color w:val="auto"/>
                <w:highlight w:val="none"/>
              </w:rPr>
              <w:t>允许</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305"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3.7.3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签</w:t>
            </w:r>
            <w:r>
              <w:rPr>
                <w:rFonts w:hint="eastAsia" w:ascii="宋体" w:hAnsi="宋体"/>
                <w:color w:val="auto"/>
                <w:highlight w:val="none"/>
                <w:lang w:eastAsia="zh-CN"/>
              </w:rPr>
              <w:t>名及盖</w:t>
            </w:r>
            <w:r>
              <w:rPr>
                <w:rFonts w:hint="eastAsia" w:ascii="宋体" w:hAnsi="宋体"/>
                <w:color w:val="auto"/>
                <w:highlight w:val="none"/>
              </w:rPr>
              <w:t>章要求</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rPr>
              <w:t>投标文件由投标人的法定代表人或其委托代理人签</w:t>
            </w:r>
            <w:r>
              <w:rPr>
                <w:rFonts w:hint="eastAsia" w:ascii="宋体" w:hAnsi="宋体"/>
                <w:color w:val="auto"/>
                <w:szCs w:val="21"/>
                <w:highlight w:val="none"/>
                <w:lang w:eastAsia="zh-CN"/>
              </w:rPr>
              <w:t>名</w:t>
            </w:r>
            <w:r>
              <w:rPr>
                <w:rFonts w:hint="eastAsia" w:ascii="宋体" w:hAnsi="宋体"/>
                <w:color w:val="auto"/>
                <w:szCs w:val="21"/>
                <w:highlight w:val="none"/>
              </w:rPr>
              <w:t>及盖单位公章。委托代理人签</w:t>
            </w:r>
            <w:r>
              <w:rPr>
                <w:rFonts w:hint="eastAsia" w:ascii="宋体" w:hAnsi="宋体"/>
                <w:color w:val="auto"/>
                <w:szCs w:val="21"/>
                <w:highlight w:val="none"/>
                <w:lang w:eastAsia="zh-CN"/>
              </w:rPr>
              <w:t>名</w:t>
            </w:r>
            <w:r>
              <w:rPr>
                <w:rFonts w:hint="eastAsia" w:ascii="宋体" w:hAnsi="宋体"/>
                <w:color w:val="auto"/>
                <w:szCs w:val="21"/>
                <w:highlight w:val="none"/>
              </w:rPr>
              <w:t>的，投标文件应附法定代表人签署的授权委托书。</w:t>
            </w:r>
          </w:p>
          <w:p>
            <w:pPr>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投标文件格式</w:t>
            </w:r>
            <w:r>
              <w:rPr>
                <w:rFonts w:ascii="宋体" w:hAnsi="宋体"/>
                <w:color w:val="auto"/>
                <w:highlight w:val="none"/>
              </w:rPr>
              <w:t>”</w:t>
            </w:r>
            <w:r>
              <w:rPr>
                <w:rFonts w:hint="eastAsia" w:ascii="宋体" w:hAnsi="宋体"/>
                <w:color w:val="auto"/>
                <w:highlight w:val="none"/>
              </w:rPr>
              <w:t>中规定的需要加盖投标人公章、经法定代表人或其授权委托代理人签</w:t>
            </w:r>
            <w:r>
              <w:rPr>
                <w:rFonts w:hint="eastAsia" w:ascii="宋体" w:hAnsi="宋体"/>
                <w:color w:val="auto"/>
                <w:highlight w:val="none"/>
                <w:lang w:eastAsia="zh-CN"/>
              </w:rPr>
              <w:t>名</w:t>
            </w:r>
            <w:r>
              <w:rPr>
                <w:rFonts w:hint="eastAsia" w:ascii="宋体" w:hAnsi="宋体"/>
                <w:color w:val="auto"/>
                <w:highlight w:val="none"/>
              </w:rPr>
              <w:t>的，必须按投标文件格式要求进行。若授权委托代理人签</w:t>
            </w:r>
            <w:r>
              <w:rPr>
                <w:rFonts w:hint="eastAsia" w:ascii="宋体" w:hAnsi="宋体"/>
                <w:color w:val="auto"/>
                <w:highlight w:val="none"/>
                <w:lang w:eastAsia="zh-CN"/>
              </w:rPr>
              <w:t>名</w:t>
            </w:r>
            <w:r>
              <w:rPr>
                <w:rFonts w:hint="eastAsia" w:ascii="宋体" w:hAnsi="宋体"/>
                <w:color w:val="auto"/>
                <w:highlight w:val="none"/>
              </w:rPr>
              <w:t>的，应在投标文件中提交投标文件签署授权委托书。</w:t>
            </w:r>
          </w:p>
          <w:p>
            <w:pPr>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.投标人拟派出的项目负责人、技术负责人须在投标文件中签</w:t>
            </w:r>
            <w:r>
              <w:rPr>
                <w:rFonts w:hint="eastAsia" w:ascii="宋体" w:hAnsi="宋体"/>
                <w:color w:val="auto"/>
                <w:highlight w:val="none"/>
                <w:lang w:eastAsia="zh-CN"/>
              </w:rPr>
              <w:t>名</w:t>
            </w:r>
            <w:r>
              <w:rPr>
                <w:rFonts w:hint="eastAsia" w:ascii="宋体" w:hAnsi="宋体"/>
                <w:color w:val="auto"/>
                <w:highlight w:val="none"/>
              </w:rPr>
              <w:t>确认。</w:t>
            </w:r>
          </w:p>
          <w:p>
            <w:pPr>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.投标人的投标报价文件须经在本单位执业的注册造价工程师签</w:t>
            </w:r>
            <w:r>
              <w:rPr>
                <w:rFonts w:hint="eastAsia" w:ascii="宋体" w:hAnsi="宋体"/>
                <w:color w:val="auto"/>
                <w:highlight w:val="none"/>
                <w:lang w:eastAsia="zh-CN"/>
              </w:rPr>
              <w:t>名</w:t>
            </w:r>
            <w:r>
              <w:rPr>
                <w:rFonts w:hint="eastAsia" w:ascii="宋体" w:hAnsi="宋体"/>
                <w:color w:val="auto"/>
                <w:highlight w:val="none"/>
              </w:rPr>
              <w:t>及加盖造价工程师执业印章；投标人自行编制投标报价文件的，须加单位公章、单位法定代表人或者授权人签</w:t>
            </w:r>
            <w:r>
              <w:rPr>
                <w:rFonts w:hint="eastAsia" w:ascii="宋体" w:hAnsi="宋体"/>
                <w:color w:val="auto"/>
                <w:highlight w:val="none"/>
                <w:lang w:eastAsia="zh-CN"/>
              </w:rPr>
              <w:t>名</w:t>
            </w:r>
            <w:r>
              <w:rPr>
                <w:rFonts w:hint="eastAsia" w:ascii="宋体" w:hAnsi="宋体"/>
                <w:color w:val="auto"/>
                <w:highlight w:val="none"/>
              </w:rPr>
              <w:t>；委托造价咨询单位编制投标报价的应加盖受委托单位注册造价工程师执业专用章和签字，受委托单位法定代表人或者授权人签</w:t>
            </w:r>
            <w:r>
              <w:rPr>
                <w:rFonts w:hint="eastAsia" w:ascii="宋体" w:hAnsi="宋体"/>
                <w:color w:val="auto"/>
                <w:highlight w:val="none"/>
                <w:lang w:eastAsia="zh-CN"/>
              </w:rPr>
              <w:t>名</w:t>
            </w:r>
            <w:r>
              <w:rPr>
                <w:rFonts w:hint="eastAsia" w:ascii="宋体" w:hAnsi="宋体"/>
                <w:color w:val="auto"/>
                <w:highlight w:val="none"/>
              </w:rPr>
              <w:t>，同时提供“委托书”或“协议书”复印件。</w:t>
            </w:r>
          </w:p>
          <w:p>
            <w:pPr>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.投标报价文件的扉页‘投标总价’使用</w:t>
            </w:r>
            <w:r>
              <w:rPr>
                <w:rFonts w:hint="eastAsia" w:ascii="宋体" w:hAnsi="宋体"/>
                <w:color w:val="auto"/>
                <w:szCs w:val="21"/>
                <w:highlight w:val="none"/>
              </w:rPr>
              <w:t>“投标文件格式”提供的格式。</w:t>
            </w:r>
            <w:r>
              <w:rPr>
                <w:rFonts w:hint="eastAsia" w:ascii="宋体" w:hAnsi="宋体"/>
                <w:color w:val="auto"/>
                <w:highlight w:val="none"/>
              </w:rPr>
              <w:t>投标人投标报价文件的编制、复核不得为同一人，</w:t>
            </w:r>
            <w:r>
              <w:rPr>
                <w:rFonts w:hint="eastAsia" w:ascii="宋体" w:hAnsi="宋体"/>
                <w:color w:val="auto"/>
                <w:highlight w:val="none"/>
                <w:lang w:eastAsia="zh-CN"/>
              </w:rPr>
              <w:t>且</w:t>
            </w:r>
            <w:r>
              <w:rPr>
                <w:rFonts w:hint="eastAsia" w:ascii="宋体" w:hAnsi="宋体"/>
                <w:color w:val="auto"/>
                <w:highlight w:val="none"/>
                <w:lang w:val="en-US" w:eastAsia="zh-CN"/>
              </w:rPr>
              <w:t>均</w:t>
            </w:r>
            <w:r>
              <w:rPr>
                <w:rFonts w:hint="eastAsia" w:ascii="宋体" w:hAnsi="宋体"/>
                <w:color w:val="auto"/>
                <w:highlight w:val="none"/>
              </w:rPr>
              <w:t>须盖注册造价工程师执业印章</w:t>
            </w:r>
            <w:r>
              <w:rPr>
                <w:rFonts w:hint="eastAsia" w:ascii="宋体" w:hAnsi="宋体"/>
                <w:color w:val="auto"/>
                <w:highlight w:val="none"/>
                <w:lang w:eastAsia="zh-CN"/>
              </w:rPr>
              <w:t>，其中，复核人应为一级注册造价工程师</w:t>
            </w:r>
            <w:r>
              <w:rPr>
                <w:rFonts w:hint="eastAsia" w:ascii="宋体" w:hAnsi="宋体"/>
                <w:color w:val="auto"/>
                <w:highlight w:val="none"/>
              </w:rPr>
              <w:t>。</w:t>
            </w:r>
          </w:p>
          <w:p>
            <w:pPr>
              <w:rPr>
                <w:rFonts w:hint="eastAsia" w:ascii="宋体" w:hAnsi="宋体"/>
                <w:color w:val="auto"/>
                <w:highlight w:val="none"/>
              </w:rPr>
            </w:pPr>
            <w:r>
              <w:rPr>
                <w:rFonts w:hint="eastAsia" w:ascii="宋体" w:hAnsi="宋体"/>
                <w:color w:val="auto"/>
                <w:highlight w:val="none"/>
              </w:rPr>
              <w:t>其他</w:t>
            </w:r>
            <w:r>
              <w:rPr>
                <w:rFonts w:ascii="宋体" w:hAnsi="宋体"/>
                <w:color w:val="auto"/>
                <w:highlight w:val="none"/>
              </w:rPr>
              <w:t>要求：</w:t>
            </w:r>
            <w:r>
              <w:rPr>
                <w:rFonts w:hint="eastAsia" w:ascii="宋体" w:hAnsi="宋体"/>
                <w:color w:val="auto"/>
                <w:highlight w:val="none"/>
                <w:u w:val="single"/>
              </w:rPr>
              <w:t xml:space="preserve">                             </w:t>
            </w:r>
            <w:r>
              <w:rPr>
                <w:rFonts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103"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3.7.4</w:t>
            </w:r>
          </w:p>
        </w:tc>
        <w:tc>
          <w:tcPr>
            <w:tcW w:w="1908" w:type="dxa"/>
            <w:gridSpan w:val="2"/>
            <w:noWrap w:val="0"/>
            <w:vAlign w:val="center"/>
          </w:tcPr>
          <w:p>
            <w:pPr>
              <w:rPr>
                <w:rFonts w:hint="default" w:ascii="宋体" w:hAnsi="宋体" w:eastAsia="宋体"/>
                <w:color w:val="auto"/>
                <w:highlight w:val="none"/>
                <w:lang w:val="en-US" w:eastAsia="zh-CN"/>
              </w:rPr>
            </w:pPr>
            <w:r>
              <w:rPr>
                <w:rFonts w:hint="eastAsia" w:ascii="宋体" w:hAnsi="宋体"/>
                <w:color w:val="auto"/>
                <w:highlight w:val="none"/>
              </w:rPr>
              <w:t>投标文件</w:t>
            </w:r>
            <w:r>
              <w:rPr>
                <w:rFonts w:hint="eastAsia" w:ascii="宋体" w:hAnsi="宋体"/>
                <w:color w:val="auto"/>
                <w:highlight w:val="none"/>
                <w:lang w:val="en-US" w:eastAsia="zh-CN"/>
              </w:rPr>
              <w:t>编制其他要求</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1.平台传输递交的投标文件为含签名、</w:t>
            </w:r>
            <w:r>
              <w:rPr>
                <w:rFonts w:hint="eastAsia" w:ascii="宋体" w:hAnsi="宋体"/>
                <w:color w:val="auto"/>
                <w:highlight w:val="none"/>
                <w:lang w:eastAsia="zh-CN"/>
              </w:rPr>
              <w:t>单位</w:t>
            </w:r>
            <w:r>
              <w:rPr>
                <w:rFonts w:hint="eastAsia" w:ascii="宋体" w:hAnsi="宋体"/>
                <w:color w:val="auto"/>
                <w:highlight w:val="none"/>
              </w:rPr>
              <w:t>公章的加密电子投标文件</w:t>
            </w:r>
            <w:r>
              <w:rPr>
                <w:rFonts w:ascii="宋体" w:hAnsi="宋体"/>
                <w:color w:val="auto"/>
                <w:highlight w:val="none"/>
              </w:rPr>
              <w:t>1</w:t>
            </w:r>
            <w:r>
              <w:rPr>
                <w:rFonts w:hint="eastAsia" w:ascii="宋体" w:hAnsi="宋体"/>
                <w:color w:val="auto"/>
                <w:highlight w:val="none"/>
              </w:rPr>
              <w:t>套。</w:t>
            </w:r>
          </w:p>
          <w:p>
            <w:pPr>
              <w:rPr>
                <w:rFonts w:hint="default" w:ascii="宋体" w:hAnsi="宋体" w:eastAsia="宋体"/>
                <w:color w:val="auto"/>
                <w:highlight w:val="none"/>
                <w:lang w:val="en-US" w:eastAsia="zh-CN"/>
              </w:rPr>
            </w:pPr>
            <w:r>
              <w:rPr>
                <w:rFonts w:hint="eastAsia" w:ascii="宋体" w:hAnsi="宋体"/>
                <w:color w:val="auto"/>
                <w:highlight w:val="none"/>
              </w:rPr>
              <w:t>注：</w:t>
            </w: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lang w:val="en-US" w:eastAsia="zh-CN"/>
              </w:rPr>
              <w:t>非评定分离项目投标文件只包含评标部分，</w:t>
            </w:r>
            <w:r>
              <w:rPr>
                <w:rFonts w:hint="eastAsia" w:ascii="宋体" w:hAnsi="宋体"/>
                <w:color w:val="auto"/>
                <w:highlight w:val="none"/>
              </w:rPr>
              <w:t>包括资格（形式、响应）评审、技术标评审和商务标评审</w:t>
            </w:r>
            <w:r>
              <w:rPr>
                <w:rFonts w:hint="eastAsia" w:ascii="宋体" w:hAnsi="宋体"/>
                <w:color w:val="auto"/>
                <w:highlight w:val="none"/>
                <w:lang w:val="en-US" w:eastAsia="zh-CN"/>
              </w:rPr>
              <w:t>等材料。</w:t>
            </w:r>
          </w:p>
          <w:p>
            <w:pPr>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ascii="宋体" w:hAnsi="宋体"/>
                <w:color w:val="auto"/>
                <w:highlight w:val="none"/>
                <w:lang w:val="en-US" w:eastAsia="zh-CN"/>
              </w:rPr>
              <w:t>评定分离</w:t>
            </w:r>
            <w:r>
              <w:rPr>
                <w:rFonts w:hint="eastAsia" w:ascii="宋体" w:hAnsi="宋体"/>
                <w:color w:val="auto"/>
                <w:highlight w:val="none"/>
                <w:lang w:eastAsia="zh-CN"/>
              </w:rPr>
              <w:t>项目</w:t>
            </w:r>
            <w:r>
              <w:rPr>
                <w:rFonts w:hint="eastAsia" w:ascii="宋体" w:hAnsi="宋体"/>
                <w:color w:val="auto"/>
                <w:highlight w:val="none"/>
              </w:rPr>
              <w:t>投标文件</w:t>
            </w:r>
            <w:r>
              <w:rPr>
                <w:rFonts w:hint="eastAsia" w:ascii="宋体" w:hAnsi="宋体"/>
                <w:color w:val="auto"/>
                <w:highlight w:val="none"/>
                <w:lang w:eastAsia="zh-CN"/>
              </w:rPr>
              <w:t>分两部分，</w:t>
            </w:r>
            <w:r>
              <w:rPr>
                <w:rFonts w:hint="eastAsia" w:ascii="宋体" w:hAnsi="宋体"/>
                <w:color w:val="auto"/>
                <w:highlight w:val="none"/>
              </w:rPr>
              <w:t>分</w:t>
            </w:r>
            <w:r>
              <w:rPr>
                <w:rFonts w:hint="eastAsia" w:ascii="宋体" w:hAnsi="宋体"/>
                <w:color w:val="auto"/>
                <w:highlight w:val="none"/>
                <w:lang w:eastAsia="zh-CN"/>
              </w:rPr>
              <w:t>别为</w:t>
            </w:r>
            <w:r>
              <w:rPr>
                <w:rFonts w:hint="eastAsia" w:ascii="宋体" w:hAnsi="宋体"/>
                <w:color w:val="auto"/>
                <w:highlight w:val="none"/>
              </w:rPr>
              <w:t>评标部分和定标部分。评标部分包括资格（形式、响应）评审、技术标评审和商务标评审</w:t>
            </w:r>
            <w:r>
              <w:rPr>
                <w:rFonts w:hint="eastAsia" w:ascii="宋体" w:hAnsi="宋体"/>
                <w:color w:val="auto"/>
                <w:highlight w:val="none"/>
                <w:lang w:val="en-US" w:eastAsia="zh-CN"/>
              </w:rPr>
              <w:t>等材料</w:t>
            </w:r>
            <w:r>
              <w:rPr>
                <w:rFonts w:hint="eastAsia" w:ascii="宋体" w:hAnsi="宋体"/>
                <w:color w:val="auto"/>
                <w:highlight w:val="none"/>
              </w:rPr>
              <w:t>；定标部分包括定标资料一览表中要求</w:t>
            </w:r>
            <w:r>
              <w:rPr>
                <w:rFonts w:hint="eastAsia" w:ascii="宋体" w:hAnsi="宋体"/>
                <w:color w:val="auto"/>
                <w:highlight w:val="none"/>
                <w:lang w:eastAsia="zh-CN"/>
              </w:rPr>
              <w:t>提供</w:t>
            </w:r>
            <w:r>
              <w:rPr>
                <w:rFonts w:hint="eastAsia" w:ascii="宋体" w:hAnsi="宋体"/>
                <w:color w:val="auto"/>
                <w:highlight w:val="none"/>
              </w:rPr>
              <w:t>的佐证材料</w:t>
            </w:r>
            <w:r>
              <w:rPr>
                <w:rFonts w:hint="eastAsia" w:ascii="宋体" w:hAnsi="宋体"/>
                <w:color w:val="auto"/>
                <w:highlight w:val="none"/>
                <w:lang w:val="en-US" w:eastAsia="zh-CN"/>
              </w:rPr>
              <w:t>；</w:t>
            </w:r>
            <w:r>
              <w:rPr>
                <w:rFonts w:hint="eastAsia" w:ascii="宋体" w:hAnsi="宋体"/>
                <w:color w:val="auto"/>
                <w:highlight w:val="none"/>
                <w:lang w:eastAsia="zh-CN"/>
              </w:rPr>
              <w:t>评标和定标部分</w:t>
            </w:r>
            <w:r>
              <w:rPr>
                <w:rFonts w:hint="eastAsia" w:ascii="宋体" w:hAnsi="宋体"/>
                <w:color w:val="auto"/>
                <w:highlight w:val="none"/>
                <w:lang w:val="en-US" w:eastAsia="zh-CN"/>
              </w:rPr>
              <w:t>文件</w:t>
            </w:r>
            <w:r>
              <w:rPr>
                <w:rFonts w:hint="eastAsia" w:ascii="宋体" w:hAnsi="宋体"/>
                <w:color w:val="auto"/>
                <w:highlight w:val="none"/>
              </w:rPr>
              <w:t>分</w:t>
            </w:r>
            <w:r>
              <w:rPr>
                <w:rFonts w:hint="eastAsia" w:ascii="宋体" w:hAnsi="宋体"/>
                <w:color w:val="auto"/>
                <w:highlight w:val="none"/>
                <w:lang w:val="en-US" w:eastAsia="zh-CN"/>
              </w:rPr>
              <w:t>别</w:t>
            </w:r>
            <w:r>
              <w:rPr>
                <w:rFonts w:hint="eastAsia" w:ascii="宋体" w:hAnsi="宋体"/>
                <w:color w:val="auto"/>
                <w:highlight w:val="none"/>
              </w:rPr>
              <w:t>独立编制</w:t>
            </w:r>
            <w:r>
              <w:rPr>
                <w:rFonts w:hint="eastAsia" w:ascii="宋体" w:hAnsi="宋体"/>
                <w:color w:val="auto"/>
                <w:highlight w:val="none"/>
                <w:lang w:eastAsia="zh-CN"/>
              </w:rPr>
              <w:t>。</w:t>
            </w:r>
          </w:p>
          <w:p>
            <w:pPr>
              <w:rPr>
                <w:rFonts w:hint="eastAsia" w:ascii="宋体" w:hAnsi="宋体"/>
                <w:color w:val="auto"/>
                <w:highlight w:val="none"/>
                <w:u w:val="single"/>
              </w:rPr>
            </w:pPr>
            <w:r>
              <w:rPr>
                <w:rFonts w:hint="eastAsia" w:ascii="宋体" w:hAnsi="宋体"/>
                <w:color w:val="auto"/>
                <w:highlight w:val="none"/>
              </w:rPr>
              <w:t>其他要求：</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211" w:hRule="atLeast"/>
          <w:jc w:val="center"/>
        </w:trPr>
        <w:tc>
          <w:tcPr>
            <w:tcW w:w="905" w:type="dxa"/>
            <w:noWrap w:val="0"/>
            <w:vAlign w:val="center"/>
          </w:tcPr>
          <w:p>
            <w:pPr>
              <w:ind w:firstLine="105" w:firstLineChars="50"/>
              <w:jc w:val="center"/>
              <w:rPr>
                <w:rFonts w:hint="eastAsia" w:ascii="宋体" w:hAnsi="宋体"/>
                <w:color w:val="auto"/>
                <w:szCs w:val="21"/>
                <w:highlight w:val="none"/>
              </w:rPr>
            </w:pPr>
            <w:r>
              <w:rPr>
                <w:rFonts w:hint="eastAsia" w:ascii="宋体" w:hAnsi="宋体"/>
                <w:color w:val="auto"/>
                <w:szCs w:val="21"/>
                <w:highlight w:val="none"/>
              </w:rPr>
              <w:t>4.1.1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加密要求</w:t>
            </w:r>
          </w:p>
        </w:tc>
        <w:tc>
          <w:tcPr>
            <w:tcW w:w="6835" w:type="dxa"/>
            <w:noWrap w:val="0"/>
            <w:vAlign w:val="center"/>
          </w:tcPr>
          <w:p>
            <w:pPr>
              <w:rPr>
                <w:rFonts w:ascii="宋体" w:hAnsi="宋体"/>
                <w:color w:val="auto"/>
                <w:highlight w:val="none"/>
              </w:rPr>
            </w:pPr>
            <w:r>
              <w:rPr>
                <w:rFonts w:hint="eastAsia" w:ascii="宋体" w:hAnsi="宋体"/>
                <w:color w:val="auto"/>
                <w:highlight w:val="none"/>
              </w:rPr>
              <w:t>投标人应使用江门市公共资源交易系统提供的软件制作电子投标文件并进行签名、加盖</w:t>
            </w:r>
            <w:r>
              <w:rPr>
                <w:rFonts w:hint="eastAsia" w:ascii="宋体" w:hAnsi="宋体"/>
                <w:color w:val="auto"/>
                <w:highlight w:val="none"/>
                <w:lang w:eastAsia="zh-CN"/>
              </w:rPr>
              <w:t>单位</w:t>
            </w:r>
            <w:r>
              <w:rPr>
                <w:rFonts w:hint="eastAsia" w:ascii="宋体" w:hAnsi="宋体"/>
                <w:color w:val="auto"/>
                <w:highlight w:val="none"/>
              </w:rPr>
              <w:t>公章及加密打包。不得修改所生成电子投标文件的文件格式。</w:t>
            </w:r>
          </w:p>
          <w:p>
            <w:pPr>
              <w:rPr>
                <w:rFonts w:hint="eastAsia" w:ascii="宋体" w:hAnsi="宋体"/>
                <w:color w:val="auto"/>
                <w:highlight w:val="none"/>
              </w:rPr>
            </w:pPr>
            <w:r>
              <w:rPr>
                <w:rFonts w:hint="eastAsia" w:ascii="宋体" w:hAnsi="宋体"/>
                <w:color w:val="auto"/>
                <w:highlight w:val="none"/>
              </w:rPr>
              <w:t>其他</w:t>
            </w:r>
            <w:r>
              <w:rPr>
                <w:rFonts w:ascii="宋体" w:hAnsi="宋体"/>
                <w:color w:val="auto"/>
                <w:highlight w:val="none"/>
              </w:rPr>
              <w:t>要求：</w:t>
            </w:r>
            <w:r>
              <w:rPr>
                <w:rFonts w:hint="eastAsia" w:ascii="宋体" w:hAnsi="宋体"/>
                <w:color w:val="auto"/>
                <w:highlight w:val="none"/>
                <w:u w:val="single"/>
              </w:rPr>
              <w:t xml:space="preserve">                             </w:t>
            </w:r>
            <w:r>
              <w:rPr>
                <w:rFonts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66" w:hRule="atLeast"/>
          <w:jc w:val="center"/>
        </w:trPr>
        <w:tc>
          <w:tcPr>
            <w:tcW w:w="905" w:type="dxa"/>
            <w:noWrap w:val="0"/>
            <w:vAlign w:val="center"/>
          </w:tcPr>
          <w:p>
            <w:pPr>
              <w:jc w:val="center"/>
              <w:rPr>
                <w:rFonts w:hint="eastAsia" w:ascii="宋体" w:hAnsi="宋体"/>
                <w:i w:val="0"/>
                <w:iCs w:val="0"/>
                <w:color w:val="auto"/>
                <w:highlight w:val="none"/>
              </w:rPr>
            </w:pPr>
            <w:r>
              <w:rPr>
                <w:rFonts w:hint="eastAsia" w:ascii="宋体" w:hAnsi="宋体"/>
                <w:i w:val="0"/>
                <w:iCs w:val="0"/>
                <w:color w:val="auto"/>
                <w:highlight w:val="none"/>
              </w:rPr>
              <w:t>5.1</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i w:val="0"/>
                <w:iCs w:val="0"/>
                <w:color w:val="auto"/>
                <w:highlight w:val="none"/>
              </w:rPr>
              <w:t>组建招标人监督小组</w:t>
            </w:r>
          </w:p>
        </w:tc>
        <w:tc>
          <w:tcPr>
            <w:tcW w:w="6835" w:type="dxa"/>
            <w:noWrap w:val="0"/>
            <w:vAlign w:val="center"/>
          </w:tcPr>
          <w:p>
            <w:pPr>
              <w:rPr>
                <w:rFonts w:hint="eastAsia" w:ascii="宋体" w:hAnsi="宋体" w:eastAsia="宋体" w:cs="Times New Roman"/>
                <w:i w:val="0"/>
                <w:iCs w:val="0"/>
                <w:color w:val="auto"/>
                <w:kern w:val="2"/>
                <w:sz w:val="21"/>
                <w:szCs w:val="24"/>
                <w:highlight w:val="none"/>
                <w:u w:val="none"/>
                <w:lang w:eastAsia="zh-CN"/>
              </w:rPr>
            </w:pPr>
            <w:r>
              <w:rPr>
                <w:rFonts w:hint="eastAsia" w:ascii="宋体" w:hAnsi="宋体" w:eastAsia="宋体" w:cs="Times New Roman"/>
                <w:i w:val="0"/>
                <w:iCs w:val="0"/>
                <w:color w:val="auto"/>
                <w:sz w:val="21"/>
                <w:szCs w:val="24"/>
                <w:highlight w:val="none"/>
              </w:rPr>
              <w:t>囗</w:t>
            </w:r>
            <w:r>
              <w:rPr>
                <w:rFonts w:hint="eastAsia" w:ascii="宋体" w:hAnsi="宋体" w:eastAsia="宋体" w:cs="Times New Roman"/>
                <w:i w:val="0"/>
                <w:iCs w:val="0"/>
                <w:color w:val="auto"/>
                <w:sz w:val="21"/>
                <w:szCs w:val="24"/>
                <w:highlight w:val="none"/>
                <w:lang w:eastAsia="zh-CN"/>
              </w:rPr>
              <w:t>本项目不使用评定分离，不组建。</w:t>
            </w:r>
          </w:p>
          <w:p>
            <w:pPr>
              <w:rPr>
                <w:rFonts w:hint="eastAsia" w:ascii="宋体" w:hAnsi="宋体"/>
                <w:i w:val="0"/>
                <w:iCs w:val="0"/>
                <w:color w:val="auto"/>
                <w:highlight w:val="none"/>
              </w:rPr>
            </w:pPr>
            <w:r>
              <w:rPr>
                <w:rFonts w:hint="eastAsia" w:ascii="宋体" w:hAnsi="宋体" w:eastAsia="宋体" w:cs="Times New Roman"/>
                <w:i w:val="0"/>
                <w:iCs w:val="0"/>
                <w:color w:val="auto"/>
                <w:sz w:val="21"/>
                <w:szCs w:val="24"/>
                <w:highlight w:val="none"/>
              </w:rPr>
              <w:t>囗</w:t>
            </w:r>
            <w:r>
              <w:rPr>
                <w:rFonts w:hint="eastAsia" w:ascii="宋体" w:hAnsi="宋体" w:eastAsia="宋体" w:cs="Times New Roman"/>
                <w:i w:val="0"/>
                <w:iCs w:val="0"/>
                <w:color w:val="auto"/>
                <w:highlight w:val="none"/>
              </w:rPr>
              <w:t>招标人组建</w:t>
            </w:r>
            <w:r>
              <w:rPr>
                <w:rFonts w:hint="eastAsia" w:ascii="宋体" w:hAnsi="宋体" w:eastAsia="宋体" w:cs="Times New Roman"/>
                <w:i w:val="0"/>
                <w:iCs w:val="0"/>
                <w:color w:val="auto"/>
                <w:highlight w:val="none"/>
                <w:u w:val="single"/>
              </w:rPr>
              <w:t xml:space="preserve">     </w:t>
            </w:r>
            <w:r>
              <w:rPr>
                <w:rFonts w:hint="eastAsia" w:ascii="宋体" w:hAnsi="宋体" w:eastAsia="宋体" w:cs="Times New Roman"/>
                <w:i w:val="0"/>
                <w:iCs w:val="0"/>
                <w:color w:val="auto"/>
                <w:highlight w:val="none"/>
              </w:rPr>
              <w:t>人（不少于</w:t>
            </w:r>
            <w:r>
              <w:rPr>
                <w:rFonts w:hint="eastAsia" w:ascii="宋体" w:hAnsi="宋体" w:eastAsia="宋体" w:cs="Times New Roman"/>
                <w:i w:val="0"/>
                <w:iCs w:val="0"/>
                <w:color w:val="auto"/>
                <w:highlight w:val="none"/>
                <w:lang w:eastAsia="zh-CN"/>
              </w:rPr>
              <w:t>2</w:t>
            </w:r>
            <w:r>
              <w:rPr>
                <w:rFonts w:hint="eastAsia" w:ascii="宋体" w:hAnsi="宋体" w:eastAsia="宋体" w:cs="Times New Roman"/>
                <w:i w:val="0"/>
                <w:iCs w:val="0"/>
                <w:color w:val="auto"/>
                <w:highlight w:val="none"/>
              </w:rPr>
              <w:t>人）的监督小组对开标、入围、评标、定标过程进行监督。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543" w:hRule="atLeast"/>
          <w:jc w:val="center"/>
        </w:trPr>
        <w:tc>
          <w:tcPr>
            <w:tcW w:w="905"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rPr>
              <w:t>6</w:t>
            </w:r>
            <w:r>
              <w:rPr>
                <w:rFonts w:ascii="宋体" w:hAnsi="宋体"/>
                <w:color w:val="auto"/>
                <w:highlight w:val="none"/>
              </w:rPr>
              <w:t>.2</w:t>
            </w:r>
            <w:r>
              <w:rPr>
                <w:rFonts w:hint="eastAsia" w:ascii="宋体" w:hAnsi="宋体"/>
                <w:color w:val="auto"/>
                <w:highlight w:val="none"/>
                <w:lang w:val="en-US" w:eastAsia="zh-CN"/>
              </w:rPr>
              <w:t>.2</w:t>
            </w:r>
          </w:p>
        </w:tc>
        <w:tc>
          <w:tcPr>
            <w:tcW w:w="1908" w:type="dxa"/>
            <w:gridSpan w:val="2"/>
            <w:noWrap w:val="0"/>
            <w:vAlign w:val="center"/>
          </w:tcPr>
          <w:p>
            <w:pPr>
              <w:rPr>
                <w:rFonts w:hint="eastAsia" w:ascii="宋体" w:hAnsi="宋体" w:eastAsia="宋体"/>
                <w:color w:val="auto"/>
                <w:highlight w:val="none"/>
                <w:lang w:eastAsia="zh-CN"/>
              </w:rPr>
            </w:pPr>
            <w:r>
              <w:rPr>
                <w:rFonts w:hint="eastAsia" w:ascii="宋体" w:hAnsi="宋体"/>
                <w:color w:val="auto"/>
                <w:highlight w:val="none"/>
              </w:rPr>
              <w:t>开标</w:t>
            </w:r>
            <w:r>
              <w:rPr>
                <w:rFonts w:ascii="宋体" w:hAnsi="宋体"/>
                <w:color w:val="auto"/>
                <w:highlight w:val="none"/>
              </w:rPr>
              <w:t>程序</w:t>
            </w:r>
            <w:r>
              <w:rPr>
                <w:rFonts w:hint="eastAsia" w:ascii="宋体" w:hAnsi="宋体"/>
                <w:color w:val="auto"/>
                <w:highlight w:val="none"/>
                <w:lang w:eastAsia="zh-CN"/>
              </w:rPr>
              <w:t>中的其他要求</w:t>
            </w:r>
          </w:p>
        </w:tc>
        <w:tc>
          <w:tcPr>
            <w:tcW w:w="6835"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信用</w:t>
            </w:r>
            <w:r>
              <w:rPr>
                <w:rFonts w:ascii="宋体" w:hAnsi="宋体"/>
                <w:color w:val="auto"/>
                <w:szCs w:val="21"/>
                <w:highlight w:val="none"/>
              </w:rPr>
              <w:t>等级核查：</w:t>
            </w:r>
            <w:r>
              <w:rPr>
                <w:rFonts w:hint="eastAsia" w:ascii="宋体" w:hAnsi="宋体"/>
                <w:color w:val="auto"/>
                <w:szCs w:val="21"/>
                <w:highlight w:val="none"/>
              </w:rPr>
              <w:t>投标人（包括联合体所有成员）未被列入“江门市建筑业企业信用管理信息系统”信用等级C级或以上的，投标文件不予受理，不进入下一环节；</w:t>
            </w:r>
          </w:p>
          <w:p>
            <w:pPr>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文件解密完成后，市公共资源电子交易系统立即对所有加密打包投标文件电脑的机器特征码进行比对、分析，如发现一致的，视为“不同投标人的投标文件由同一电子设备编制、打包加密”，不进入下一程序。</w:t>
            </w:r>
          </w:p>
          <w:p>
            <w:pP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lang w:eastAsia="zh-CN"/>
              </w:rPr>
              <w:t>投标文件解密程序预设时间</w:t>
            </w:r>
            <w:r>
              <w:rPr>
                <w:rFonts w:hint="eastAsia" w:ascii="宋体" w:hAnsi="宋体" w:eastAsia="宋体" w:cs="宋体"/>
                <w:color w:val="auto"/>
                <w:szCs w:val="21"/>
                <w:highlight w:val="none"/>
                <w:u w:val="none"/>
                <w:lang w:val="en-US" w:eastAsia="zh-CN"/>
              </w:rPr>
              <w:t>30分钟，全部投标人解密后提前结束；当投标人数量超过50家时，将酌情延长，</w:t>
            </w:r>
            <w:r>
              <w:rPr>
                <w:rFonts w:hint="eastAsia" w:ascii="宋体" w:hAnsi="宋体" w:cs="宋体"/>
                <w:color w:val="auto"/>
                <w:szCs w:val="21"/>
                <w:highlight w:val="none"/>
                <w:u w:val="none"/>
                <w:lang w:val="en-US" w:eastAsia="zh-CN"/>
              </w:rPr>
              <w:t>原则上</w:t>
            </w:r>
            <w:r>
              <w:rPr>
                <w:rFonts w:hint="eastAsia" w:ascii="宋体" w:hAnsi="宋体" w:eastAsia="宋体" w:cs="宋体"/>
                <w:color w:val="auto"/>
                <w:szCs w:val="21"/>
                <w:highlight w:val="none"/>
                <w:u w:val="none"/>
                <w:lang w:val="en-US" w:eastAsia="zh-CN"/>
              </w:rPr>
              <w:t>最长不超过30分钟，因系统故障导致投标人无法解密的不计入延长时间。投标人应密切关注开标现场按时解密，遇到系统问题或其他情况造成无法解密且未及时联系招标代理的视为超时未解密，超时未解密的不参与后续程序。</w:t>
            </w:r>
          </w:p>
          <w:p>
            <w:pPr>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4.</w:t>
            </w:r>
            <w:r>
              <w:rPr>
                <w:rFonts w:hint="eastAsia" w:ascii="宋体" w:hAnsi="宋体" w:eastAsia="宋体" w:cs="宋体"/>
                <w:color w:val="auto"/>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0" w:hRule="atLeast"/>
          <w:jc w:val="center"/>
        </w:trPr>
        <w:tc>
          <w:tcPr>
            <w:tcW w:w="905" w:type="dxa"/>
            <w:noWrap w:val="0"/>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rPr>
              <w:t>6.4.</w:t>
            </w:r>
            <w:r>
              <w:rPr>
                <w:rFonts w:hint="eastAsia" w:ascii="宋体" w:hAnsi="宋体"/>
                <w:color w:val="auto"/>
                <w:highlight w:val="none"/>
                <w:lang w:val="en-US" w:eastAsia="zh-CN"/>
              </w:rPr>
              <w:t>5</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lang w:eastAsia="zh-CN"/>
              </w:rPr>
              <w:t>其他</w:t>
            </w:r>
            <w:r>
              <w:rPr>
                <w:rFonts w:hint="eastAsia" w:ascii="宋体" w:hAnsi="宋体"/>
                <w:color w:val="auto"/>
                <w:highlight w:val="none"/>
              </w:rPr>
              <w:t>开标特殊情况的处置程序</w:t>
            </w:r>
          </w:p>
        </w:tc>
        <w:tc>
          <w:tcPr>
            <w:tcW w:w="6835" w:type="dxa"/>
            <w:noWrap w:val="0"/>
            <w:vAlign w:val="center"/>
          </w:tcPr>
          <w:p>
            <w:pPr>
              <w:rPr>
                <w:rFonts w:hint="eastAsia" w:ascii="宋体" w:hAnsi="宋体"/>
                <w:color w:val="auto"/>
                <w:highlight w:val="none"/>
              </w:rPr>
            </w:pPr>
            <w:r>
              <w:rPr>
                <w:rFonts w:ascii="宋体" w:hAnsi="宋体"/>
                <w:color w:val="auto"/>
                <w:highlight w:val="none"/>
                <w:u w:val="single"/>
              </w:rPr>
              <w:t xml:space="preserve">                                 </w:t>
            </w:r>
            <w:r>
              <w:rPr>
                <w:rFonts w:hint="eastAsia"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70" w:hRule="atLeast"/>
          <w:jc w:val="center"/>
        </w:trPr>
        <w:tc>
          <w:tcPr>
            <w:tcW w:w="905" w:type="dxa"/>
            <w:noWrap w:val="0"/>
            <w:vAlign w:val="center"/>
          </w:tcPr>
          <w:p>
            <w:pPr>
              <w:jc w:val="center"/>
              <w:rPr>
                <w:rFonts w:hint="eastAsia" w:ascii="宋体" w:hAnsi="宋体"/>
                <w:i w:val="0"/>
                <w:iCs w:val="0"/>
                <w:color w:val="auto"/>
                <w:highlight w:val="none"/>
              </w:rPr>
            </w:pPr>
            <w:r>
              <w:rPr>
                <w:rFonts w:hint="eastAsia" w:ascii="宋体" w:hAnsi="宋体"/>
                <w:i w:val="0"/>
                <w:iCs w:val="0"/>
                <w:color w:val="auto"/>
                <w:highlight w:val="none"/>
              </w:rPr>
              <w:t>7.1</w:t>
            </w:r>
          </w:p>
        </w:tc>
        <w:tc>
          <w:tcPr>
            <w:tcW w:w="1908" w:type="dxa"/>
            <w:gridSpan w:val="2"/>
            <w:noWrap w:val="0"/>
            <w:vAlign w:val="center"/>
          </w:tcPr>
          <w:p>
            <w:pPr>
              <w:rPr>
                <w:rFonts w:hint="default" w:ascii="Tahoma" w:hAnsi="宋体"/>
                <w:i w:val="0"/>
                <w:iCs w:val="0"/>
                <w:color w:val="auto"/>
                <w:highlight w:val="none"/>
              </w:rPr>
            </w:pPr>
            <w:r>
              <w:rPr>
                <w:rFonts w:hint="eastAsia" w:ascii="宋体" w:hAnsi="宋体"/>
                <w:i w:val="0"/>
                <w:iCs w:val="0"/>
                <w:color w:val="auto"/>
                <w:highlight w:val="none"/>
                <w:lang w:eastAsia="zh-CN"/>
              </w:rPr>
              <w:t>推荐程序</w:t>
            </w:r>
          </w:p>
        </w:tc>
        <w:tc>
          <w:tcPr>
            <w:tcW w:w="6835" w:type="dxa"/>
            <w:noWrap w:val="0"/>
            <w:vAlign w:val="center"/>
          </w:tcPr>
          <w:p>
            <w:pPr>
              <w:rPr>
                <w:rFonts w:hint="eastAsia" w:ascii="宋体" w:hAnsi="宋体"/>
                <w:i w:val="0"/>
                <w:iCs w:val="0"/>
                <w:color w:val="auto"/>
                <w:highlight w:val="none"/>
              </w:rPr>
            </w:pPr>
            <w:r>
              <w:rPr>
                <w:rFonts w:hint="eastAsia"/>
                <w:i w:val="0"/>
                <w:iCs w:val="0"/>
                <w:color w:val="auto"/>
                <w:szCs w:val="21"/>
                <w:highlight w:val="none"/>
              </w:rPr>
              <w:t>囗</w:t>
            </w:r>
            <w:r>
              <w:rPr>
                <w:rFonts w:hint="eastAsia"/>
                <w:i w:val="0"/>
                <w:iCs w:val="0"/>
                <w:color w:val="auto"/>
                <w:szCs w:val="21"/>
                <w:highlight w:val="none"/>
                <w:lang w:eastAsia="zh-CN"/>
              </w:rPr>
              <w:t>本项目不使用评定分离，</w:t>
            </w:r>
            <w:r>
              <w:rPr>
                <w:rFonts w:hint="eastAsia"/>
                <w:i w:val="0"/>
                <w:iCs w:val="0"/>
                <w:color w:val="auto"/>
                <w:szCs w:val="21"/>
                <w:highlight w:val="none"/>
                <w:lang w:val="en-US" w:eastAsia="zh-CN"/>
              </w:rPr>
              <w:t>或不启用推荐程序。</w:t>
            </w:r>
          </w:p>
          <w:p>
            <w:pPr>
              <w:rPr>
                <w:rFonts w:hint="eastAsia" w:ascii="宋体" w:hAnsi="宋体"/>
                <w:i w:val="0"/>
                <w:iCs w:val="0"/>
                <w:color w:val="auto"/>
                <w:highlight w:val="none"/>
              </w:rPr>
            </w:pPr>
            <w:r>
              <w:rPr>
                <w:rFonts w:hint="eastAsia"/>
                <w:i w:val="0"/>
                <w:iCs w:val="0"/>
                <w:color w:val="auto"/>
                <w:szCs w:val="21"/>
                <w:highlight w:val="none"/>
              </w:rPr>
              <w:t>囗</w:t>
            </w:r>
            <w:r>
              <w:rPr>
                <w:rFonts w:hint="eastAsia"/>
                <w:i w:val="0"/>
                <w:iCs w:val="0"/>
                <w:color w:val="auto"/>
                <w:szCs w:val="21"/>
                <w:highlight w:val="none"/>
                <w:lang w:eastAsia="zh-CN"/>
              </w:rPr>
              <w:t>本项目使用评定分离，</w:t>
            </w:r>
            <w:r>
              <w:rPr>
                <w:rFonts w:hint="eastAsia" w:ascii="宋体" w:hAnsi="宋体"/>
                <w:i w:val="0"/>
                <w:iCs w:val="0"/>
                <w:color w:val="auto"/>
                <w:highlight w:val="none"/>
                <w:lang w:eastAsia="zh-CN"/>
              </w:rPr>
              <w:t>启用</w:t>
            </w:r>
            <w:r>
              <w:rPr>
                <w:rFonts w:hint="eastAsia" w:ascii="宋体" w:hAnsi="宋体"/>
                <w:i w:val="0"/>
                <w:iCs w:val="0"/>
                <w:color w:val="auto"/>
                <w:highlight w:val="none"/>
              </w:rPr>
              <w:t>推荐</w:t>
            </w:r>
            <w:r>
              <w:rPr>
                <w:rFonts w:hint="eastAsia" w:ascii="宋体" w:hAnsi="宋体"/>
                <w:i w:val="0"/>
                <w:iCs w:val="0"/>
                <w:color w:val="auto"/>
                <w:highlight w:val="none"/>
                <w:lang w:eastAsia="zh-CN"/>
              </w:rPr>
              <w:t>程序</w:t>
            </w:r>
            <w:r>
              <w:rPr>
                <w:rFonts w:hint="eastAsia" w:ascii="宋体" w:hAnsi="宋体"/>
                <w:i w:val="0"/>
                <w:iCs w:val="0"/>
                <w:color w:val="auto"/>
                <w:highlight w:val="none"/>
              </w:rPr>
              <w:t>，从候补投标人和未被选中的剩余正式投标人中推荐不超过5名</w:t>
            </w:r>
            <w:r>
              <w:rPr>
                <w:rFonts w:hint="eastAsia" w:ascii="宋体" w:hAnsi="宋体" w:eastAsia="宋体" w:cs="Times New Roman"/>
                <w:i w:val="0"/>
                <w:iCs w:val="0"/>
                <w:caps w:val="0"/>
                <w:color w:val="auto"/>
                <w:spacing w:val="0"/>
                <w:sz w:val="21"/>
                <w:szCs w:val="24"/>
                <w:highlight w:val="none"/>
                <w:shd w:val="clear" w:color="auto" w:fill="auto"/>
              </w:rPr>
              <w:t>信誉良好、实力雄厚的</w:t>
            </w:r>
            <w:r>
              <w:rPr>
                <w:rFonts w:hint="eastAsia" w:ascii="宋体" w:hAnsi="宋体"/>
                <w:i w:val="0"/>
                <w:iCs w:val="0"/>
                <w:color w:val="auto"/>
                <w:highlight w:val="none"/>
              </w:rPr>
              <w:t>投标人进入评标环节。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098" w:hRule="atLeast"/>
          <w:jc w:val="center"/>
        </w:trPr>
        <w:tc>
          <w:tcPr>
            <w:tcW w:w="905" w:type="dxa"/>
            <w:noWrap w:val="0"/>
            <w:vAlign w:val="center"/>
          </w:tcPr>
          <w:p>
            <w:pPr>
              <w:jc w:val="center"/>
              <w:rPr>
                <w:rFonts w:hint="eastAsia" w:ascii="宋体" w:hAnsi="宋体"/>
                <w:i w:val="0"/>
                <w:iCs w:val="0"/>
                <w:color w:val="auto"/>
                <w:highlight w:val="none"/>
              </w:rPr>
            </w:pPr>
            <w:r>
              <w:rPr>
                <w:rFonts w:hint="eastAsia" w:ascii="宋体" w:hAnsi="宋体"/>
                <w:i w:val="0"/>
                <w:iCs w:val="0"/>
                <w:color w:val="auto"/>
                <w:highlight w:val="none"/>
              </w:rPr>
              <w:t>7.</w:t>
            </w:r>
            <w:r>
              <w:rPr>
                <w:rFonts w:ascii="宋体" w:hAnsi="宋体"/>
                <w:i w:val="0"/>
                <w:iCs w:val="0"/>
                <w:color w:val="auto"/>
                <w:highlight w:val="none"/>
              </w:rPr>
              <w:t>1.1</w:t>
            </w:r>
          </w:p>
        </w:tc>
        <w:tc>
          <w:tcPr>
            <w:tcW w:w="1908" w:type="dxa"/>
            <w:gridSpan w:val="2"/>
            <w:noWrap w:val="0"/>
            <w:vAlign w:val="center"/>
          </w:tcPr>
          <w:p>
            <w:pPr>
              <w:rPr>
                <w:rFonts w:hint="eastAsia" w:ascii="宋体" w:hAnsi="宋体"/>
                <w:b/>
                <w:i w:val="0"/>
                <w:iCs w:val="0"/>
                <w:color w:val="auto"/>
                <w:highlight w:val="none"/>
              </w:rPr>
            </w:pPr>
            <w:r>
              <w:rPr>
                <w:rFonts w:hint="eastAsia" w:ascii="宋体" w:hAnsi="宋体"/>
                <w:i w:val="0"/>
                <w:iCs w:val="0"/>
                <w:color w:val="auto"/>
                <w:highlight w:val="none"/>
              </w:rPr>
              <w:t>推荐入围委员会的组建</w:t>
            </w:r>
          </w:p>
        </w:tc>
        <w:tc>
          <w:tcPr>
            <w:tcW w:w="6835" w:type="dxa"/>
            <w:noWrap w:val="0"/>
            <w:vAlign w:val="center"/>
          </w:tcPr>
          <w:p>
            <w:pPr>
              <w:rPr>
                <w:rFonts w:hint="eastAsia" w:ascii="宋体" w:hAnsi="宋体"/>
                <w:i w:val="0"/>
                <w:iCs w:val="0"/>
                <w:color w:val="auto"/>
                <w:highlight w:val="none"/>
              </w:rPr>
            </w:pPr>
            <w:r>
              <w:rPr>
                <w:rFonts w:hint="eastAsia"/>
                <w:i w:val="0"/>
                <w:iCs w:val="0"/>
                <w:color w:val="auto"/>
                <w:szCs w:val="21"/>
                <w:highlight w:val="none"/>
              </w:rPr>
              <w:t>囗</w:t>
            </w:r>
            <w:r>
              <w:rPr>
                <w:rFonts w:hint="eastAsia"/>
                <w:i w:val="0"/>
                <w:iCs w:val="0"/>
                <w:color w:val="auto"/>
                <w:szCs w:val="21"/>
                <w:highlight w:val="none"/>
                <w:lang w:eastAsia="zh-CN"/>
              </w:rPr>
              <w:t>本项目</w:t>
            </w:r>
            <w:r>
              <w:rPr>
                <w:rFonts w:hint="eastAsia"/>
                <w:i w:val="0"/>
                <w:iCs w:val="0"/>
                <w:color w:val="auto"/>
                <w:szCs w:val="21"/>
                <w:highlight w:val="none"/>
                <w:lang w:val="en-US" w:eastAsia="zh-CN"/>
              </w:rPr>
              <w:t>不</w:t>
            </w:r>
            <w:r>
              <w:rPr>
                <w:rFonts w:hint="eastAsia"/>
                <w:i w:val="0"/>
                <w:iCs w:val="0"/>
                <w:color w:val="auto"/>
                <w:szCs w:val="21"/>
                <w:highlight w:val="none"/>
                <w:lang w:eastAsia="zh-CN"/>
              </w:rPr>
              <w:t>使用评定分离，</w:t>
            </w:r>
            <w:r>
              <w:rPr>
                <w:rFonts w:hint="eastAsia"/>
                <w:i w:val="0"/>
                <w:iCs w:val="0"/>
                <w:color w:val="auto"/>
                <w:szCs w:val="21"/>
                <w:highlight w:val="none"/>
                <w:lang w:val="en-US" w:eastAsia="zh-CN"/>
              </w:rPr>
              <w:t>或不启用推荐程序</w:t>
            </w:r>
            <w:r>
              <w:rPr>
                <w:rFonts w:hint="eastAsia" w:ascii="宋体" w:hAnsi="宋体"/>
                <w:i w:val="0"/>
                <w:iCs w:val="0"/>
                <w:color w:val="auto"/>
                <w:highlight w:val="none"/>
              </w:rPr>
              <w:t>。</w:t>
            </w:r>
          </w:p>
          <w:p>
            <w:pPr>
              <w:rPr>
                <w:rFonts w:hint="eastAsia" w:ascii="宋体" w:hAnsi="宋体"/>
                <w:i w:val="0"/>
                <w:iCs w:val="0"/>
                <w:color w:val="auto"/>
                <w:highlight w:val="none"/>
              </w:rPr>
            </w:pPr>
            <w:r>
              <w:rPr>
                <w:rFonts w:hint="eastAsia"/>
                <w:i w:val="0"/>
                <w:iCs w:val="0"/>
                <w:color w:val="auto"/>
                <w:szCs w:val="21"/>
                <w:highlight w:val="none"/>
              </w:rPr>
              <w:t>囗</w:t>
            </w:r>
            <w:r>
              <w:rPr>
                <w:rFonts w:hint="eastAsia" w:ascii="宋体" w:hAnsi="宋体"/>
                <w:i w:val="0"/>
                <w:iCs w:val="0"/>
                <w:color w:val="auto"/>
                <w:highlight w:val="none"/>
                <w:lang w:val="en-US" w:eastAsia="zh-CN"/>
              </w:rPr>
              <w:t>本项目</w:t>
            </w:r>
            <w:r>
              <w:rPr>
                <w:rFonts w:hint="eastAsia" w:ascii="宋体" w:hAnsi="宋体"/>
                <w:i w:val="0"/>
                <w:iCs w:val="0"/>
                <w:color w:val="auto"/>
                <w:highlight w:val="none"/>
              </w:rPr>
              <w:t>组建推荐入围委员会，</w:t>
            </w:r>
            <w:r>
              <w:rPr>
                <w:rFonts w:ascii="宋体" w:hAnsi="宋体"/>
                <w:i w:val="0"/>
                <w:iCs w:val="0"/>
                <w:color w:val="auto"/>
                <w:highlight w:val="none"/>
              </w:rPr>
              <w:t>成员</w:t>
            </w:r>
            <w:r>
              <w:rPr>
                <w:rFonts w:hint="eastAsia" w:ascii="宋体" w:hAnsi="宋体"/>
                <w:i w:val="0"/>
                <w:iCs w:val="0"/>
                <w:color w:val="auto"/>
                <w:highlight w:val="none"/>
                <w:u w:val="single"/>
              </w:rPr>
              <w:t xml:space="preserve"> </w:t>
            </w:r>
            <w:r>
              <w:rPr>
                <w:rFonts w:ascii="宋体" w:hAnsi="宋体"/>
                <w:i w:val="0"/>
                <w:iCs w:val="0"/>
                <w:color w:val="auto"/>
                <w:highlight w:val="none"/>
                <w:u w:val="single"/>
              </w:rPr>
              <w:t xml:space="preserve">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人。</w:t>
            </w:r>
            <w:r>
              <w:rPr>
                <w:rFonts w:hint="eastAsia" w:ascii="宋体" w:hAnsi="宋体"/>
                <w:i w:val="0"/>
                <w:iCs w:val="0"/>
                <w:color w:val="auto"/>
                <w:highlight w:val="none"/>
                <w:lang w:eastAsia="zh-CN"/>
              </w:rPr>
              <w:t>（</w:t>
            </w:r>
            <w:r>
              <w:rPr>
                <w:rFonts w:hint="eastAsia" w:ascii="宋体" w:hAnsi="宋体"/>
                <w:i w:val="0"/>
                <w:iCs w:val="0"/>
                <w:color w:val="auto"/>
                <w:highlight w:val="none"/>
              </w:rPr>
              <w:t>成员数量为5人以上单数，人员构成参考定标委员会的组建要求</w:t>
            </w:r>
            <w:r>
              <w:rPr>
                <w:rFonts w:hint="eastAsia" w:ascii="宋体" w:hAnsi="宋体"/>
                <w:i w:val="0"/>
                <w:iCs w:val="0"/>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893" w:hRule="atLeast"/>
          <w:jc w:val="center"/>
        </w:trPr>
        <w:tc>
          <w:tcPr>
            <w:tcW w:w="905" w:type="dxa"/>
            <w:noWrap w:val="0"/>
            <w:vAlign w:val="center"/>
          </w:tcPr>
          <w:p>
            <w:pPr>
              <w:jc w:val="center"/>
              <w:rPr>
                <w:rFonts w:hint="eastAsia" w:ascii="宋体" w:hAnsi="宋体" w:eastAsia="宋体"/>
                <w:i w:val="0"/>
                <w:iCs w:val="0"/>
                <w:color w:val="auto"/>
                <w:highlight w:val="none"/>
                <w:lang w:eastAsia="zh-CN"/>
              </w:rPr>
            </w:pPr>
            <w:r>
              <w:rPr>
                <w:rFonts w:hint="eastAsia" w:ascii="宋体" w:hAnsi="宋体"/>
                <w:i w:val="0"/>
                <w:iCs w:val="0"/>
                <w:color w:val="auto"/>
                <w:highlight w:val="none"/>
              </w:rPr>
              <w:t>7.</w:t>
            </w:r>
            <w:r>
              <w:rPr>
                <w:rFonts w:ascii="宋体" w:hAnsi="宋体"/>
                <w:i w:val="0"/>
                <w:iCs w:val="0"/>
                <w:color w:val="auto"/>
                <w:highlight w:val="none"/>
              </w:rPr>
              <w:t>1.</w:t>
            </w:r>
            <w:r>
              <w:rPr>
                <w:rFonts w:hint="eastAsia" w:ascii="宋体" w:hAnsi="宋体"/>
                <w:i w:val="0"/>
                <w:iCs w:val="0"/>
                <w:color w:val="auto"/>
                <w:highlight w:val="none"/>
                <w:lang w:val="en-US" w:eastAsia="zh-CN"/>
              </w:rPr>
              <w:t>2</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i w:val="0"/>
                <w:iCs w:val="0"/>
                <w:color w:val="auto"/>
                <w:highlight w:val="none"/>
              </w:rPr>
              <w:t>推荐入围方式</w:t>
            </w:r>
          </w:p>
        </w:tc>
        <w:tc>
          <w:tcPr>
            <w:tcW w:w="6835" w:type="dxa"/>
            <w:noWrap w:val="0"/>
            <w:vAlign w:val="center"/>
          </w:tcPr>
          <w:p>
            <w:pPr>
              <w:rPr>
                <w:rFonts w:ascii="宋体" w:hAnsi="宋体"/>
                <w:i w:val="0"/>
                <w:iCs w:val="0"/>
                <w:color w:val="auto"/>
                <w:highlight w:val="none"/>
              </w:rPr>
            </w:pPr>
            <w:r>
              <w:rPr>
                <w:rFonts w:hint="eastAsia" w:ascii="宋体" w:hAnsi="宋体"/>
                <w:i w:val="0"/>
                <w:iCs w:val="0"/>
                <w:color w:val="auto"/>
                <w:highlight w:val="none"/>
              </w:rPr>
              <w:t>推荐</w:t>
            </w:r>
            <w:r>
              <w:rPr>
                <w:rFonts w:ascii="宋体" w:hAnsi="宋体"/>
                <w:i w:val="0"/>
                <w:iCs w:val="0"/>
                <w:color w:val="auto"/>
                <w:highlight w:val="none"/>
              </w:rPr>
              <w:t>方式：</w:t>
            </w:r>
            <w:r>
              <w:rPr>
                <w:rFonts w:hint="eastAsia" w:ascii="宋体" w:hAnsi="宋体"/>
                <w:i w:val="0"/>
                <w:iCs w:val="0"/>
                <w:color w:val="auto"/>
                <w:highlight w:val="none"/>
                <w:u w:val="single"/>
              </w:rPr>
              <w:t xml:space="preserve">            </w:t>
            </w:r>
            <w:r>
              <w:rPr>
                <w:rFonts w:ascii="宋体" w:hAnsi="宋体"/>
                <w:i w:val="0"/>
                <w:iCs w:val="0"/>
                <w:color w:val="auto"/>
                <w:highlight w:val="none"/>
                <w:u w:val="single"/>
              </w:rPr>
              <w:t xml:space="preserve">                    </w:t>
            </w:r>
          </w:p>
          <w:p>
            <w:pPr>
              <w:rPr>
                <w:rFonts w:hint="eastAsia"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256"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8.1.1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评标委员会的组建</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评标委员会构成：</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人，其中招标人代表</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人，经济专家</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人，技术专家</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人；</w:t>
            </w:r>
          </w:p>
          <w:p>
            <w:pPr>
              <w:rPr>
                <w:rFonts w:hint="eastAsia" w:ascii="宋体" w:hAnsi="宋体"/>
                <w:color w:val="auto"/>
                <w:highlight w:val="none"/>
              </w:rPr>
            </w:pPr>
            <w:r>
              <w:rPr>
                <w:rFonts w:hint="eastAsia" w:ascii="宋体" w:hAnsi="宋体"/>
                <w:color w:val="auto"/>
                <w:highlight w:val="none"/>
                <w:lang w:val="en-US" w:eastAsia="zh-CN"/>
              </w:rPr>
              <w:t>注：1.</w:t>
            </w:r>
            <w:r>
              <w:rPr>
                <w:rFonts w:hint="eastAsia" w:ascii="宋体" w:hAnsi="宋体"/>
                <w:color w:val="auto"/>
                <w:highlight w:val="none"/>
              </w:rPr>
              <w:t>评标专家从依法成立的评标专家库随机抽取。</w:t>
            </w:r>
          </w:p>
          <w:p>
            <w:pPr>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招标人</w:t>
            </w:r>
            <w:r>
              <w:rPr>
                <w:rFonts w:hint="eastAsia" w:ascii="宋体" w:hAnsi="宋体"/>
                <w:color w:val="auto"/>
                <w:highlight w:val="none"/>
                <w:lang w:val="en-US" w:eastAsia="zh-CN"/>
              </w:rPr>
              <w:t>派出</w:t>
            </w:r>
            <w:r>
              <w:rPr>
                <w:rFonts w:hint="eastAsia" w:ascii="宋体" w:hAnsi="宋体"/>
                <w:color w:val="auto"/>
                <w:highlight w:val="none"/>
              </w:rPr>
              <w:t>代表</w:t>
            </w:r>
            <w:r>
              <w:rPr>
                <w:rFonts w:hint="eastAsia" w:ascii="宋体" w:hAnsi="宋体"/>
                <w:color w:val="auto"/>
                <w:highlight w:val="none"/>
                <w:lang w:val="en-US" w:eastAsia="zh-CN"/>
              </w:rPr>
              <w:t>为</w:t>
            </w:r>
            <w:r>
              <w:rPr>
                <w:rFonts w:hint="eastAsia"/>
                <w:color w:val="auto"/>
                <w:highlight w:val="none"/>
                <w:u w:val="single"/>
              </w:rPr>
              <w:t>熟悉项目情况及评标工作</w:t>
            </w:r>
            <w:r>
              <w:rPr>
                <w:rFonts w:hint="eastAsia"/>
                <w:color w:val="auto"/>
                <w:highlight w:val="none"/>
                <w:u w:val="single"/>
                <w:lang w:eastAsia="zh-CN"/>
              </w:rPr>
              <w:t>的</w:t>
            </w:r>
            <w:r>
              <w:rPr>
                <w:rFonts w:hint="eastAsia"/>
                <w:color w:val="auto"/>
                <w:highlight w:val="none"/>
                <w:u w:val="single"/>
              </w:rPr>
              <w:t>在职</w:t>
            </w:r>
            <w:r>
              <w:rPr>
                <w:rFonts w:hint="eastAsia"/>
                <w:color w:val="auto"/>
                <w:highlight w:val="none"/>
                <w:u w:val="single"/>
                <w:lang w:val="en-US" w:eastAsia="zh-CN"/>
              </w:rPr>
              <w:t>人员</w:t>
            </w:r>
            <w:r>
              <w:rPr>
                <w:rFonts w:hint="eastAsia" w:ascii="宋体" w:hAnsi="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05" w:hRule="atLeast"/>
          <w:jc w:val="center"/>
        </w:trPr>
        <w:tc>
          <w:tcPr>
            <w:tcW w:w="905" w:type="dxa"/>
            <w:noWrap w:val="0"/>
            <w:vAlign w:val="center"/>
          </w:tcPr>
          <w:p>
            <w:pPr>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8.3.2</w:t>
            </w:r>
          </w:p>
        </w:tc>
        <w:tc>
          <w:tcPr>
            <w:tcW w:w="1908" w:type="dxa"/>
            <w:gridSpan w:val="2"/>
            <w:noWrap w:val="0"/>
            <w:vAlign w:val="center"/>
          </w:tcPr>
          <w:p>
            <w:pPr>
              <w:rPr>
                <w:rFonts w:hint="eastAsia" w:eastAsia="宋体"/>
                <w:color w:val="auto"/>
                <w:highlight w:val="none"/>
                <w:lang w:eastAsia="zh-CN"/>
              </w:rPr>
            </w:pPr>
            <w:r>
              <w:rPr>
                <w:rFonts w:hint="eastAsia"/>
                <w:color w:val="auto"/>
                <w:highlight w:val="none"/>
                <w:lang w:eastAsia="zh-CN"/>
              </w:rPr>
              <w:t>评标办法</w:t>
            </w:r>
          </w:p>
        </w:tc>
        <w:tc>
          <w:tcPr>
            <w:tcW w:w="6835" w:type="dxa"/>
            <w:noWrap w:val="0"/>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1.综合评估法：（技术+商务+报价）</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技术评审标准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评分法、</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评价法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商务评审</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评分法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投标报价评审标准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囗有效范围平均值法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囗平均值法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szCs w:val="21"/>
                <w:highlight w:val="none"/>
              </w:rPr>
              <w:t>最低投标价法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2.非综合评估法：（技术+报价）</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技术评审标准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eastAsia="zh-CN"/>
              </w:rPr>
              <w:t>不评审技术标、</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评价法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投标报价评审标准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囗有效范围平均值法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囗平均值法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szCs w:val="21"/>
                <w:highlight w:val="none"/>
              </w:rPr>
              <w:t>最低投标价法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囗</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注：1.技术评审标准（评价法）只在评定分离项目中运用。</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2.招标人可使用其他投标报价评审标准，并在“评标办法附则”中明确。</w:t>
            </w:r>
          </w:p>
          <w:p>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3.综合评估法适用于技术特别复杂的大型工程施工招标（具体可参见《工程监理企业资质管理规定</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（2018修正）中“专业工程类别和等级表”中等级为一、二级的工程）</w:t>
            </w:r>
            <w:r>
              <w:rPr>
                <w:rFonts w:hint="eastAsia" w:ascii="宋体" w:hAnsi="宋体" w:eastAsia="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0" w:hRule="atLeast"/>
          <w:jc w:val="center"/>
        </w:trPr>
        <w:tc>
          <w:tcPr>
            <w:tcW w:w="905" w:type="dxa"/>
            <w:noWrap w:val="0"/>
            <w:vAlign w:val="center"/>
          </w:tcPr>
          <w:p>
            <w:pPr>
              <w:jc w:val="center"/>
              <w:rPr>
                <w:rFonts w:hint="eastAsia" w:ascii="宋体" w:hAnsi="宋体"/>
                <w:i w:val="0"/>
                <w:iCs w:val="0"/>
                <w:color w:val="auto"/>
                <w:highlight w:val="none"/>
              </w:rPr>
            </w:pPr>
            <w:r>
              <w:rPr>
                <w:rFonts w:hint="eastAsia" w:ascii="宋体" w:hAnsi="宋体"/>
                <w:i w:val="0"/>
                <w:iCs w:val="0"/>
                <w:color w:val="auto"/>
                <w:highlight w:val="none"/>
              </w:rPr>
              <w:t>8</w:t>
            </w:r>
            <w:r>
              <w:rPr>
                <w:rFonts w:ascii="宋体" w:hAnsi="宋体"/>
                <w:i w:val="0"/>
                <w:iCs w:val="0"/>
                <w:color w:val="auto"/>
                <w:highlight w:val="none"/>
              </w:rPr>
              <w:t>.</w:t>
            </w:r>
            <w:r>
              <w:rPr>
                <w:rFonts w:hint="eastAsia" w:ascii="宋体" w:hAnsi="宋体"/>
                <w:i w:val="0"/>
                <w:iCs w:val="0"/>
                <w:color w:val="auto"/>
                <w:highlight w:val="none"/>
              </w:rPr>
              <w:t>4.</w:t>
            </w:r>
            <w:r>
              <w:rPr>
                <w:rFonts w:hint="eastAsia" w:ascii="宋体" w:hAnsi="宋体"/>
                <w:i w:val="0"/>
                <w:iCs w:val="0"/>
                <w:color w:val="auto"/>
                <w:highlight w:val="none"/>
                <w:lang w:val="en-US" w:eastAsia="zh-CN"/>
              </w:rPr>
              <w:t>1</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color w:val="auto"/>
                <w:highlight w:val="none"/>
                <w:lang w:eastAsia="zh-CN"/>
              </w:rPr>
              <w:t>推荐中标候选人</w:t>
            </w:r>
          </w:p>
        </w:tc>
        <w:tc>
          <w:tcPr>
            <w:tcW w:w="6835" w:type="dxa"/>
            <w:noWrap w:val="0"/>
            <w:vAlign w:val="center"/>
          </w:tcPr>
          <w:p>
            <w:pPr>
              <w:pStyle w:val="110"/>
              <w:spacing w:before="0" w:beforeAutospacing="0" w:after="0" w:afterAutospacing="0"/>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sz w:val="21"/>
                <w:szCs w:val="21"/>
                <w:highlight w:val="none"/>
              </w:rPr>
              <w:t>囗</w:t>
            </w:r>
            <w:r>
              <w:rPr>
                <w:rFonts w:hint="eastAsia" w:ascii="宋体" w:hAnsi="宋体" w:eastAsia="宋体" w:cs="宋体"/>
                <w:i w:val="0"/>
                <w:iCs w:val="0"/>
                <w:color w:val="auto"/>
                <w:kern w:val="2"/>
                <w:sz w:val="21"/>
                <w:highlight w:val="none"/>
                <w:lang w:eastAsia="zh-CN"/>
              </w:rPr>
              <w:t>本项目不使用评定分离，</w:t>
            </w:r>
            <w:r>
              <w:rPr>
                <w:rFonts w:hint="eastAsia" w:eastAsia="宋体" w:cs="宋体"/>
                <w:i w:val="0"/>
                <w:iCs w:val="0"/>
                <w:color w:val="auto"/>
                <w:kern w:val="2"/>
                <w:sz w:val="21"/>
                <w:highlight w:val="none"/>
                <w:lang w:eastAsia="zh-CN"/>
              </w:rPr>
              <w:t>招标人授权</w:t>
            </w:r>
            <w:r>
              <w:rPr>
                <w:rFonts w:hint="eastAsia" w:ascii="宋体" w:hAnsi="宋体" w:eastAsia="宋体" w:cs="宋体"/>
                <w:i w:val="0"/>
                <w:iCs w:val="0"/>
                <w:color w:val="auto"/>
                <w:kern w:val="2"/>
                <w:sz w:val="21"/>
                <w:highlight w:val="none"/>
                <w:lang w:eastAsia="zh-CN"/>
              </w:rPr>
              <w:t>评标委员会推荐中标候选人，</w:t>
            </w:r>
            <w:r>
              <w:rPr>
                <w:rFonts w:hint="eastAsia" w:ascii="宋体" w:hAnsi="宋体" w:eastAsia="宋体" w:cs="宋体"/>
                <w:color w:val="auto"/>
                <w:kern w:val="2"/>
                <w:sz w:val="21"/>
                <w:highlight w:val="none"/>
                <w:u w:val="none"/>
              </w:rPr>
              <w:t>推荐的中标候选人</w:t>
            </w:r>
            <w:r>
              <w:rPr>
                <w:rFonts w:hint="eastAsia" w:ascii="宋体" w:hAnsi="宋体" w:eastAsia="宋体" w:cs="宋体"/>
                <w:color w:val="auto"/>
                <w:kern w:val="2"/>
                <w:sz w:val="21"/>
                <w:szCs w:val="21"/>
                <w:highlight w:val="none"/>
                <w:u w:val="none"/>
              </w:rPr>
              <w:t>数</w:t>
            </w:r>
            <w:r>
              <w:rPr>
                <w:rFonts w:hint="eastAsia" w:ascii="宋体" w:hAnsi="宋体" w:eastAsia="宋体" w:cs="宋体"/>
                <w:color w:val="auto"/>
                <w:kern w:val="2"/>
                <w:sz w:val="21"/>
                <w:szCs w:val="21"/>
                <w:highlight w:val="none"/>
                <w:u w:val="none"/>
                <w:lang w:eastAsia="zh-CN"/>
              </w:rPr>
              <w:t>量不超过</w:t>
            </w:r>
            <w:r>
              <w:rPr>
                <w:rFonts w:hint="eastAsia" w:ascii="宋体" w:hAnsi="宋体" w:eastAsia="宋体" w:cs="宋体"/>
                <w:color w:val="auto"/>
                <w:kern w:val="2"/>
                <w:sz w:val="21"/>
                <w:szCs w:val="21"/>
                <w:highlight w:val="none"/>
                <w:u w:val="none"/>
                <w:lang w:val="en-US" w:eastAsia="zh-CN"/>
              </w:rPr>
              <w:t>3名。</w:t>
            </w:r>
          </w:p>
          <w:p>
            <w:pPr>
              <w:pStyle w:val="110"/>
              <w:spacing w:before="0" w:beforeAutospacing="0" w:after="0" w:afterAutospacing="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4"/>
                <w:highlight w:val="none"/>
              </w:rPr>
              <w:t>囗</w:t>
            </w:r>
            <w:r>
              <w:rPr>
                <w:rFonts w:hint="eastAsia" w:ascii="宋体" w:hAnsi="宋体" w:eastAsia="宋体" w:cs="宋体"/>
                <w:i w:val="0"/>
                <w:iCs w:val="0"/>
                <w:color w:val="auto"/>
                <w:kern w:val="2"/>
                <w:sz w:val="21"/>
                <w:highlight w:val="none"/>
                <w:lang w:eastAsia="zh-CN"/>
              </w:rPr>
              <w:t>本项目使用评定分离，</w:t>
            </w:r>
            <w:r>
              <w:rPr>
                <w:rFonts w:hint="eastAsia" w:ascii="宋体" w:hAnsi="宋体" w:eastAsia="宋体" w:cs="宋体"/>
                <w:i w:val="0"/>
                <w:iCs w:val="0"/>
                <w:color w:val="auto"/>
                <w:kern w:val="2"/>
                <w:sz w:val="21"/>
                <w:highlight w:val="none"/>
                <w:u w:val="none"/>
                <w:lang w:eastAsia="zh-CN"/>
              </w:rPr>
              <w:t>评标委员会</w:t>
            </w:r>
            <w:r>
              <w:rPr>
                <w:rFonts w:hint="eastAsia" w:eastAsia="宋体" w:cs="宋体"/>
                <w:i w:val="0"/>
                <w:iCs w:val="0"/>
                <w:color w:val="auto"/>
                <w:kern w:val="2"/>
                <w:sz w:val="21"/>
                <w:highlight w:val="none"/>
                <w:u w:val="none"/>
                <w:lang w:val="en-US" w:eastAsia="zh-CN"/>
              </w:rPr>
              <w:t>只推荐定标候选人，</w:t>
            </w:r>
            <w:r>
              <w:rPr>
                <w:rFonts w:hint="eastAsia" w:ascii="宋体" w:hAnsi="宋体" w:eastAsia="宋体" w:cs="宋体"/>
                <w:i w:val="0"/>
                <w:iCs w:val="0"/>
                <w:color w:val="auto"/>
                <w:kern w:val="2"/>
                <w:sz w:val="21"/>
                <w:highlight w:val="none"/>
                <w:lang w:eastAsia="zh-CN"/>
              </w:rPr>
              <w:t>不推荐中标候选人。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95" w:hRule="atLeast"/>
          <w:jc w:val="center"/>
        </w:trPr>
        <w:tc>
          <w:tcPr>
            <w:tcW w:w="905" w:type="dxa"/>
            <w:noWrap w:val="0"/>
            <w:vAlign w:val="center"/>
          </w:tcPr>
          <w:p>
            <w:pPr>
              <w:jc w:val="center"/>
              <w:rPr>
                <w:rFonts w:hint="eastAsia" w:ascii="宋体" w:hAnsi="宋体" w:eastAsia="宋体"/>
                <w:color w:val="auto"/>
                <w:highlight w:val="none"/>
                <w:lang w:val="en-US" w:eastAsia="zh-CN"/>
              </w:rPr>
            </w:pPr>
            <w:r>
              <w:rPr>
                <w:rFonts w:hint="eastAsia" w:ascii="宋体" w:hAnsi="宋体"/>
                <w:i w:val="0"/>
                <w:iCs w:val="0"/>
                <w:color w:val="auto"/>
                <w:highlight w:val="none"/>
              </w:rPr>
              <w:t>8</w:t>
            </w:r>
            <w:r>
              <w:rPr>
                <w:rFonts w:ascii="宋体" w:hAnsi="宋体"/>
                <w:i w:val="0"/>
                <w:iCs w:val="0"/>
                <w:color w:val="auto"/>
                <w:highlight w:val="none"/>
              </w:rPr>
              <w:t>.</w:t>
            </w:r>
            <w:r>
              <w:rPr>
                <w:rFonts w:hint="eastAsia" w:ascii="宋体" w:hAnsi="宋体"/>
                <w:i w:val="0"/>
                <w:iCs w:val="0"/>
                <w:color w:val="auto"/>
                <w:highlight w:val="none"/>
              </w:rPr>
              <w:t>4.</w:t>
            </w:r>
            <w:r>
              <w:rPr>
                <w:rFonts w:hint="eastAsia" w:ascii="宋体" w:hAnsi="宋体"/>
                <w:i w:val="0"/>
                <w:iCs w:val="0"/>
                <w:color w:val="auto"/>
                <w:highlight w:val="none"/>
                <w:lang w:val="en-US" w:eastAsia="zh-CN"/>
              </w:rPr>
              <w:t>2</w:t>
            </w:r>
          </w:p>
        </w:tc>
        <w:tc>
          <w:tcPr>
            <w:tcW w:w="1908" w:type="dxa"/>
            <w:gridSpan w:val="2"/>
            <w:noWrap w:val="0"/>
            <w:vAlign w:val="center"/>
          </w:tcPr>
          <w:p>
            <w:pPr>
              <w:rPr>
                <w:rFonts w:hint="eastAsia"/>
                <w:i w:val="0"/>
                <w:iCs w:val="0"/>
                <w:color w:val="auto"/>
                <w:kern w:val="2"/>
                <w:sz w:val="21"/>
                <w:szCs w:val="24"/>
                <w:highlight w:val="none"/>
                <w:lang w:val="en-US" w:eastAsia="zh-CN" w:bidi="ar-SA"/>
              </w:rPr>
            </w:pPr>
            <w:r>
              <w:rPr>
                <w:i w:val="0"/>
                <w:iCs w:val="0"/>
                <w:color w:val="auto"/>
                <w:highlight w:val="none"/>
              </w:rPr>
              <w:t>推荐定标候选人</w:t>
            </w:r>
          </w:p>
        </w:tc>
        <w:tc>
          <w:tcPr>
            <w:tcW w:w="6835" w:type="dxa"/>
            <w:noWrap w:val="0"/>
            <w:vAlign w:val="center"/>
          </w:tcPr>
          <w:p>
            <w:pP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囗</w:t>
            </w:r>
            <w:r>
              <w:rPr>
                <w:rFonts w:hint="eastAsia" w:ascii="宋体" w:hAnsi="宋体" w:eastAsia="宋体" w:cs="宋体"/>
                <w:i w:val="0"/>
                <w:iCs w:val="0"/>
                <w:color w:val="auto"/>
                <w:szCs w:val="21"/>
                <w:highlight w:val="none"/>
                <w:lang w:eastAsia="zh-CN"/>
              </w:rPr>
              <w:t>本项目不使用评定分离。</w:t>
            </w:r>
          </w:p>
          <w:p>
            <w:pPr>
              <w:rPr>
                <w:rFonts w:hint="eastAsia" w:ascii="宋体" w:hAnsi="宋体" w:eastAsia="宋体" w:cs="宋体"/>
                <w:i w:val="0"/>
                <w:iCs w:val="0"/>
                <w:color w:val="auto"/>
                <w:kern w:val="2"/>
                <w:sz w:val="21"/>
                <w:szCs w:val="24"/>
                <w:highlight w:val="none"/>
                <w:lang w:val="en-US" w:eastAsia="zh-CN" w:bidi="ar-SA"/>
              </w:rPr>
            </w:pPr>
            <w:r>
              <w:rPr>
                <w:rFonts w:hint="eastAsia" w:ascii="宋体" w:hAnsi="宋体" w:eastAsia="宋体" w:cs="宋体"/>
                <w:i w:val="0"/>
                <w:iCs w:val="0"/>
                <w:color w:val="auto"/>
                <w:szCs w:val="21"/>
                <w:highlight w:val="none"/>
              </w:rPr>
              <w:t>囗</w:t>
            </w:r>
            <w:r>
              <w:rPr>
                <w:rFonts w:hint="eastAsia" w:ascii="宋体" w:hAnsi="宋体" w:eastAsia="宋体" w:cs="宋体"/>
                <w:i w:val="0"/>
                <w:iCs w:val="0"/>
                <w:color w:val="auto"/>
                <w:highlight w:val="none"/>
                <w:lang w:eastAsia="zh-CN"/>
              </w:rPr>
              <w:t>本项目使用评定分离，评标委员会</w:t>
            </w:r>
            <w:r>
              <w:rPr>
                <w:rFonts w:hint="eastAsia" w:ascii="宋体" w:hAnsi="宋体" w:eastAsia="宋体" w:cs="宋体"/>
                <w:i w:val="0"/>
                <w:iCs w:val="0"/>
                <w:color w:val="auto"/>
                <w:highlight w:val="none"/>
              </w:rPr>
              <w:t>推荐定标候选人数量</w:t>
            </w:r>
            <w:r>
              <w:rPr>
                <w:rFonts w:hint="eastAsia" w:ascii="宋体" w:hAnsi="宋体" w:eastAsia="宋体" w:cs="宋体"/>
                <w:i w:val="0"/>
                <w:iCs w:val="0"/>
                <w:color w:val="auto"/>
                <w:highlight w:val="none"/>
                <w:lang w:eastAsia="zh-CN"/>
              </w:rPr>
              <w:t>不超过</w:t>
            </w:r>
            <w:r>
              <w:rPr>
                <w:rFonts w:hint="eastAsia" w:ascii="宋体" w:hAnsi="宋体" w:eastAsia="宋体" w:cs="宋体"/>
                <w:i w:val="0"/>
                <w:iCs w:val="0"/>
                <w:color w:val="auto"/>
                <w:highlight w:val="none"/>
              </w:rPr>
              <w:t>（</w:t>
            </w:r>
            <w:r>
              <w:rPr>
                <w:rFonts w:hint="eastAsia" w:ascii="宋体" w:hAnsi="宋体" w:eastAsia="宋体" w:cs="宋体"/>
                <w:i w:val="0"/>
                <w:iCs w:val="0"/>
                <w:color w:val="auto"/>
                <w:szCs w:val="21"/>
                <w:highlight w:val="none"/>
              </w:rPr>
              <w:t>囗</w:t>
            </w:r>
            <w:r>
              <w:rPr>
                <w:rFonts w:hint="eastAsia" w:ascii="宋体" w:hAnsi="宋体" w:eastAsia="宋体" w:cs="宋体"/>
                <w:i w:val="0"/>
                <w:iCs w:val="0"/>
                <w:color w:val="auto"/>
                <w:highlight w:val="none"/>
              </w:rPr>
              <w:t>3、</w:t>
            </w:r>
            <w:r>
              <w:rPr>
                <w:rFonts w:hint="eastAsia" w:ascii="宋体" w:hAnsi="宋体" w:eastAsia="宋体" w:cs="宋体"/>
                <w:i w:val="0"/>
                <w:iCs w:val="0"/>
                <w:color w:val="auto"/>
                <w:szCs w:val="21"/>
                <w:highlight w:val="none"/>
              </w:rPr>
              <w:t>囗</w:t>
            </w:r>
            <w:r>
              <w:rPr>
                <w:rFonts w:hint="eastAsia" w:ascii="宋体" w:hAnsi="宋体" w:eastAsia="宋体" w:cs="宋体"/>
                <w:i w:val="0"/>
                <w:iCs w:val="0"/>
                <w:color w:val="auto"/>
                <w:highlight w:val="none"/>
              </w:rPr>
              <w:t>4、</w:t>
            </w:r>
            <w:r>
              <w:rPr>
                <w:rFonts w:hint="eastAsia" w:ascii="宋体" w:hAnsi="宋体" w:eastAsia="宋体" w:cs="宋体"/>
                <w:i w:val="0"/>
                <w:iCs w:val="0"/>
                <w:color w:val="auto"/>
                <w:szCs w:val="21"/>
                <w:highlight w:val="none"/>
              </w:rPr>
              <w:t>囗</w:t>
            </w:r>
            <w:r>
              <w:rPr>
                <w:rFonts w:hint="eastAsia" w:ascii="宋体" w:hAnsi="宋体" w:eastAsia="宋体" w:cs="宋体"/>
                <w:i w:val="0"/>
                <w:iCs w:val="0"/>
                <w:color w:val="auto"/>
                <w:highlight w:val="none"/>
              </w:rPr>
              <w:t>5）名</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定标候选人不足上述数量时，则按实际数量推荐。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95" w:hRule="atLeast"/>
          <w:jc w:val="center"/>
        </w:trPr>
        <w:tc>
          <w:tcPr>
            <w:tcW w:w="905" w:type="dxa"/>
            <w:noWrap w:val="0"/>
            <w:vAlign w:val="center"/>
          </w:tcPr>
          <w:p>
            <w:pPr>
              <w:jc w:val="center"/>
              <w:rPr>
                <w:rFonts w:hint="default"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9.2.1</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i w:val="0"/>
                <w:iCs w:val="0"/>
                <w:color w:val="auto"/>
                <w:highlight w:val="none"/>
              </w:rPr>
              <w:t>定标前考察</w:t>
            </w:r>
          </w:p>
        </w:tc>
        <w:tc>
          <w:tcPr>
            <w:tcW w:w="6835" w:type="dxa"/>
            <w:noWrap w:val="0"/>
            <w:vAlign w:val="center"/>
          </w:tcPr>
          <w:p>
            <w:pPr>
              <w:pStyle w:val="110"/>
              <w:spacing w:before="0" w:beforeAutospacing="0" w:after="0" w:afterAutospacing="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sz w:val="21"/>
                <w:szCs w:val="21"/>
                <w:highlight w:val="none"/>
              </w:rPr>
              <w:t>囗</w:t>
            </w:r>
            <w:r>
              <w:rPr>
                <w:rFonts w:hint="eastAsia" w:ascii="宋体" w:hAnsi="宋体" w:eastAsia="宋体" w:cs="宋体"/>
                <w:i w:val="0"/>
                <w:iCs w:val="0"/>
                <w:color w:val="auto"/>
                <w:kern w:val="2"/>
                <w:sz w:val="21"/>
                <w:highlight w:val="none"/>
                <w:u w:val="none"/>
                <w:lang w:eastAsia="zh-CN"/>
              </w:rPr>
              <w:t>本项目</w:t>
            </w:r>
            <w:r>
              <w:rPr>
                <w:rFonts w:hint="eastAsia" w:ascii="宋体" w:hAnsi="宋体" w:eastAsia="宋体" w:cs="宋体"/>
                <w:i w:val="0"/>
                <w:iCs w:val="0"/>
                <w:color w:val="auto"/>
                <w:kern w:val="2"/>
                <w:sz w:val="21"/>
                <w:highlight w:val="none"/>
                <w:u w:val="none"/>
                <w:lang w:val="en-US" w:eastAsia="zh-CN"/>
              </w:rPr>
              <w:t>不</w:t>
            </w:r>
            <w:r>
              <w:rPr>
                <w:rFonts w:hint="eastAsia" w:ascii="宋体" w:hAnsi="宋体" w:eastAsia="宋体" w:cs="宋体"/>
                <w:i w:val="0"/>
                <w:iCs w:val="0"/>
                <w:color w:val="auto"/>
                <w:kern w:val="2"/>
                <w:sz w:val="21"/>
                <w:highlight w:val="none"/>
                <w:u w:val="none"/>
                <w:lang w:eastAsia="zh-CN"/>
              </w:rPr>
              <w:t>使用评定分离，</w:t>
            </w:r>
            <w:r>
              <w:rPr>
                <w:rFonts w:hint="eastAsia" w:ascii="宋体" w:hAnsi="宋体" w:eastAsia="宋体" w:cs="宋体"/>
                <w:i w:val="0"/>
                <w:iCs w:val="0"/>
                <w:color w:val="auto"/>
                <w:kern w:val="2"/>
                <w:sz w:val="21"/>
                <w:highlight w:val="none"/>
                <w:u w:val="none"/>
                <w:lang w:val="en-US" w:eastAsia="zh-CN"/>
              </w:rPr>
              <w:t>或</w:t>
            </w:r>
            <w:r>
              <w:rPr>
                <w:rFonts w:hint="eastAsia" w:ascii="宋体" w:hAnsi="宋体" w:eastAsia="宋体" w:cs="宋体"/>
                <w:i w:val="0"/>
                <w:iCs w:val="0"/>
                <w:color w:val="auto"/>
                <w:kern w:val="2"/>
                <w:sz w:val="21"/>
                <w:szCs w:val="21"/>
                <w:highlight w:val="none"/>
                <w:lang w:val="en-US" w:eastAsia="zh-CN"/>
              </w:rPr>
              <w:t>不启用</w:t>
            </w:r>
            <w:r>
              <w:rPr>
                <w:rFonts w:hint="eastAsia" w:ascii="宋体" w:hAnsi="宋体" w:eastAsia="宋体" w:cs="宋体"/>
                <w:i w:val="0"/>
                <w:iCs w:val="0"/>
                <w:color w:val="auto"/>
                <w:kern w:val="2"/>
                <w:sz w:val="21"/>
                <w:szCs w:val="21"/>
                <w:highlight w:val="none"/>
              </w:rPr>
              <w:t>考察</w:t>
            </w:r>
            <w:r>
              <w:rPr>
                <w:rFonts w:hint="eastAsia" w:ascii="宋体" w:hAnsi="宋体" w:eastAsia="宋体" w:cs="宋体"/>
                <w:i w:val="0"/>
                <w:iCs w:val="0"/>
                <w:color w:val="auto"/>
                <w:kern w:val="2"/>
                <w:sz w:val="21"/>
                <w:szCs w:val="21"/>
                <w:highlight w:val="none"/>
                <w:lang w:val="en-US" w:eastAsia="zh-CN"/>
              </w:rPr>
              <w:t>程序</w:t>
            </w:r>
            <w:r>
              <w:rPr>
                <w:rFonts w:hint="eastAsia" w:ascii="宋体" w:hAnsi="宋体" w:eastAsia="宋体" w:cs="宋体"/>
                <w:i w:val="0"/>
                <w:iCs w:val="0"/>
                <w:color w:val="auto"/>
                <w:kern w:val="2"/>
                <w:sz w:val="21"/>
                <w:szCs w:val="21"/>
                <w:highlight w:val="none"/>
              </w:rPr>
              <w:t>。</w:t>
            </w:r>
          </w:p>
          <w:p>
            <w:pPr>
              <w:pStyle w:val="110"/>
              <w:spacing w:before="0" w:beforeAutospacing="0" w:after="0" w:afterAutospacing="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囗</w:t>
            </w:r>
            <w:r>
              <w:rPr>
                <w:rFonts w:hint="eastAsia" w:ascii="宋体" w:hAnsi="宋体" w:eastAsia="宋体" w:cs="宋体"/>
                <w:i w:val="0"/>
                <w:iCs w:val="0"/>
                <w:color w:val="auto"/>
                <w:kern w:val="2"/>
                <w:sz w:val="21"/>
                <w:highlight w:val="none"/>
                <w:u w:val="none"/>
                <w:lang w:eastAsia="zh-CN"/>
              </w:rPr>
              <w:t>本项目使用评定分离，</w:t>
            </w:r>
            <w:r>
              <w:rPr>
                <w:rFonts w:hint="eastAsia" w:ascii="宋体" w:hAnsi="宋体" w:eastAsia="宋体" w:cs="宋体"/>
                <w:i w:val="0"/>
                <w:iCs w:val="0"/>
                <w:color w:val="auto"/>
                <w:kern w:val="2"/>
                <w:sz w:val="21"/>
                <w:szCs w:val="21"/>
                <w:highlight w:val="none"/>
              </w:rPr>
              <w:t>招标人根据</w:t>
            </w:r>
            <w:r>
              <w:rPr>
                <w:rFonts w:hint="eastAsia" w:ascii="宋体" w:hAnsi="宋体" w:eastAsia="宋体" w:cs="宋体"/>
                <w:i w:val="0"/>
                <w:iCs w:val="0"/>
                <w:color w:val="auto"/>
                <w:kern w:val="2"/>
                <w:sz w:val="21"/>
                <w:szCs w:val="21"/>
                <w:highlight w:val="none"/>
                <w:lang w:eastAsia="zh-CN"/>
              </w:rPr>
              <w:t>附表四的</w:t>
            </w:r>
            <w:r>
              <w:rPr>
                <w:rFonts w:hint="eastAsia" w:ascii="宋体" w:hAnsi="宋体" w:eastAsia="宋体" w:cs="宋体"/>
                <w:i w:val="0"/>
                <w:iCs w:val="0"/>
                <w:color w:val="auto"/>
                <w:kern w:val="2"/>
                <w:sz w:val="21"/>
                <w:szCs w:val="21"/>
                <w:highlight w:val="none"/>
              </w:rPr>
              <w:t>考察内容</w:t>
            </w:r>
            <w:r>
              <w:rPr>
                <w:rFonts w:hint="eastAsia" w:ascii="宋体" w:hAnsi="宋体" w:eastAsia="宋体" w:cs="宋体"/>
                <w:i w:val="0"/>
                <w:iCs w:val="0"/>
                <w:color w:val="auto"/>
                <w:kern w:val="2"/>
                <w:sz w:val="21"/>
                <w:szCs w:val="21"/>
                <w:highlight w:val="none"/>
                <w:lang w:eastAsia="zh-CN"/>
              </w:rPr>
              <w:t>组织考察工作并出具考察报告。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878" w:hRule="atLeast"/>
          <w:jc w:val="center"/>
        </w:trPr>
        <w:tc>
          <w:tcPr>
            <w:tcW w:w="905" w:type="dxa"/>
            <w:noWrap w:val="0"/>
            <w:vAlign w:val="center"/>
          </w:tcPr>
          <w:p>
            <w:pPr>
              <w:jc w:val="center"/>
              <w:rPr>
                <w:rFonts w:hint="default" w:ascii="宋体" w:hAnsi="宋体"/>
                <w:i w:val="0"/>
                <w:iCs w:val="0"/>
                <w:color w:val="auto"/>
                <w:highlight w:val="none"/>
                <w:lang w:val="en-US"/>
              </w:rPr>
            </w:pPr>
            <w:r>
              <w:rPr>
                <w:rFonts w:hint="default" w:ascii="宋体" w:hAnsi="宋体"/>
                <w:i w:val="0"/>
                <w:iCs w:val="0"/>
                <w:color w:val="auto"/>
                <w:highlight w:val="none"/>
                <w:lang w:val="en-US"/>
              </w:rPr>
              <w:t>9.2.2</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i w:val="0"/>
                <w:iCs w:val="0"/>
                <w:color w:val="auto"/>
                <w:highlight w:val="none"/>
              </w:rPr>
              <w:t>定标规则</w:t>
            </w:r>
          </w:p>
        </w:tc>
        <w:tc>
          <w:tcPr>
            <w:tcW w:w="6835" w:type="dxa"/>
            <w:noWrap w:val="0"/>
            <w:vAlign w:val="center"/>
          </w:tcPr>
          <w:p>
            <w:pPr>
              <w:rPr>
                <w:rFonts w:hint="eastAsia"/>
                <w:i w:val="0"/>
                <w:iCs w:val="0"/>
                <w:color w:val="auto"/>
                <w:sz w:val="21"/>
                <w:szCs w:val="21"/>
                <w:highlight w:val="none"/>
              </w:rPr>
            </w:pPr>
            <w:r>
              <w:rPr>
                <w:rFonts w:hint="eastAsia"/>
                <w:color w:val="auto"/>
                <w:sz w:val="21"/>
                <w:szCs w:val="21"/>
                <w:highlight w:val="none"/>
              </w:rPr>
              <w:t>囗</w:t>
            </w:r>
            <w:r>
              <w:rPr>
                <w:rFonts w:hint="eastAsia" w:ascii="Times New Roman" w:hAnsi="Times New Roman" w:eastAsia="宋体" w:cs="Times New Roman"/>
                <w:i w:val="0"/>
                <w:iCs w:val="0"/>
                <w:color w:val="auto"/>
                <w:kern w:val="2"/>
                <w:sz w:val="21"/>
                <w:highlight w:val="none"/>
                <w:u w:val="none"/>
                <w:lang w:eastAsia="zh-CN"/>
              </w:rPr>
              <w:t>本项目不使用评定分离。</w:t>
            </w:r>
          </w:p>
          <w:p>
            <w:pPr>
              <w:rPr>
                <w:rFonts w:hint="eastAsia" w:ascii="Tahoma" w:hAnsi="宋体" w:eastAsia="宋体"/>
                <w:i w:val="0"/>
                <w:iCs w:val="0"/>
                <w:color w:val="auto"/>
                <w:sz w:val="24"/>
                <w:szCs w:val="20"/>
                <w:highlight w:val="none"/>
              </w:rPr>
            </w:pPr>
            <w:r>
              <w:rPr>
                <w:rFonts w:hint="eastAsia"/>
                <w:color w:val="auto"/>
                <w:sz w:val="21"/>
                <w:szCs w:val="21"/>
                <w:highlight w:val="none"/>
              </w:rPr>
              <w:t>囗</w:t>
            </w:r>
            <w:r>
              <w:rPr>
                <w:rFonts w:hint="eastAsia" w:ascii="Times New Roman" w:hAnsi="Times New Roman" w:eastAsia="宋体" w:cs="Times New Roman"/>
                <w:i w:val="0"/>
                <w:iCs w:val="0"/>
                <w:color w:val="auto"/>
                <w:kern w:val="2"/>
                <w:sz w:val="21"/>
                <w:highlight w:val="none"/>
                <w:u w:val="none"/>
                <w:lang w:eastAsia="zh-CN"/>
              </w:rPr>
              <w:t>本项目使用评定分离。</w:t>
            </w:r>
            <w:r>
              <w:rPr>
                <w:rFonts w:hint="eastAsia" w:ascii="宋体" w:hAnsi="宋体" w:eastAsia="宋体" w:cs="Times New Roman"/>
                <w:i w:val="0"/>
                <w:iCs w:val="0"/>
                <w:color w:val="auto"/>
                <w:sz w:val="21"/>
                <w:szCs w:val="24"/>
                <w:highlight w:val="none"/>
                <w:lang w:eastAsia="zh-CN"/>
              </w:rPr>
              <w:t>（</w:t>
            </w:r>
            <w:r>
              <w:rPr>
                <w:rFonts w:hint="default" w:ascii="宋体" w:hAnsi="宋体" w:eastAsia="宋体" w:cs="Times New Roman"/>
                <w:i w:val="0"/>
                <w:iCs w:val="0"/>
                <w:color w:val="auto"/>
                <w:sz w:val="21"/>
                <w:szCs w:val="24"/>
                <w:highlight w:val="none"/>
              </w:rPr>
              <w:t>囗定量评价</w:t>
            </w:r>
            <w:r>
              <w:rPr>
                <w:rFonts w:ascii="宋体" w:hAnsi="宋体" w:eastAsia="宋体" w:cs="Times New Roman"/>
                <w:i w:val="0"/>
                <w:iCs w:val="0"/>
                <w:color w:val="auto"/>
                <w:sz w:val="21"/>
                <w:szCs w:val="24"/>
                <w:highlight w:val="none"/>
              </w:rPr>
              <w:t>定标法</w:t>
            </w:r>
            <w:r>
              <w:rPr>
                <w:rFonts w:hint="eastAsia" w:ascii="宋体" w:hAnsi="宋体" w:eastAsia="宋体" w:cs="Times New Roman"/>
                <w:i w:val="0"/>
                <w:iCs w:val="0"/>
                <w:color w:val="auto"/>
                <w:sz w:val="21"/>
                <w:szCs w:val="24"/>
                <w:highlight w:val="none"/>
                <w:lang w:eastAsia="zh-CN"/>
              </w:rPr>
              <w:t>、</w:t>
            </w:r>
            <w:r>
              <w:rPr>
                <w:rFonts w:hint="default" w:ascii="宋体" w:hAnsi="宋体" w:eastAsia="宋体" w:cs="Times New Roman"/>
                <w:i w:val="0"/>
                <w:iCs w:val="0"/>
                <w:color w:val="auto"/>
                <w:sz w:val="21"/>
                <w:szCs w:val="24"/>
                <w:highlight w:val="none"/>
              </w:rPr>
              <w:t>囗择优票决定标法</w:t>
            </w:r>
            <w:r>
              <w:rPr>
                <w:rFonts w:hint="eastAsia" w:ascii="宋体" w:hAnsi="宋体" w:eastAsia="宋体" w:cs="Times New Roman"/>
                <w:i w:val="0"/>
                <w:iCs w:val="0"/>
                <w:color w:val="auto"/>
                <w:sz w:val="21"/>
                <w:szCs w:val="24"/>
                <w:highlight w:val="none"/>
                <w:lang w:eastAsia="zh-CN"/>
              </w:rPr>
              <w:t>、</w:t>
            </w:r>
            <w:r>
              <w:rPr>
                <w:rFonts w:hint="default" w:ascii="宋体" w:hAnsi="宋体" w:eastAsia="宋体" w:cs="Times New Roman"/>
                <w:i w:val="0"/>
                <w:iCs w:val="0"/>
                <w:color w:val="auto"/>
                <w:sz w:val="21"/>
                <w:szCs w:val="24"/>
                <w:highlight w:val="none"/>
              </w:rPr>
              <w:t>囗逐轮淘汰票</w:t>
            </w:r>
            <w:r>
              <w:rPr>
                <w:rFonts w:ascii="宋体" w:hAnsi="宋体" w:eastAsia="宋体" w:cs="Times New Roman"/>
                <w:i w:val="0"/>
                <w:iCs w:val="0"/>
                <w:color w:val="auto"/>
                <w:sz w:val="21"/>
                <w:szCs w:val="24"/>
                <w:highlight w:val="none"/>
              </w:rPr>
              <w:t>决</w:t>
            </w:r>
            <w:r>
              <w:rPr>
                <w:rFonts w:hint="default" w:ascii="宋体" w:hAnsi="宋体" w:eastAsia="宋体" w:cs="Times New Roman"/>
                <w:i w:val="0"/>
                <w:iCs w:val="0"/>
                <w:color w:val="auto"/>
                <w:sz w:val="21"/>
                <w:szCs w:val="24"/>
                <w:highlight w:val="none"/>
              </w:rPr>
              <w:t>定标法</w:t>
            </w:r>
            <w:r>
              <w:rPr>
                <w:rFonts w:hint="eastAsia" w:ascii="宋体" w:hAnsi="宋体" w:eastAsia="宋体" w:cs="Times New Roman"/>
                <w:i w:val="0"/>
                <w:iCs w:val="0"/>
                <w:color w:val="auto"/>
                <w:sz w:val="21"/>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40" w:hRule="atLeast"/>
          <w:jc w:val="center"/>
        </w:trPr>
        <w:tc>
          <w:tcPr>
            <w:tcW w:w="905" w:type="dxa"/>
            <w:noWrap w:val="0"/>
            <w:vAlign w:val="center"/>
          </w:tcPr>
          <w:p>
            <w:pPr>
              <w:jc w:val="center"/>
              <w:rPr>
                <w:rFonts w:hint="default" w:ascii="宋体" w:hAnsi="宋体" w:eastAsia="宋体"/>
                <w:i w:val="0"/>
                <w:iCs w:val="0"/>
                <w:color w:val="auto"/>
                <w:highlight w:val="none"/>
                <w:lang w:val="en-US" w:eastAsia="zh-CN"/>
              </w:rPr>
            </w:pPr>
            <w:r>
              <w:rPr>
                <w:rFonts w:hint="default" w:ascii="宋体" w:hAnsi="宋体" w:eastAsia="宋体"/>
                <w:i w:val="0"/>
                <w:iCs w:val="0"/>
                <w:color w:val="auto"/>
                <w:highlight w:val="none"/>
                <w:lang w:val="en-US" w:eastAsia="zh-CN"/>
              </w:rPr>
              <w:t>9.2.3</w:t>
            </w:r>
          </w:p>
        </w:tc>
        <w:tc>
          <w:tcPr>
            <w:tcW w:w="1908" w:type="dxa"/>
            <w:gridSpan w:val="2"/>
            <w:noWrap w:val="0"/>
            <w:vAlign w:val="center"/>
          </w:tcPr>
          <w:p>
            <w:pPr>
              <w:rPr>
                <w:rFonts w:hint="eastAsia" w:ascii="宋体" w:hAnsi="宋体"/>
                <w:i w:val="0"/>
                <w:iCs w:val="0"/>
                <w:color w:val="auto"/>
                <w:highlight w:val="none"/>
              </w:rPr>
            </w:pPr>
            <w:r>
              <w:rPr>
                <w:rFonts w:hint="eastAsia" w:ascii="宋体" w:hAnsi="宋体"/>
                <w:i w:val="0"/>
                <w:iCs w:val="0"/>
                <w:color w:val="auto"/>
                <w:highlight w:val="none"/>
              </w:rPr>
              <w:t>定标委员会的组建</w:t>
            </w:r>
          </w:p>
        </w:tc>
        <w:tc>
          <w:tcPr>
            <w:tcW w:w="6835" w:type="dxa"/>
            <w:noWrap w:val="0"/>
            <w:vAlign w:val="center"/>
          </w:tcPr>
          <w:p>
            <w:pPr>
              <w:pStyle w:val="110"/>
              <w:spacing w:before="0" w:beforeAutospacing="0" w:after="0" w:afterAutospacing="0"/>
              <w:jc w:val="both"/>
              <w:rPr>
                <w:rFonts w:hint="eastAsia" w:ascii="Times New Roman" w:hAnsi="Times New Roman" w:eastAsia="宋体" w:cs="Times New Roman"/>
                <w:i w:val="0"/>
                <w:iCs w:val="0"/>
                <w:color w:val="auto"/>
                <w:kern w:val="2"/>
                <w:sz w:val="21"/>
                <w:szCs w:val="21"/>
                <w:highlight w:val="none"/>
                <w:u w:val="none"/>
                <w:lang w:eastAsia="zh-CN"/>
              </w:rPr>
            </w:pPr>
            <w:r>
              <w:rPr>
                <w:rFonts w:hint="eastAsia"/>
                <w:color w:val="auto"/>
                <w:sz w:val="21"/>
                <w:szCs w:val="21"/>
                <w:highlight w:val="none"/>
              </w:rPr>
              <w:t>囗</w:t>
            </w:r>
            <w:r>
              <w:rPr>
                <w:rFonts w:hint="eastAsia" w:ascii="Times New Roman" w:hAnsi="Times New Roman" w:eastAsia="宋体" w:cs="Times New Roman"/>
                <w:i w:val="0"/>
                <w:iCs w:val="0"/>
                <w:color w:val="auto"/>
                <w:kern w:val="2"/>
                <w:sz w:val="21"/>
                <w:highlight w:val="none"/>
                <w:u w:val="none"/>
                <w:lang w:eastAsia="zh-CN"/>
              </w:rPr>
              <w:t>本项目不使用评定分离，</w:t>
            </w:r>
            <w:r>
              <w:rPr>
                <w:rFonts w:hint="eastAsia"/>
                <w:i w:val="0"/>
                <w:iCs w:val="0"/>
                <w:color w:val="auto"/>
                <w:sz w:val="21"/>
                <w:szCs w:val="21"/>
                <w:highlight w:val="none"/>
                <w:lang w:eastAsia="zh-CN"/>
              </w:rPr>
              <w:t>不组建</w:t>
            </w:r>
            <w:r>
              <w:rPr>
                <w:rFonts w:hint="eastAsia" w:ascii="Times New Roman" w:hAnsi="Times New Roman" w:eastAsia="宋体" w:cs="Times New Roman"/>
                <w:i w:val="0"/>
                <w:iCs w:val="0"/>
                <w:color w:val="auto"/>
                <w:kern w:val="2"/>
                <w:sz w:val="21"/>
                <w:highlight w:val="none"/>
                <w:u w:val="none"/>
                <w:lang w:eastAsia="zh-CN"/>
              </w:rPr>
              <w:t>。</w:t>
            </w:r>
          </w:p>
          <w:p>
            <w:pPr>
              <w:rPr>
                <w:rFonts w:ascii="宋体" w:hAnsi="宋体"/>
                <w:i w:val="0"/>
                <w:iCs w:val="0"/>
                <w:color w:val="auto"/>
                <w:highlight w:val="none"/>
              </w:rPr>
            </w:pPr>
            <w:r>
              <w:rPr>
                <w:rFonts w:hint="eastAsia"/>
                <w:i w:val="0"/>
                <w:iCs w:val="0"/>
                <w:color w:val="auto"/>
                <w:sz w:val="21"/>
                <w:szCs w:val="21"/>
                <w:highlight w:val="none"/>
              </w:rPr>
              <w:t>囗</w:t>
            </w:r>
            <w:r>
              <w:rPr>
                <w:rFonts w:hint="eastAsia" w:ascii="Times New Roman" w:hAnsi="Times New Roman" w:eastAsia="宋体" w:cs="Times New Roman"/>
                <w:i w:val="0"/>
                <w:iCs w:val="0"/>
                <w:color w:val="auto"/>
                <w:kern w:val="2"/>
                <w:sz w:val="21"/>
                <w:highlight w:val="none"/>
                <w:u w:val="none"/>
                <w:lang w:eastAsia="zh-CN"/>
              </w:rPr>
              <w:t>本项目使用评定分离，</w:t>
            </w:r>
            <w:r>
              <w:rPr>
                <w:rFonts w:hint="eastAsia" w:ascii="宋体" w:hAnsi="宋体"/>
                <w:i w:val="0"/>
                <w:iCs w:val="0"/>
                <w:color w:val="auto"/>
                <w:highlight w:val="none"/>
              </w:rPr>
              <w:t>招标人组建</w:t>
            </w:r>
            <w:r>
              <w:rPr>
                <w:rFonts w:ascii="宋体" w:hAnsi="宋体"/>
                <w:i w:val="0"/>
                <w:iCs w:val="0"/>
                <w:color w:val="auto"/>
                <w:highlight w:val="none"/>
              </w:rPr>
              <w:t>定标委员会</w:t>
            </w:r>
            <w:r>
              <w:rPr>
                <w:rFonts w:hint="eastAsia" w:ascii="宋体" w:hAnsi="宋体"/>
                <w:i w:val="0"/>
                <w:iCs w:val="0"/>
                <w:color w:val="auto"/>
                <w:highlight w:val="none"/>
              </w:rPr>
              <w:t>，</w:t>
            </w:r>
            <w:r>
              <w:rPr>
                <w:rFonts w:ascii="宋体" w:hAnsi="宋体"/>
                <w:i w:val="0"/>
                <w:iCs w:val="0"/>
                <w:color w:val="auto"/>
                <w:highlight w:val="none"/>
              </w:rPr>
              <w:t>成员</w:t>
            </w:r>
            <w:r>
              <w:rPr>
                <w:rFonts w:hint="eastAsia" w:ascii="宋体" w:hAnsi="宋体"/>
                <w:i w:val="0"/>
                <w:iCs w:val="0"/>
                <w:color w:val="auto"/>
                <w:highlight w:val="none"/>
              </w:rPr>
              <w:t>为</w:t>
            </w:r>
            <w:r>
              <w:rPr>
                <w:rFonts w:hint="eastAsia" w:ascii="宋体" w:hAnsi="宋体"/>
                <w:i w:val="0"/>
                <w:iCs w:val="0"/>
                <w:color w:val="auto"/>
                <w:highlight w:val="none"/>
                <w:u w:val="single"/>
              </w:rPr>
              <w:t xml:space="preserve"> </w:t>
            </w:r>
            <w:r>
              <w:rPr>
                <w:rFonts w:ascii="宋体" w:hAnsi="宋体"/>
                <w:i w:val="0"/>
                <w:iCs w:val="0"/>
                <w:color w:val="auto"/>
                <w:highlight w:val="none"/>
                <w:u w:val="single"/>
              </w:rPr>
              <w:t xml:space="preserve">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人。</w:t>
            </w:r>
          </w:p>
          <w:p>
            <w:pPr>
              <w:ind w:hanging="1"/>
              <w:rPr>
                <w:rFonts w:hint="eastAsia"/>
                <w:i w:val="0"/>
                <w:iCs w:val="0"/>
                <w:color w:val="auto"/>
                <w:szCs w:val="21"/>
                <w:highlight w:val="none"/>
              </w:rPr>
            </w:pPr>
            <w:r>
              <w:rPr>
                <w:rFonts w:hint="eastAsia" w:ascii="宋体" w:hAnsi="宋体"/>
                <w:i w:val="0"/>
                <w:iCs w:val="0"/>
                <w:color w:val="auto"/>
                <w:highlight w:val="none"/>
              </w:rPr>
              <w:t>注</w:t>
            </w:r>
            <w:r>
              <w:rPr>
                <w:rFonts w:ascii="宋体" w:hAnsi="宋体"/>
                <w:i w:val="0"/>
                <w:iCs w:val="0"/>
                <w:color w:val="auto"/>
                <w:highlight w:val="none"/>
              </w:rPr>
              <w:t>：</w:t>
            </w:r>
            <w:r>
              <w:rPr>
                <w:rFonts w:hint="eastAsia" w:ascii="宋体" w:hAnsi="宋体"/>
                <w:i w:val="0"/>
                <w:iCs w:val="0"/>
                <w:color w:val="auto"/>
                <w:highlight w:val="none"/>
              </w:rPr>
              <w:t>成员数量为</w:t>
            </w:r>
            <w:r>
              <w:rPr>
                <w:rFonts w:hint="eastAsia" w:ascii="宋体" w:hAnsi="宋体"/>
                <w:i w:val="0"/>
                <w:iCs w:val="0"/>
                <w:color w:val="auto"/>
                <w:highlight w:val="none"/>
                <w:lang w:val="en-US" w:eastAsia="zh-CN"/>
              </w:rPr>
              <w:t>7</w:t>
            </w:r>
            <w:r>
              <w:rPr>
                <w:rFonts w:hint="eastAsia" w:ascii="宋体" w:hAnsi="宋体"/>
                <w:i w:val="0"/>
                <w:iCs w:val="0"/>
                <w:color w:val="auto"/>
                <w:highlight w:val="none"/>
              </w:rPr>
              <w:t>人以上单数</w:t>
            </w:r>
            <w:r>
              <w:rPr>
                <w:rFonts w:ascii="宋体" w:hAnsi="宋体"/>
                <w:i w:val="0"/>
                <w:iCs w:val="0"/>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739"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10.1.1</w:t>
            </w:r>
          </w:p>
        </w:tc>
        <w:tc>
          <w:tcPr>
            <w:tcW w:w="1908" w:type="dxa"/>
            <w:gridSpan w:val="2"/>
            <w:noWrap w:val="0"/>
            <w:vAlign w:val="center"/>
          </w:tcPr>
          <w:p>
            <w:pPr>
              <w:rPr>
                <w:rFonts w:hint="eastAsia"/>
                <w:color w:val="auto"/>
                <w:highlight w:val="none"/>
              </w:rPr>
            </w:pPr>
            <w:r>
              <w:rPr>
                <w:rFonts w:hint="eastAsia"/>
                <w:color w:val="auto"/>
                <w:highlight w:val="none"/>
              </w:rPr>
              <w:t>公示内容</w:t>
            </w:r>
          </w:p>
        </w:tc>
        <w:tc>
          <w:tcPr>
            <w:tcW w:w="6835" w:type="dxa"/>
            <w:noWrap w:val="0"/>
            <w:vAlign w:val="center"/>
          </w:tcPr>
          <w:p>
            <w:pPr>
              <w:autoSpaceDE w:val="0"/>
              <w:autoSpaceDN w:val="0"/>
              <w:adjustRightInd w:val="0"/>
              <w:rPr>
                <w:rFonts w:hint="eastAsia" w:ascii="宋体" w:hAnsi="宋体"/>
                <w:color w:val="auto"/>
                <w:szCs w:val="21"/>
                <w:highlight w:val="none"/>
              </w:rPr>
            </w:pPr>
            <w:r>
              <w:rPr>
                <w:rFonts w:hint="eastAsia" w:ascii="宋体" w:hAnsi="宋体"/>
                <w:color w:val="auto"/>
                <w:szCs w:val="21"/>
                <w:highlight w:val="none"/>
              </w:rPr>
              <w:t>1.中标候选人名称、投标报价、质量、工期；</w:t>
            </w:r>
          </w:p>
          <w:p>
            <w:pPr>
              <w:autoSpaceDE w:val="0"/>
              <w:autoSpaceDN w:val="0"/>
              <w:adjustRightInd w:val="0"/>
              <w:rPr>
                <w:rFonts w:hint="eastAsia" w:ascii="宋体" w:hAnsi="宋体"/>
                <w:color w:val="auto"/>
                <w:szCs w:val="21"/>
                <w:highlight w:val="none"/>
              </w:rPr>
            </w:pPr>
            <w:r>
              <w:rPr>
                <w:rFonts w:hint="eastAsia" w:ascii="宋体" w:hAnsi="宋体"/>
                <w:color w:val="auto"/>
                <w:szCs w:val="21"/>
                <w:highlight w:val="none"/>
              </w:rPr>
              <w:t>2.中标候选人按照招标文件要求承诺的项目负责人姓名及其相关证书名称和编号；</w:t>
            </w:r>
          </w:p>
          <w:p>
            <w:pPr>
              <w:autoSpaceDE w:val="0"/>
              <w:autoSpaceDN w:val="0"/>
              <w:adjustRightInd w:val="0"/>
              <w:rPr>
                <w:rFonts w:hint="eastAsia" w:ascii="宋体" w:hAnsi="宋体"/>
                <w:color w:val="auto"/>
                <w:szCs w:val="21"/>
                <w:highlight w:val="none"/>
              </w:rPr>
            </w:pPr>
            <w:r>
              <w:rPr>
                <w:rFonts w:hint="eastAsia" w:ascii="宋体" w:hAnsi="宋体"/>
                <w:color w:val="auto"/>
                <w:szCs w:val="21"/>
                <w:highlight w:val="none"/>
              </w:rPr>
              <w:t>3.中标候选人响应招标文件要求的资格能力条件；</w:t>
            </w:r>
          </w:p>
          <w:p>
            <w:pPr>
              <w:autoSpaceDE w:val="0"/>
              <w:autoSpaceDN w:val="0"/>
              <w:adjustRightInd w:val="0"/>
              <w:rPr>
                <w:rFonts w:hint="eastAsia" w:ascii="宋体" w:hAnsi="宋体"/>
                <w:color w:val="auto"/>
                <w:szCs w:val="21"/>
                <w:highlight w:val="none"/>
              </w:rPr>
            </w:pPr>
            <w:r>
              <w:rPr>
                <w:rFonts w:hint="eastAsia" w:ascii="宋体" w:hAnsi="宋体"/>
                <w:color w:val="auto"/>
                <w:szCs w:val="21"/>
                <w:highlight w:val="none"/>
              </w:rPr>
              <w:t>4.评标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报告；</w:t>
            </w:r>
          </w:p>
          <w:p>
            <w:pPr>
              <w:autoSpaceDE w:val="0"/>
              <w:autoSpaceDN w:val="0"/>
              <w:adjustRightInd w:val="0"/>
              <w:rPr>
                <w:rFonts w:hint="eastAsia" w:ascii="宋体" w:hAnsi="宋体"/>
                <w:color w:val="auto"/>
                <w:szCs w:val="21"/>
                <w:highlight w:val="none"/>
                <w:u w:val="single"/>
              </w:rPr>
            </w:pPr>
            <w:r>
              <w:rPr>
                <w:rFonts w:hint="eastAsia" w:ascii="宋体" w:hAnsi="宋体"/>
                <w:color w:val="auto"/>
                <w:szCs w:val="21"/>
                <w:highlight w:val="none"/>
              </w:rPr>
              <w:t>5.招标人认为需要公示的其他投标内容：</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005"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10.3.1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履约担保</w:t>
            </w:r>
          </w:p>
        </w:tc>
        <w:tc>
          <w:tcPr>
            <w:tcW w:w="6835" w:type="dxa"/>
            <w:noWrap w:val="0"/>
            <w:vAlign w:val="center"/>
          </w:tcPr>
          <w:p>
            <w:pPr>
              <w:rPr>
                <w:rFonts w:hint="eastAsia"/>
                <w:color w:val="auto"/>
                <w:highlight w:val="none"/>
              </w:rPr>
            </w:pPr>
            <w:r>
              <w:rPr>
                <w:rFonts w:hint="eastAsia"/>
                <w:color w:val="auto"/>
                <w:szCs w:val="21"/>
                <w:highlight w:val="none"/>
              </w:rPr>
              <w:t>囗</w:t>
            </w:r>
            <w:r>
              <w:rPr>
                <w:rFonts w:hint="eastAsia"/>
                <w:color w:val="auto"/>
                <w:highlight w:val="none"/>
              </w:rPr>
              <w:t>中标人无须提供履约担保。</w:t>
            </w:r>
          </w:p>
          <w:p>
            <w:pPr>
              <w:rPr>
                <w:rFonts w:hint="eastAsia" w:ascii="宋体" w:hAnsi="宋体" w:eastAsia="宋体" w:cs="宋体"/>
                <w:color w:val="auto"/>
                <w:highlight w:val="none"/>
              </w:rPr>
            </w:pPr>
            <w:r>
              <w:rPr>
                <w:rFonts w:hint="eastAsia"/>
                <w:color w:val="auto"/>
                <w:szCs w:val="21"/>
                <w:highlight w:val="none"/>
              </w:rPr>
              <w:t>囗</w:t>
            </w:r>
            <w:r>
              <w:rPr>
                <w:rFonts w:hint="eastAsia"/>
                <w:color w:val="auto"/>
                <w:highlight w:val="none"/>
              </w:rPr>
              <w:t>中标人须提供履约担保；</w:t>
            </w:r>
          </w:p>
          <w:p>
            <w:pPr>
              <w:rPr>
                <w:rFonts w:hint="eastAsia" w:ascii="宋体" w:hAnsi="宋体" w:eastAsia="宋体" w:cs="宋体"/>
                <w:color w:val="auto"/>
                <w:highlight w:val="none"/>
              </w:rPr>
            </w:pPr>
            <w:r>
              <w:rPr>
                <w:rFonts w:hint="eastAsia" w:ascii="宋体" w:hAnsi="宋体" w:eastAsia="宋体" w:cs="宋体"/>
                <w:color w:val="auto"/>
                <w:highlight w:val="none"/>
              </w:rPr>
              <w:t>保函形式：银行转账、银行保函或保证保险；</w:t>
            </w:r>
          </w:p>
          <w:p>
            <w:pPr>
              <w:rPr>
                <w:rFonts w:hint="eastAsia" w:ascii="宋体" w:hAnsi="宋体" w:eastAsia="宋体" w:cs="宋体"/>
                <w:color w:val="auto"/>
                <w:highlight w:val="none"/>
              </w:rPr>
            </w:pPr>
            <w:r>
              <w:rPr>
                <w:rFonts w:hint="eastAsia" w:ascii="宋体" w:hAnsi="宋体" w:eastAsia="宋体" w:cs="宋体"/>
                <w:color w:val="auto"/>
                <w:highlight w:val="none"/>
              </w:rPr>
              <w:t>保函金额：中标价的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%（不超过10%）；</w:t>
            </w:r>
          </w:p>
          <w:p>
            <w:pPr>
              <w:rPr>
                <w:rFonts w:hint="eastAsia"/>
                <w:color w:val="auto"/>
                <w:highlight w:val="none"/>
              </w:rPr>
            </w:pPr>
            <w:r>
              <w:rPr>
                <w:rFonts w:hint="eastAsia" w:ascii="宋体" w:hAnsi="宋体" w:eastAsia="宋体" w:cs="宋体"/>
                <w:color w:val="auto"/>
                <w:highlight w:val="none"/>
              </w:rPr>
              <w:t>银行保函必须为 中国境内的中国银行、建设银行、工商银行、农业银行或具有办理保函业务资格的其他</w:t>
            </w:r>
            <w:r>
              <w:rPr>
                <w:rFonts w:hint="eastAsia"/>
                <w:color w:val="auto"/>
                <w:highlight w:val="none"/>
              </w:rPr>
              <w:t>商业银行提供。</w:t>
            </w:r>
          </w:p>
          <w:p>
            <w:pPr>
              <w:rPr>
                <w:rFonts w:hint="eastAsia"/>
                <w:color w:val="auto"/>
                <w:highlight w:val="none"/>
              </w:rPr>
            </w:pPr>
            <w:r>
              <w:rPr>
                <w:rFonts w:hint="eastAsia"/>
                <w:color w:val="auto"/>
                <w:highlight w:val="none"/>
              </w:rPr>
              <w:t>开户银行：</w:t>
            </w:r>
            <w:r>
              <w:rPr>
                <w:rFonts w:hint="eastAsia"/>
                <w:color w:val="auto"/>
                <w:highlight w:val="none"/>
                <w:u w:val="single"/>
              </w:rPr>
              <w:t xml:space="preserve">                        </w:t>
            </w:r>
          </w:p>
          <w:p>
            <w:pPr>
              <w:rPr>
                <w:rFonts w:hint="eastAsia"/>
                <w:color w:val="auto"/>
                <w:highlight w:val="none"/>
              </w:rPr>
            </w:pPr>
            <w:r>
              <w:rPr>
                <w:rFonts w:hint="eastAsia"/>
                <w:color w:val="auto"/>
                <w:highlight w:val="none"/>
              </w:rPr>
              <w:t>账    户：</w:t>
            </w:r>
            <w:r>
              <w:rPr>
                <w:rFonts w:hint="eastAsia"/>
                <w:color w:val="auto"/>
                <w:highlight w:val="none"/>
                <w:u w:val="single"/>
              </w:rPr>
              <w:t xml:space="preserve">                        </w:t>
            </w:r>
          </w:p>
          <w:p>
            <w:pPr>
              <w:autoSpaceDE w:val="0"/>
              <w:autoSpaceDN w:val="0"/>
              <w:adjustRightInd w:val="0"/>
              <w:rPr>
                <w:rFonts w:hint="eastAsia" w:ascii="宋体" w:hAnsi="宋体"/>
                <w:color w:val="auto"/>
                <w:szCs w:val="21"/>
                <w:highlight w:val="none"/>
              </w:rPr>
            </w:pPr>
            <w:r>
              <w:rPr>
                <w:rFonts w:hint="eastAsia"/>
                <w:color w:val="auto"/>
                <w:highlight w:val="none"/>
              </w:rPr>
              <w:t>账    号</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utoSpaceDE w:val="0"/>
              <w:autoSpaceDN w:val="0"/>
              <w:adjustRightInd w:val="0"/>
              <w:rPr>
                <w:rFonts w:hint="eastAsia"/>
                <w:color w:val="auto"/>
                <w:highlight w:val="none"/>
              </w:rPr>
            </w:pPr>
            <w:r>
              <w:rPr>
                <w:rFonts w:hint="eastAsia" w:ascii="宋体" w:hAnsi="宋体"/>
                <w:color w:val="auto"/>
                <w:szCs w:val="21"/>
                <w:highlight w:val="none"/>
              </w:rPr>
              <w:t>注：采用保证保险的</w:t>
            </w:r>
            <w:r>
              <w:rPr>
                <w:rFonts w:hint="eastAsia" w:ascii="宋体" w:hAnsi="宋体"/>
                <w:color w:val="auto"/>
                <w:szCs w:val="21"/>
                <w:highlight w:val="none"/>
                <w:lang w:eastAsia="zh-CN"/>
              </w:rPr>
              <w:t>按照</w:t>
            </w:r>
            <w:r>
              <w:rPr>
                <w:rFonts w:hint="eastAsia" w:ascii="宋体" w:hAnsi="宋体"/>
                <w:color w:val="auto"/>
                <w:szCs w:val="21"/>
                <w:highlight w:val="none"/>
              </w:rPr>
              <w:t>《关于在全市房屋建筑和市政基础设施工程开展建设工程保证保险有关工作的通知》</w:t>
            </w:r>
            <w:r>
              <w:rPr>
                <w:rFonts w:hint="eastAsia" w:ascii="宋体" w:hAnsi="宋体"/>
                <w:color w:val="auto"/>
                <w:szCs w:val="21"/>
                <w:highlight w:val="none"/>
                <w:lang w:eastAsia="zh-CN"/>
              </w:rPr>
              <w:t>《关于江门市房屋市政工程开展建设工程保证保险有关工作的补充通知》</w:t>
            </w:r>
            <w:r>
              <w:rPr>
                <w:rFonts w:hint="eastAsia" w:ascii="宋体" w:hAnsi="宋体"/>
                <w:color w:val="auto"/>
                <w:szCs w:val="21"/>
                <w:highlight w:val="none"/>
              </w:rPr>
              <w:t>执行</w:t>
            </w:r>
            <w:r>
              <w:rPr>
                <w:rFonts w:hint="eastAsia" w:ascii="宋体" w:hAnsi="宋体"/>
                <w:color w:val="auto"/>
                <w:szCs w:val="21"/>
                <w:highlight w:val="none"/>
                <w:lang w:eastAsia="zh-CN"/>
              </w:rPr>
              <w:t>，如遇政策调整，按新政策执行</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01" w:hRule="atLeast"/>
          <w:jc w:val="center"/>
        </w:trPr>
        <w:tc>
          <w:tcPr>
            <w:tcW w:w="9648" w:type="dxa"/>
            <w:gridSpan w:val="4"/>
            <w:noWrap w:val="0"/>
            <w:vAlign w:val="center"/>
          </w:tcPr>
          <w:p>
            <w:pPr>
              <w:rPr>
                <w:rFonts w:hint="eastAsia" w:ascii="宋体" w:hAnsi="宋体"/>
                <w:color w:val="auto"/>
                <w:sz w:val="24"/>
                <w:highlight w:val="none"/>
              </w:rPr>
            </w:pPr>
            <w:r>
              <w:rPr>
                <w:rFonts w:hint="eastAsia" w:ascii="宋体" w:hAnsi="宋体"/>
                <w:color w:val="auto"/>
                <w:sz w:val="24"/>
                <w:highlight w:val="none"/>
              </w:rPr>
              <w:t>13.需要补充的其他内容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78" w:hRule="atLeast"/>
          <w:jc w:val="center"/>
        </w:trPr>
        <w:tc>
          <w:tcPr>
            <w:tcW w:w="9648" w:type="dxa"/>
            <w:gridSpan w:val="4"/>
            <w:noWrap w:val="0"/>
            <w:vAlign w:val="center"/>
          </w:tcPr>
          <w:p>
            <w:pPr>
              <w:rPr>
                <w:rFonts w:hint="eastAsia" w:ascii="宋体" w:hAnsi="宋体"/>
                <w:color w:val="auto"/>
                <w:highlight w:val="none"/>
              </w:rPr>
            </w:pPr>
            <w:r>
              <w:rPr>
                <w:rFonts w:hint="eastAsia" w:ascii="宋体" w:hAnsi="宋体"/>
                <w:color w:val="auto"/>
                <w:highlight w:val="none"/>
              </w:rPr>
              <w:t>13.1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1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13.1.1</w:t>
            </w:r>
          </w:p>
        </w:tc>
        <w:tc>
          <w:tcPr>
            <w:tcW w:w="1908" w:type="dxa"/>
            <w:gridSpan w:val="2"/>
            <w:noWrap w:val="0"/>
            <w:vAlign w:val="center"/>
          </w:tcPr>
          <w:p>
            <w:pPr>
              <w:rPr>
                <w:rFonts w:hint="eastAsia" w:ascii="宋体" w:hAnsi="宋体"/>
                <w:color w:val="auto"/>
                <w:highlight w:val="none"/>
              </w:rPr>
            </w:pPr>
            <w:r>
              <w:rPr>
                <w:rFonts w:hint="eastAsia" w:ascii="宋体" w:hAnsi="宋体"/>
                <w:color w:val="auto"/>
                <w:highlight w:val="none"/>
              </w:rPr>
              <w:t>类似项目</w:t>
            </w:r>
          </w:p>
        </w:tc>
        <w:tc>
          <w:tcPr>
            <w:tcW w:w="6835" w:type="dxa"/>
            <w:noWrap w:val="0"/>
            <w:vAlign w:val="center"/>
          </w:tcPr>
          <w:p>
            <w:pPr>
              <w:rPr>
                <w:rFonts w:hint="eastAsia" w:ascii="宋体" w:hAnsi="宋体"/>
                <w:color w:val="auto"/>
                <w:highlight w:val="none"/>
              </w:rPr>
            </w:pPr>
            <w:r>
              <w:rPr>
                <w:rFonts w:hint="eastAsia" w:ascii="宋体" w:hAnsi="宋体"/>
                <w:color w:val="auto"/>
                <w:highlight w:val="none"/>
              </w:rPr>
              <w:t>类似项目是指：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5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13.1.3</w:t>
            </w:r>
          </w:p>
        </w:tc>
        <w:tc>
          <w:tcPr>
            <w:tcW w:w="1908" w:type="dxa"/>
            <w:gridSpan w:val="2"/>
            <w:noWrap w:val="0"/>
            <w:vAlign w:val="center"/>
          </w:tcPr>
          <w:p>
            <w:pPr>
              <w:rPr>
                <w:rFonts w:hint="eastAsia" w:ascii="宋体" w:hAnsi="宋体"/>
                <w:color w:val="auto"/>
                <w:highlight w:val="none"/>
              </w:rPr>
            </w:pPr>
            <w:r>
              <w:rPr>
                <w:rFonts w:hint="eastAsia" w:ascii="宋体" w:hAnsi="宋体"/>
                <w:color w:val="auto"/>
                <w:spacing w:val="6"/>
                <w:szCs w:val="21"/>
                <w:highlight w:val="none"/>
              </w:rPr>
              <w:t>正式投标人</w:t>
            </w:r>
          </w:p>
        </w:tc>
        <w:tc>
          <w:tcPr>
            <w:tcW w:w="6835" w:type="dxa"/>
            <w:noWrap w:val="0"/>
            <w:vAlign w:val="center"/>
          </w:tcPr>
          <w:p>
            <w:pPr>
              <w:rPr>
                <w:rFonts w:hint="eastAsia" w:ascii="宋体" w:hAnsi="宋体"/>
                <w:color w:val="auto"/>
                <w:highlight w:val="none"/>
              </w:rPr>
            </w:pPr>
            <w:r>
              <w:rPr>
                <w:rFonts w:hint="eastAsia" w:ascii="宋体" w:hAnsi="宋体"/>
                <w:color w:val="auto"/>
                <w:spacing w:val="6"/>
                <w:szCs w:val="21"/>
                <w:highlight w:val="none"/>
              </w:rPr>
              <w:t>正式投标人是指：不存在“投标文件否决性条款摘要”第一部分第一项“判定投标文件不予受理的情形”规定的情形的投标人。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88" w:hRule="atLeast"/>
          <w:jc w:val="center"/>
        </w:trPr>
        <w:tc>
          <w:tcPr>
            <w:tcW w:w="9648" w:type="dxa"/>
            <w:gridSpan w:val="4"/>
            <w:noWrap w:val="0"/>
            <w:vAlign w:val="center"/>
          </w:tcPr>
          <w:p>
            <w:pPr>
              <w:rPr>
                <w:rFonts w:hint="eastAsia" w:ascii="宋体" w:hAnsi="宋体"/>
                <w:strike/>
                <w:color w:val="auto"/>
                <w:highlight w:val="none"/>
              </w:rPr>
            </w:pPr>
            <w:r>
              <w:rPr>
                <w:rFonts w:hint="eastAsia" w:ascii="宋体" w:hAnsi="宋体"/>
                <w:color w:val="auto"/>
                <w:highlight w:val="none"/>
              </w:rPr>
              <w:t>13.3 工程款支付担保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99" w:hRule="atLeast"/>
          <w:jc w:val="center"/>
        </w:trPr>
        <w:tc>
          <w:tcPr>
            <w:tcW w:w="905" w:type="dxa"/>
            <w:noWrap w:val="0"/>
            <w:vAlign w:val="center"/>
          </w:tcPr>
          <w:p>
            <w:pPr>
              <w:jc w:val="center"/>
              <w:rPr>
                <w:rFonts w:ascii="宋体" w:hAnsi="宋体"/>
                <w:color w:val="auto"/>
                <w:highlight w:val="none"/>
              </w:rPr>
            </w:pPr>
            <w:r>
              <w:rPr>
                <w:rFonts w:hint="eastAsia" w:ascii="宋体" w:hAnsi="宋体"/>
                <w:color w:val="auto"/>
                <w:highlight w:val="none"/>
              </w:rPr>
              <w:t>13.3.1</w:t>
            </w:r>
          </w:p>
        </w:tc>
        <w:tc>
          <w:tcPr>
            <w:tcW w:w="8743" w:type="dxa"/>
            <w:gridSpan w:val="3"/>
            <w:noWrap w:val="0"/>
            <w:vAlign w:val="center"/>
          </w:tcPr>
          <w:p>
            <w:pPr>
              <w:rPr>
                <w:rFonts w:hint="eastAsia" w:ascii="宋体" w:hAnsi="宋体"/>
                <w:color w:val="auto"/>
                <w:highlight w:val="none"/>
              </w:rPr>
            </w:pPr>
            <w:r>
              <w:rPr>
                <w:rFonts w:hint="eastAsia" w:ascii="宋体" w:hAnsi="宋体"/>
                <w:color w:val="auto"/>
                <w:highlight w:val="none"/>
              </w:rPr>
              <w:t>根据《保障农民工工资支付条例》，建设单位</w:t>
            </w:r>
            <w:r>
              <w:rPr>
                <w:rFonts w:hint="eastAsia" w:ascii="宋体" w:hAnsi="宋体"/>
                <w:color w:val="auto"/>
                <w:highlight w:val="none"/>
                <w:lang w:eastAsia="zh-CN"/>
              </w:rPr>
              <w:t>应</w:t>
            </w:r>
            <w:r>
              <w:rPr>
                <w:rFonts w:hint="eastAsia" w:ascii="宋体" w:hAnsi="宋体"/>
                <w:color w:val="auto"/>
                <w:highlight w:val="none"/>
              </w:rPr>
              <w:t>向中标人提供工程款支付担保。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00" w:hRule="atLeast"/>
          <w:jc w:val="center"/>
        </w:trPr>
        <w:tc>
          <w:tcPr>
            <w:tcW w:w="9648" w:type="dxa"/>
            <w:gridSpan w:val="4"/>
            <w:noWrap w:val="0"/>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13.4 安全生产责任险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00" w:hRule="atLeast"/>
          <w:jc w:val="center"/>
        </w:trPr>
        <w:tc>
          <w:tcPr>
            <w:tcW w:w="905"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13.4.1</w:t>
            </w:r>
          </w:p>
        </w:tc>
        <w:tc>
          <w:tcPr>
            <w:tcW w:w="8743" w:type="dxa"/>
            <w:gridSpan w:val="3"/>
            <w:noWrap w:val="0"/>
            <w:vAlign w:val="center"/>
          </w:tcPr>
          <w:p>
            <w:pPr>
              <w:rPr>
                <w:rFonts w:hint="eastAsia" w:ascii="宋体" w:hAnsi="宋体" w:eastAsia="宋体"/>
                <w:color w:val="auto"/>
                <w:highlight w:val="none"/>
                <w:lang w:eastAsia="zh-CN"/>
              </w:rPr>
            </w:pPr>
            <w:r>
              <w:rPr>
                <w:rFonts w:hint="eastAsia" w:ascii="宋体" w:hAnsi="宋体"/>
                <w:color w:val="auto"/>
                <w:highlight w:val="none"/>
                <w:lang w:eastAsia="zh-CN"/>
              </w:rPr>
              <w:t>根据《安全生产责任保险实施办法》，中标人应为本项目购买安全生产责任险。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00" w:hRule="atLeast"/>
          <w:jc w:val="center"/>
        </w:trPr>
        <w:tc>
          <w:tcPr>
            <w:tcW w:w="9648" w:type="dxa"/>
            <w:gridSpan w:val="4"/>
            <w:noWrap w:val="0"/>
            <w:vAlign w:val="center"/>
          </w:tcPr>
          <w:p>
            <w:pPr>
              <w:rPr>
                <w:rFonts w:hint="eastAsia" w:ascii="宋体" w:hAnsi="宋体"/>
                <w:color w:val="auto"/>
                <w:highlight w:val="none"/>
              </w:rPr>
            </w:pPr>
            <w:r>
              <w:rPr>
                <w:rFonts w:hint="eastAsia" w:ascii="宋体" w:hAnsi="宋体"/>
                <w:color w:val="auto"/>
                <w:highlight w:val="none"/>
              </w:rPr>
              <w:t>13.5 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11"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13.5.1</w:t>
            </w:r>
          </w:p>
        </w:tc>
        <w:tc>
          <w:tcPr>
            <w:tcW w:w="8743" w:type="dxa"/>
            <w:gridSpan w:val="3"/>
            <w:noWrap w:val="0"/>
            <w:vAlign w:val="center"/>
          </w:tcPr>
          <w:p>
            <w:pPr>
              <w:jc w:val="left"/>
              <w:rPr>
                <w:rFonts w:hint="eastAsia" w:ascii="宋体" w:hAnsi="宋体"/>
                <w:color w:val="auto"/>
                <w:highlight w:val="none"/>
              </w:rPr>
            </w:pPr>
            <w:r>
              <w:rPr>
                <w:rFonts w:hint="eastAsia" w:ascii="宋体" w:hAnsi="宋体"/>
                <w:color w:val="auto"/>
                <w:highlight w:val="none"/>
              </w:rPr>
              <w:t>在中标通知书发出前，招标人将中标候选人的情况在</w:t>
            </w:r>
            <w:r>
              <w:rPr>
                <w:rFonts w:hint="eastAsia" w:ascii="宋体" w:hAnsi="宋体"/>
                <w:color w:val="auto"/>
                <w:szCs w:val="21"/>
                <w:highlight w:val="none"/>
              </w:rPr>
              <w:t>广东省招标投标监管网、</w:t>
            </w:r>
            <w:r>
              <w:rPr>
                <w:rFonts w:hint="eastAsia" w:ascii="宋体" w:hAnsi="宋体"/>
                <w:color w:val="auto"/>
                <w:highlight w:val="none"/>
                <w:lang w:eastAsia="zh-CN"/>
              </w:rPr>
              <w:t>广东省</w:t>
            </w:r>
            <w:r>
              <w:rPr>
                <w:rFonts w:hint="eastAsia" w:ascii="宋体" w:hAnsi="宋体"/>
                <w:color w:val="auto"/>
                <w:highlight w:val="none"/>
              </w:rPr>
              <w:t>公共资源交易</w:t>
            </w:r>
            <w:r>
              <w:rPr>
                <w:rFonts w:hint="eastAsia" w:ascii="宋体" w:hAnsi="宋体"/>
                <w:color w:val="auto"/>
                <w:highlight w:val="none"/>
                <w:lang w:eastAsia="zh-CN"/>
              </w:rPr>
              <w:t>平台（江门市）</w:t>
            </w:r>
            <w:r>
              <w:rPr>
                <w:rFonts w:hint="eastAsia" w:ascii="宋体" w:hAnsi="宋体"/>
                <w:color w:val="auto"/>
                <w:highlight w:val="none"/>
              </w:rPr>
              <w:t>网站上予以公示，公示期</w:t>
            </w:r>
            <w:r>
              <w:rPr>
                <w:rFonts w:hint="eastAsia" w:ascii="宋体" w:hAnsi="宋体"/>
                <w:color w:val="auto"/>
                <w:szCs w:val="21"/>
                <w:highlight w:val="none"/>
              </w:rPr>
              <w:t>不得少于3日</w:t>
            </w:r>
            <w:r>
              <w:rPr>
                <w:rFonts w:hint="eastAsia" w:ascii="宋体" w:hAnsi="宋体"/>
                <w:color w:val="auto"/>
                <w:szCs w:val="21"/>
                <w:highlight w:val="none"/>
                <w:lang w:eastAsia="zh-CN"/>
              </w:rPr>
              <w:t>（遇周六、日或</w:t>
            </w:r>
            <w:r>
              <w:rPr>
                <w:rFonts w:hint="eastAsia" w:ascii="宋体" w:hAnsi="宋体"/>
                <w:color w:val="auto"/>
                <w:szCs w:val="21"/>
                <w:highlight w:val="none"/>
                <w:lang w:val="en-US" w:eastAsia="zh-CN"/>
              </w:rPr>
              <w:t>法定</w:t>
            </w:r>
            <w:r>
              <w:rPr>
                <w:rFonts w:hint="eastAsia" w:ascii="宋体" w:hAnsi="宋体"/>
                <w:color w:val="auto"/>
                <w:szCs w:val="21"/>
                <w:highlight w:val="none"/>
                <w:lang w:eastAsia="zh-CN"/>
              </w:rPr>
              <w:t>节假日相应顺延）</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62" w:hRule="atLeast"/>
          <w:jc w:val="center"/>
        </w:trPr>
        <w:tc>
          <w:tcPr>
            <w:tcW w:w="9648" w:type="dxa"/>
            <w:gridSpan w:val="4"/>
            <w:noWrap w:val="0"/>
            <w:vAlign w:val="center"/>
          </w:tcPr>
          <w:p>
            <w:pPr>
              <w:ind w:left="210" w:hanging="210" w:hangingChars="100"/>
              <w:rPr>
                <w:rFonts w:hint="eastAsia" w:ascii="宋体" w:hAnsi="宋体"/>
                <w:color w:val="auto"/>
                <w:highlight w:val="none"/>
              </w:rPr>
            </w:pPr>
            <w:r>
              <w:rPr>
                <w:rFonts w:hint="eastAsia" w:ascii="宋体" w:hAnsi="宋体"/>
                <w:color w:val="auto"/>
                <w:highlight w:val="none"/>
              </w:rPr>
              <w:t>13.6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24"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13.6.1</w:t>
            </w:r>
          </w:p>
        </w:tc>
        <w:tc>
          <w:tcPr>
            <w:tcW w:w="8743" w:type="dxa"/>
            <w:gridSpan w:val="3"/>
            <w:noWrap w:val="0"/>
            <w:vAlign w:val="center"/>
          </w:tcPr>
          <w:p>
            <w:pPr>
              <w:jc w:val="left"/>
              <w:rPr>
                <w:rFonts w:hint="eastAsia" w:ascii="宋体" w:hAnsi="宋体"/>
                <w:color w:val="auto"/>
                <w:highlight w:val="none"/>
              </w:rPr>
            </w:pPr>
            <w:r>
              <w:rPr>
                <w:rFonts w:hint="eastAsia" w:ascii="宋体" w:hAnsi="宋体"/>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63" w:hRule="atLeast"/>
          <w:jc w:val="center"/>
        </w:trPr>
        <w:tc>
          <w:tcPr>
            <w:tcW w:w="9648" w:type="dxa"/>
            <w:gridSpan w:val="4"/>
            <w:noWrap w:val="0"/>
            <w:vAlign w:val="center"/>
          </w:tcPr>
          <w:p>
            <w:pPr>
              <w:ind w:left="210" w:hanging="210" w:hangingChars="100"/>
              <w:rPr>
                <w:rFonts w:hint="eastAsia" w:ascii="宋体" w:hAnsi="宋体"/>
                <w:color w:val="auto"/>
                <w:highlight w:val="none"/>
              </w:rPr>
            </w:pPr>
            <w:r>
              <w:rPr>
                <w:rFonts w:hint="eastAsia" w:ascii="宋体" w:hAnsi="宋体"/>
                <w:color w:val="auto"/>
                <w:highlight w:val="none"/>
              </w:rPr>
              <w:t>13.7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68"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13.7.1</w:t>
            </w:r>
          </w:p>
        </w:tc>
        <w:tc>
          <w:tcPr>
            <w:tcW w:w="8743" w:type="dxa"/>
            <w:gridSpan w:val="3"/>
            <w:noWrap w:val="0"/>
            <w:vAlign w:val="center"/>
          </w:tcPr>
          <w:p>
            <w:pPr>
              <w:jc w:val="left"/>
              <w:rPr>
                <w:rFonts w:hint="eastAsia" w:ascii="宋体" w:hAnsi="宋体"/>
                <w:color w:val="auto"/>
                <w:highlight w:val="none"/>
              </w:rPr>
            </w:pPr>
            <w:r>
              <w:rPr>
                <w:rFonts w:hint="eastAsia" w:ascii="宋体" w:hAnsi="宋体"/>
                <w:color w:val="auto"/>
                <w:highlight w:val="none"/>
              </w:rPr>
              <w:t>构成招标文件组成部分的“合同条款”“技术标准和要求”和“工程量清单”等章节中出现的措辞“发包人”和“承包人”，在招标投标阶段应当分别按“招标人”和“投标人”进行理解。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77" w:hRule="atLeast"/>
          <w:jc w:val="center"/>
        </w:trPr>
        <w:tc>
          <w:tcPr>
            <w:tcW w:w="9648" w:type="dxa"/>
            <w:gridSpan w:val="4"/>
            <w:noWrap w:val="0"/>
            <w:vAlign w:val="center"/>
          </w:tcPr>
          <w:p>
            <w:pPr>
              <w:ind w:left="210" w:hanging="210" w:hangingChars="100"/>
              <w:rPr>
                <w:rFonts w:hint="eastAsia" w:ascii="宋体" w:hAnsi="宋体"/>
                <w:color w:val="auto"/>
                <w:highlight w:val="none"/>
              </w:rPr>
            </w:pPr>
            <w:r>
              <w:rPr>
                <w:rFonts w:hint="eastAsia" w:ascii="宋体" w:hAnsi="宋体"/>
                <w:color w:val="auto"/>
                <w:highlight w:val="none"/>
              </w:rPr>
              <w:t>13.8 行政监督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55"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13.8.1</w:t>
            </w:r>
          </w:p>
        </w:tc>
        <w:tc>
          <w:tcPr>
            <w:tcW w:w="8743" w:type="dxa"/>
            <w:gridSpan w:val="3"/>
            <w:noWrap w:val="0"/>
            <w:vAlign w:val="center"/>
          </w:tcPr>
          <w:p>
            <w:pPr>
              <w:jc w:val="left"/>
              <w:rPr>
                <w:rFonts w:hint="eastAsia" w:ascii="宋体" w:hAnsi="宋体"/>
                <w:color w:val="auto"/>
                <w:highlight w:val="none"/>
              </w:rPr>
            </w:pPr>
            <w:r>
              <w:rPr>
                <w:rFonts w:hint="eastAsia" w:ascii="宋体" w:hAnsi="宋体"/>
                <w:color w:val="auto"/>
                <w:highlight w:val="none"/>
              </w:rPr>
              <w:t>本项目的招标投标活动及其相关当事人受有管辖权的建设工程招标投标行政监督部门依法实施监督。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05" w:hRule="atLeast"/>
          <w:jc w:val="center"/>
        </w:trPr>
        <w:tc>
          <w:tcPr>
            <w:tcW w:w="9648" w:type="dxa"/>
            <w:gridSpan w:val="4"/>
            <w:noWrap w:val="0"/>
            <w:vAlign w:val="center"/>
          </w:tcPr>
          <w:p>
            <w:pPr>
              <w:ind w:left="210" w:hanging="210" w:hangingChars="100"/>
              <w:rPr>
                <w:rFonts w:hint="eastAsia" w:ascii="宋体" w:hAnsi="宋体"/>
                <w:color w:val="auto"/>
                <w:highlight w:val="none"/>
              </w:rPr>
            </w:pPr>
            <w:r>
              <w:rPr>
                <w:rFonts w:hint="eastAsia" w:ascii="宋体" w:hAnsi="宋体"/>
                <w:color w:val="auto"/>
                <w:highlight w:val="none"/>
              </w:rPr>
              <w:t>13.9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876"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13.9.1</w:t>
            </w:r>
          </w:p>
        </w:tc>
        <w:tc>
          <w:tcPr>
            <w:tcW w:w="8743" w:type="dxa"/>
            <w:gridSpan w:val="3"/>
            <w:noWrap w:val="0"/>
            <w:vAlign w:val="center"/>
          </w:tcPr>
          <w:p>
            <w:pPr>
              <w:jc w:val="left"/>
              <w:rPr>
                <w:rFonts w:hint="eastAsia" w:ascii="宋体" w:hAnsi="宋体"/>
                <w:color w:val="auto"/>
                <w:highlight w:val="none"/>
              </w:rPr>
            </w:pPr>
            <w:r>
              <w:rPr>
                <w:rFonts w:hint="eastAsia" w:ascii="宋体" w:hAnsi="宋体"/>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文件否决性条款摘要、投标人须知、评标办法、定</w:t>
            </w:r>
            <w:r>
              <w:rPr>
                <w:rFonts w:ascii="宋体" w:hAnsi="宋体"/>
                <w:color w:val="auto"/>
                <w:highlight w:val="none"/>
              </w:rPr>
              <w:t>标办法、</w:t>
            </w:r>
            <w:r>
              <w:rPr>
                <w:rFonts w:hint="eastAsia" w:ascii="宋体" w:hAnsi="宋体"/>
                <w:color w:val="auto"/>
                <w:highlight w:val="none"/>
              </w:rPr>
              <w:t>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37" w:hRule="atLeast"/>
          <w:jc w:val="center"/>
        </w:trPr>
        <w:tc>
          <w:tcPr>
            <w:tcW w:w="9648" w:type="dxa"/>
            <w:gridSpan w:val="4"/>
            <w:noWrap w:val="0"/>
            <w:vAlign w:val="center"/>
          </w:tcPr>
          <w:p>
            <w:pPr>
              <w:pStyle w:val="110"/>
              <w:spacing w:before="0" w:beforeAutospacing="0" w:after="0" w:afterAutospacing="0"/>
              <w:jc w:val="both"/>
              <w:rPr>
                <w:rFonts w:hint="eastAsia"/>
                <w:color w:val="auto"/>
                <w:sz w:val="21"/>
                <w:szCs w:val="21"/>
                <w:highlight w:val="none"/>
              </w:rPr>
            </w:pPr>
            <w:r>
              <w:rPr>
                <w:rFonts w:hint="eastAsia"/>
                <w:color w:val="auto"/>
                <w:sz w:val="21"/>
                <w:szCs w:val="21"/>
                <w:highlight w:val="none"/>
              </w:rPr>
              <w:t>13.11 材料</w:t>
            </w:r>
            <w:r>
              <w:rPr>
                <w:rFonts w:hint="eastAsia"/>
                <w:color w:val="auto"/>
                <w:sz w:val="21"/>
                <w:szCs w:val="21"/>
                <w:highlight w:val="none"/>
                <w:lang w:val="en-US" w:eastAsia="zh-CN"/>
              </w:rPr>
              <w:t>品牌标准</w:t>
            </w:r>
            <w:r>
              <w:rPr>
                <w:rFonts w:hint="eastAsia"/>
                <w:color w:val="auto"/>
                <w:sz w:val="21"/>
                <w:szCs w:val="21"/>
                <w:highlight w:val="none"/>
              </w:rPr>
              <w:t>及其报价规定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987" w:hRule="atLeast"/>
          <w:jc w:val="center"/>
        </w:trPr>
        <w:tc>
          <w:tcPr>
            <w:tcW w:w="905" w:type="dxa"/>
            <w:noWrap w:val="0"/>
            <w:vAlign w:val="center"/>
          </w:tcPr>
          <w:p>
            <w:pPr>
              <w:jc w:val="center"/>
              <w:rPr>
                <w:rFonts w:hint="eastAsia" w:ascii="宋体" w:hAnsi="宋体"/>
                <w:color w:val="auto"/>
                <w:highlight w:val="none"/>
              </w:rPr>
            </w:pPr>
            <w:r>
              <w:rPr>
                <w:rFonts w:hint="eastAsia" w:ascii="宋体" w:hAnsi="宋体"/>
                <w:color w:val="auto"/>
                <w:highlight w:val="none"/>
              </w:rPr>
              <w:t>13.11.1</w:t>
            </w:r>
          </w:p>
        </w:tc>
        <w:tc>
          <w:tcPr>
            <w:tcW w:w="1105"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材料</w:t>
            </w:r>
            <w:r>
              <w:rPr>
                <w:rFonts w:hint="eastAsia" w:ascii="宋体" w:hAnsi="宋体"/>
                <w:color w:val="auto"/>
                <w:szCs w:val="21"/>
                <w:highlight w:val="none"/>
                <w:lang w:val="en-US" w:eastAsia="zh-CN"/>
              </w:rPr>
              <w:t>品牌标准</w:t>
            </w:r>
            <w:r>
              <w:rPr>
                <w:rFonts w:hint="eastAsia" w:ascii="宋体" w:hAnsi="宋体"/>
                <w:color w:val="auto"/>
                <w:szCs w:val="21"/>
                <w:highlight w:val="none"/>
              </w:rPr>
              <w:t>及其报价规定</w:t>
            </w:r>
          </w:p>
        </w:tc>
        <w:tc>
          <w:tcPr>
            <w:tcW w:w="7638" w:type="dxa"/>
            <w:gridSpan w:val="2"/>
            <w:noWrap w:val="0"/>
            <w:tcMar>
              <w:top w:w="28" w:type="dxa"/>
              <w:left w:w="113" w:type="dxa"/>
              <w:bottom w:w="28" w:type="dxa"/>
              <w:right w:w="113" w:type="dxa"/>
            </w:tcMar>
            <w:vAlign w:val="center"/>
          </w:tcPr>
          <w:p>
            <w:pPr>
              <w:pStyle w:val="17"/>
              <w:spacing w:line="240" w:lineRule="auto"/>
              <w:ind w:left="-73" w:leftChars="-35" w:firstLine="0" w:firstLineChars="0"/>
              <w:jc w:val="center"/>
              <w:rPr>
                <w:rFonts w:hint="eastAsia" w:ascii="宋体" w:eastAsia="宋体" w:cs="Times New Roman"/>
                <w:color w:val="auto"/>
                <w:spacing w:val="0"/>
                <w:kern w:val="2"/>
                <w:sz w:val="21"/>
                <w:szCs w:val="21"/>
                <w:highlight w:val="none"/>
              </w:rPr>
            </w:pPr>
            <w:r>
              <w:rPr>
                <w:rFonts w:hint="eastAsia" w:ascii="宋体" w:eastAsia="宋体" w:cs="Times New Roman"/>
                <w:color w:val="auto"/>
                <w:spacing w:val="0"/>
                <w:kern w:val="2"/>
                <w:sz w:val="21"/>
                <w:szCs w:val="21"/>
                <w:highlight w:val="none"/>
              </w:rPr>
              <w:t>参考品牌</w:t>
            </w:r>
            <w:r>
              <w:rPr>
                <w:rFonts w:hint="eastAsia" w:ascii="宋体" w:eastAsia="宋体" w:cs="Times New Roman"/>
                <w:color w:val="auto"/>
                <w:spacing w:val="0"/>
                <w:kern w:val="2"/>
                <w:sz w:val="21"/>
                <w:szCs w:val="21"/>
                <w:highlight w:val="none"/>
                <w:lang w:eastAsia="zh-CN"/>
              </w:rPr>
              <w:t>标准</w:t>
            </w:r>
          </w:p>
          <w:tbl>
            <w:tblPr>
              <w:tblStyle w:val="42"/>
              <w:tblW w:w="7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12"/>
              <w:gridCol w:w="1380"/>
              <w:gridCol w:w="1880"/>
              <w:gridCol w:w="1041"/>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blHeader/>
                <w:jc w:val="center"/>
              </w:trPr>
              <w:tc>
                <w:tcPr>
                  <w:tcW w:w="739"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112"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材料名称</w:t>
                  </w:r>
                </w:p>
              </w:tc>
              <w:tc>
                <w:tcPr>
                  <w:tcW w:w="1380"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规格、型号</w:t>
                  </w:r>
                </w:p>
              </w:tc>
              <w:tc>
                <w:tcPr>
                  <w:tcW w:w="1880"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参考品牌或生产商</w:t>
                  </w:r>
                </w:p>
              </w:tc>
              <w:tc>
                <w:tcPr>
                  <w:tcW w:w="1041"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质量要求</w:t>
                  </w:r>
                </w:p>
              </w:tc>
              <w:tc>
                <w:tcPr>
                  <w:tcW w:w="1041" w:type="dxa"/>
                  <w:noWrap w:val="0"/>
                  <w:vAlign w:val="center"/>
                </w:tcPr>
                <w:p>
                  <w:pPr>
                    <w:pStyle w:val="17"/>
                    <w:spacing w:line="240" w:lineRule="auto"/>
                    <w:ind w:left="0" w:leftChars="0" w:firstLine="0"/>
                    <w:jc w:val="center"/>
                    <w:rPr>
                      <w:rFonts w:hint="eastAsia" w:ascii="宋体" w:hAnsi="宋体" w:eastAsia="宋体" w:cs="宋体"/>
                      <w:color w:val="auto"/>
                      <w:sz w:val="18"/>
                      <w:szCs w:val="18"/>
                      <w:highlight w:val="none"/>
                    </w:rPr>
                  </w:pPr>
                  <w:r>
                    <w:rPr>
                      <w:rFonts w:hint="default" w:ascii="Arial" w:hAnsi="Arial" w:eastAsia="宋体" w:cs="Arial"/>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739" w:type="dxa"/>
                  <w:noWrap w:val="0"/>
                  <w:vAlign w:val="center"/>
                </w:tcPr>
                <w:p>
                  <w:pPr>
                    <w:pStyle w:val="17"/>
                    <w:ind w:left="-73" w:leftChars="-35" w:firstLine="424" w:firstLineChars="208"/>
                    <w:jc w:val="left"/>
                    <w:rPr>
                      <w:rFonts w:hint="eastAsia" w:ascii="宋体" w:eastAsia="宋体" w:cs="Times New Roman"/>
                      <w:color w:val="auto"/>
                      <w:sz w:val="18"/>
                      <w:szCs w:val="18"/>
                      <w:highlight w:val="none"/>
                    </w:rPr>
                  </w:pPr>
                </w:p>
              </w:tc>
              <w:tc>
                <w:tcPr>
                  <w:tcW w:w="1112" w:type="dxa"/>
                  <w:noWrap w:val="0"/>
                  <w:vAlign w:val="center"/>
                </w:tcPr>
                <w:p>
                  <w:pPr>
                    <w:pStyle w:val="17"/>
                    <w:ind w:left="-73" w:leftChars="-35" w:firstLine="424" w:firstLineChars="208"/>
                    <w:jc w:val="left"/>
                    <w:rPr>
                      <w:rFonts w:hint="eastAsia" w:ascii="宋体" w:eastAsia="宋体" w:cs="Times New Roman"/>
                      <w:color w:val="auto"/>
                      <w:sz w:val="18"/>
                      <w:szCs w:val="18"/>
                      <w:highlight w:val="none"/>
                    </w:rPr>
                  </w:pPr>
                </w:p>
              </w:tc>
              <w:tc>
                <w:tcPr>
                  <w:tcW w:w="1380" w:type="dxa"/>
                  <w:noWrap w:val="0"/>
                  <w:vAlign w:val="center"/>
                </w:tcPr>
                <w:p>
                  <w:pPr>
                    <w:pStyle w:val="17"/>
                    <w:ind w:left="-73" w:leftChars="-35" w:firstLine="424" w:firstLineChars="208"/>
                    <w:jc w:val="left"/>
                    <w:rPr>
                      <w:rFonts w:ascii="宋体" w:eastAsia="宋体" w:cs="Times New Roman"/>
                      <w:color w:val="auto"/>
                      <w:sz w:val="18"/>
                      <w:szCs w:val="18"/>
                      <w:highlight w:val="none"/>
                    </w:rPr>
                  </w:pPr>
                </w:p>
              </w:tc>
              <w:tc>
                <w:tcPr>
                  <w:tcW w:w="1880" w:type="dxa"/>
                  <w:noWrap w:val="0"/>
                  <w:vAlign w:val="center"/>
                </w:tcPr>
                <w:p>
                  <w:pPr>
                    <w:pStyle w:val="17"/>
                    <w:ind w:left="-73" w:leftChars="-35" w:firstLine="424" w:firstLineChars="208"/>
                    <w:jc w:val="left"/>
                    <w:rPr>
                      <w:rFonts w:hint="eastAsia" w:ascii="宋体" w:eastAsia="宋体" w:cs="Times New Roman"/>
                      <w:color w:val="auto"/>
                      <w:sz w:val="18"/>
                      <w:szCs w:val="18"/>
                      <w:highlight w:val="none"/>
                    </w:rPr>
                  </w:pPr>
                </w:p>
              </w:tc>
              <w:tc>
                <w:tcPr>
                  <w:tcW w:w="1041" w:type="dxa"/>
                  <w:noWrap w:val="0"/>
                  <w:vAlign w:val="center"/>
                </w:tcPr>
                <w:p>
                  <w:pPr>
                    <w:pStyle w:val="17"/>
                    <w:ind w:left="-73" w:leftChars="-35" w:firstLine="424" w:firstLineChars="208"/>
                    <w:jc w:val="left"/>
                    <w:rPr>
                      <w:rFonts w:hint="eastAsia" w:ascii="宋体" w:eastAsia="宋体" w:cs="Times New Roman"/>
                      <w:color w:val="auto"/>
                      <w:sz w:val="18"/>
                      <w:szCs w:val="18"/>
                      <w:highlight w:val="none"/>
                    </w:rPr>
                  </w:pPr>
                </w:p>
              </w:tc>
              <w:tc>
                <w:tcPr>
                  <w:tcW w:w="1041" w:type="dxa"/>
                  <w:noWrap w:val="0"/>
                  <w:vAlign w:val="center"/>
                </w:tcPr>
                <w:p>
                  <w:pPr>
                    <w:pStyle w:val="17"/>
                    <w:ind w:firstLine="0"/>
                    <w:jc w:val="left"/>
                    <w:rPr>
                      <w:rFonts w:hint="eastAsia" w:ascii="宋体" w:eastAsia="宋体" w:cs="Times New Roman"/>
                      <w:color w:val="auto"/>
                      <w:sz w:val="18"/>
                      <w:szCs w:val="18"/>
                      <w:highlight w:val="none"/>
                    </w:rPr>
                  </w:pPr>
                </w:p>
              </w:tc>
            </w:tr>
          </w:tbl>
          <w:p>
            <w:pPr>
              <w:ind w:left="-73" w:leftChars="-35"/>
              <w:rPr>
                <w:rFonts w:hint="eastAsia" w:ascii="宋体" w:eastAsia="宋体" w:cs="Times New Roman"/>
                <w:color w:val="auto"/>
                <w:spacing w:val="0"/>
                <w:kern w:val="2"/>
                <w:sz w:val="21"/>
                <w:szCs w:val="21"/>
                <w:highlight w:val="none"/>
                <w:u w:val="single"/>
              </w:rPr>
            </w:pPr>
            <w:r>
              <w:rPr>
                <w:rFonts w:hint="eastAsia" w:ascii="宋体" w:hAnsi="宋体" w:eastAsia="宋体" w:cs="Times New Roman"/>
                <w:color w:val="auto"/>
                <w:spacing w:val="0"/>
                <w:kern w:val="2"/>
                <w:sz w:val="21"/>
                <w:szCs w:val="21"/>
                <w:highlight w:val="none"/>
                <w:lang w:eastAsia="zh-CN"/>
              </w:rPr>
              <w:t>注：</w:t>
            </w:r>
            <w:r>
              <w:rPr>
                <w:rFonts w:hint="eastAsia" w:ascii="宋体" w:hAnsi="宋体" w:eastAsia="宋体" w:cs="Times New Roman"/>
                <w:color w:val="auto"/>
                <w:spacing w:val="0"/>
                <w:kern w:val="2"/>
                <w:sz w:val="21"/>
                <w:szCs w:val="21"/>
                <w:highlight w:val="none"/>
                <w:u w:val="single"/>
              </w:rPr>
              <w:t>1.投标人应根据招标人提供的材料清单、有关资料及有关规定，自行选定材料样板并进行报价。投标人所报材料品牌</w:t>
            </w:r>
            <w:r>
              <w:rPr>
                <w:rFonts w:hint="eastAsia" w:ascii="宋体" w:hAnsi="宋体" w:eastAsia="宋体" w:cs="Times New Roman"/>
                <w:color w:val="auto"/>
                <w:spacing w:val="0"/>
                <w:kern w:val="2"/>
                <w:sz w:val="21"/>
                <w:szCs w:val="21"/>
                <w:highlight w:val="none"/>
                <w:u w:val="single"/>
                <w:lang w:val="en-US" w:eastAsia="zh-CN"/>
              </w:rPr>
              <w:t>的标准</w:t>
            </w:r>
            <w:r>
              <w:rPr>
                <w:rFonts w:hint="eastAsia" w:ascii="宋体" w:eastAsia="宋体" w:cs="Times New Roman"/>
                <w:color w:val="auto"/>
                <w:spacing w:val="0"/>
                <w:kern w:val="2"/>
                <w:sz w:val="21"/>
                <w:szCs w:val="21"/>
                <w:highlight w:val="none"/>
                <w:u w:val="single"/>
                <w:lang w:eastAsia="zh-CN"/>
              </w:rPr>
              <w:t>应</w:t>
            </w:r>
            <w:r>
              <w:rPr>
                <w:rFonts w:hint="eastAsia" w:ascii="宋体" w:eastAsia="宋体" w:cs="Times New Roman"/>
                <w:color w:val="auto"/>
                <w:spacing w:val="0"/>
                <w:kern w:val="2"/>
                <w:sz w:val="21"/>
                <w:szCs w:val="21"/>
                <w:highlight w:val="none"/>
                <w:u w:val="single"/>
                <w:lang w:val="en-US" w:eastAsia="zh-CN"/>
              </w:rPr>
              <w:t>不低于</w:t>
            </w:r>
            <w:r>
              <w:rPr>
                <w:rFonts w:hint="eastAsia" w:ascii="宋体" w:hAnsi="宋体" w:eastAsia="宋体" w:cs="Times New Roman"/>
                <w:color w:val="auto"/>
                <w:spacing w:val="0"/>
                <w:kern w:val="2"/>
                <w:sz w:val="21"/>
                <w:szCs w:val="21"/>
                <w:highlight w:val="none"/>
                <w:u w:val="single"/>
              </w:rPr>
              <w:t>招标文件所提供</w:t>
            </w:r>
            <w:r>
              <w:rPr>
                <w:rFonts w:hint="eastAsia" w:ascii="宋体" w:hAnsi="宋体"/>
                <w:color w:val="auto"/>
                <w:szCs w:val="21"/>
                <w:highlight w:val="none"/>
                <w:u w:val="single"/>
              </w:rPr>
              <w:t>的</w:t>
            </w:r>
            <w:r>
              <w:rPr>
                <w:rFonts w:hint="eastAsia" w:ascii="宋体" w:hAnsi="宋体" w:eastAsia="宋体" w:cs="Times New Roman"/>
                <w:color w:val="auto"/>
                <w:spacing w:val="0"/>
                <w:kern w:val="2"/>
                <w:sz w:val="21"/>
                <w:szCs w:val="21"/>
                <w:highlight w:val="none"/>
                <w:u w:val="single"/>
              </w:rPr>
              <w:t>参考品牌</w:t>
            </w:r>
            <w:r>
              <w:rPr>
                <w:rFonts w:hint="eastAsia" w:ascii="宋体" w:hAnsi="宋体" w:eastAsia="宋体" w:cs="Times New Roman"/>
                <w:color w:val="auto"/>
                <w:spacing w:val="0"/>
                <w:kern w:val="2"/>
                <w:sz w:val="21"/>
                <w:szCs w:val="21"/>
                <w:highlight w:val="none"/>
                <w:u w:val="single"/>
                <w:lang w:val="en-US" w:eastAsia="zh-CN"/>
              </w:rPr>
              <w:t>标准。</w:t>
            </w:r>
            <w:r>
              <w:rPr>
                <w:rFonts w:hint="eastAsia" w:ascii="宋体" w:hAnsi="宋体" w:eastAsia="宋体" w:cs="Times New Roman"/>
                <w:color w:val="auto"/>
                <w:spacing w:val="0"/>
                <w:kern w:val="2"/>
                <w:sz w:val="21"/>
                <w:szCs w:val="21"/>
                <w:highlight w:val="none"/>
                <w:u w:val="single"/>
                <w:lang w:eastAsia="zh-CN"/>
              </w:rPr>
              <w:t>未选用</w:t>
            </w:r>
            <w:r>
              <w:rPr>
                <w:rFonts w:hint="eastAsia" w:ascii="宋体" w:hAnsi="宋体" w:eastAsia="宋体" w:cs="Times New Roman"/>
                <w:color w:val="auto"/>
                <w:spacing w:val="0"/>
                <w:kern w:val="2"/>
                <w:sz w:val="21"/>
                <w:szCs w:val="21"/>
                <w:highlight w:val="none"/>
                <w:u w:val="single"/>
              </w:rPr>
              <w:t>参考品牌</w:t>
            </w:r>
            <w:r>
              <w:rPr>
                <w:rFonts w:hint="eastAsia" w:ascii="宋体" w:hAnsi="宋体" w:eastAsia="宋体" w:cs="Times New Roman"/>
                <w:color w:val="auto"/>
                <w:spacing w:val="0"/>
                <w:kern w:val="2"/>
                <w:sz w:val="21"/>
                <w:szCs w:val="21"/>
                <w:highlight w:val="none"/>
                <w:u w:val="single"/>
                <w:lang w:eastAsia="zh-CN"/>
              </w:rPr>
              <w:t>的，</w:t>
            </w:r>
            <w:r>
              <w:rPr>
                <w:rFonts w:hint="eastAsia" w:ascii="宋体" w:hAnsi="宋体" w:eastAsia="宋体" w:cs="Times New Roman"/>
                <w:color w:val="auto"/>
                <w:spacing w:val="0"/>
                <w:kern w:val="2"/>
                <w:sz w:val="21"/>
                <w:szCs w:val="21"/>
                <w:highlight w:val="none"/>
                <w:u w:val="single"/>
              </w:rPr>
              <w:t>需提供其生产厂家、技术参数、售后服务等方面与参考品牌的对比表，以证明其档次达到参考品牌的要求。</w:t>
            </w:r>
          </w:p>
          <w:p>
            <w:pPr>
              <w:ind w:left="-73" w:leftChars="-35"/>
              <w:rPr>
                <w:rFonts w:hint="eastAsia" w:ascii="宋体" w:eastAsia="宋体" w:cs="Times New Roman"/>
                <w:color w:val="auto"/>
                <w:spacing w:val="0"/>
                <w:kern w:val="2"/>
                <w:sz w:val="21"/>
                <w:szCs w:val="21"/>
                <w:highlight w:val="none"/>
                <w:u w:val="single"/>
                <w:lang w:val="en-US" w:eastAsia="zh-CN"/>
              </w:rPr>
            </w:pPr>
            <w:r>
              <w:rPr>
                <w:rFonts w:hint="eastAsia" w:ascii="宋体" w:eastAsia="宋体" w:cs="Times New Roman"/>
                <w:color w:val="auto"/>
                <w:spacing w:val="0"/>
                <w:kern w:val="2"/>
                <w:sz w:val="21"/>
                <w:szCs w:val="21"/>
                <w:highlight w:val="none"/>
                <w:u w:val="single"/>
                <w:lang w:val="en-US" w:eastAsia="zh-CN"/>
              </w:rPr>
              <w:t xml:space="preserve">2.绿色建材要求：                           </w:t>
            </w:r>
          </w:p>
          <w:p>
            <w:pPr>
              <w:ind w:left="-73" w:leftChars="-35"/>
              <w:rPr>
                <w:rFonts w:hint="eastAsia" w:ascii="宋体" w:hAnsi="宋体"/>
                <w:color w:val="auto"/>
                <w:sz w:val="10"/>
                <w:szCs w:val="10"/>
                <w:highlight w:val="none"/>
              </w:rPr>
            </w:pPr>
            <w:r>
              <w:rPr>
                <w:rFonts w:hint="eastAsia" w:ascii="宋体" w:eastAsia="宋体" w:cs="Times New Roman"/>
                <w:color w:val="auto"/>
                <w:spacing w:val="0"/>
                <w:kern w:val="2"/>
                <w:sz w:val="21"/>
                <w:szCs w:val="21"/>
                <w:highlight w:val="none"/>
                <w:u w:val="single"/>
                <w:lang w:val="en-US" w:eastAsia="zh-CN"/>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39" w:hRule="atLeast"/>
          <w:jc w:val="center"/>
        </w:trPr>
        <w:tc>
          <w:tcPr>
            <w:tcW w:w="9648" w:type="dxa"/>
            <w:gridSpan w:val="4"/>
            <w:noWrap w:val="0"/>
            <w:vAlign w:val="center"/>
          </w:tcPr>
          <w:p>
            <w:pPr>
              <w:rPr>
                <w:rFonts w:hint="eastAsia" w:ascii="宋体" w:hAnsi="宋体"/>
                <w:color w:val="auto"/>
                <w:szCs w:val="21"/>
                <w:highlight w:val="none"/>
              </w:rPr>
            </w:pPr>
            <w:r>
              <w:rPr>
                <w:rFonts w:hint="eastAsia" w:ascii="宋体" w:hAnsi="宋体"/>
                <w:color w:val="auto"/>
                <w:szCs w:val="21"/>
                <w:highlight w:val="none"/>
              </w:rPr>
              <w:t>13.13 合同格式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483" w:hRule="atLeast"/>
          <w:jc w:val="center"/>
        </w:trPr>
        <w:tc>
          <w:tcPr>
            <w:tcW w:w="905" w:type="dxa"/>
            <w:noWrap w:val="0"/>
            <w:vAlign w:val="center"/>
          </w:tcPr>
          <w:p>
            <w:pPr>
              <w:jc w:val="center"/>
              <w:rPr>
                <w:rFonts w:ascii="宋体" w:hAnsi="宋体"/>
                <w:color w:val="auto"/>
                <w:highlight w:val="none"/>
              </w:rPr>
            </w:pPr>
            <w:r>
              <w:rPr>
                <w:rFonts w:hint="eastAsia" w:ascii="宋体" w:hAnsi="宋体"/>
                <w:color w:val="auto"/>
                <w:highlight w:val="none"/>
              </w:rPr>
              <w:t>13.13.1</w:t>
            </w:r>
          </w:p>
        </w:tc>
        <w:tc>
          <w:tcPr>
            <w:tcW w:w="8743" w:type="dxa"/>
            <w:gridSpan w:val="3"/>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1.招标人可参考使用《广东省建设工程标准施工合同》（2009年版）、住房和城乡建设部和国家工商行政管理总局制定的《建设工程施工合同》（ GF-2017-0201）</w:t>
            </w:r>
            <w:r>
              <w:rPr>
                <w:rFonts w:hint="eastAsia" w:ascii="宋体" w:hAnsi="宋体" w:cs="宋体"/>
                <w:color w:val="auto"/>
                <w:szCs w:val="21"/>
                <w:highlight w:val="none"/>
                <w:lang w:eastAsia="zh-CN"/>
              </w:rPr>
              <w:t>或最新修订的合同版本</w:t>
            </w:r>
            <w:r>
              <w:rPr>
                <w:rFonts w:hint="eastAsia" w:ascii="宋体" w:hAnsi="宋体" w:cs="宋体"/>
                <w:color w:val="auto"/>
                <w:szCs w:val="21"/>
                <w:highlight w:val="none"/>
              </w:rPr>
              <w:t>。</w:t>
            </w:r>
          </w:p>
          <w:p>
            <w:pPr>
              <w:pStyle w:val="110"/>
              <w:spacing w:before="0" w:beforeAutospacing="0" w:after="0" w:afterAutospacing="0"/>
              <w:jc w:val="both"/>
              <w:rPr>
                <w:rFonts w:hint="eastAsia"/>
                <w:color w:val="auto"/>
                <w:kern w:val="2"/>
                <w:sz w:val="21"/>
                <w:szCs w:val="21"/>
                <w:highlight w:val="none"/>
                <w:u w:val="single"/>
              </w:rPr>
            </w:pPr>
            <w:r>
              <w:rPr>
                <w:rFonts w:hint="eastAsia" w:cs="宋体"/>
                <w:color w:val="auto"/>
                <w:kern w:val="2"/>
                <w:sz w:val="21"/>
                <w:szCs w:val="21"/>
                <w:highlight w:val="none"/>
              </w:rPr>
              <w:t>2.</w:t>
            </w:r>
            <w:r>
              <w:rPr>
                <w:rFonts w:hint="eastAsia" w:cs="宋体"/>
                <w:color w:val="auto"/>
                <w:kern w:val="2"/>
                <w:sz w:val="21"/>
                <w:szCs w:val="21"/>
                <w:highlight w:val="none"/>
              </w:rPr>
              <w:t>除</w:t>
            </w:r>
            <w:r>
              <w:rPr>
                <w:rFonts w:hint="eastAsia" w:cs="宋体"/>
                <w:color w:val="auto"/>
                <w:kern w:val="2"/>
                <w:sz w:val="21"/>
                <w:szCs w:val="21"/>
                <w:highlight w:val="none"/>
                <w:lang w:eastAsia="zh-CN"/>
              </w:rPr>
              <w:t>现行实施的</w:t>
            </w:r>
            <w:r>
              <w:rPr>
                <w:rFonts w:hint="eastAsia" w:cs="宋体"/>
                <w:color w:val="auto"/>
                <w:kern w:val="2"/>
                <w:sz w:val="21"/>
                <w:szCs w:val="21"/>
                <w:highlight w:val="none"/>
              </w:rPr>
              <w:t>《建设工程工程量清单计价</w:t>
            </w:r>
            <w:r>
              <w:rPr>
                <w:rFonts w:hint="eastAsia" w:cs="宋体"/>
                <w:color w:val="auto"/>
                <w:kern w:val="2"/>
                <w:sz w:val="21"/>
                <w:szCs w:val="21"/>
                <w:highlight w:val="none"/>
                <w:lang w:eastAsia="zh-CN"/>
              </w:rPr>
              <w:t>标准</w:t>
            </w:r>
            <w:r>
              <w:rPr>
                <w:rFonts w:hint="eastAsia" w:cs="宋体"/>
                <w:color w:val="auto"/>
                <w:kern w:val="2"/>
                <w:sz w:val="21"/>
                <w:szCs w:val="21"/>
                <w:highlight w:val="none"/>
              </w:rPr>
              <w:t>》中规定必须严格执行的强制性条文外，其余有关工程变更、索赔、价格调整、工程款支付方式及工程结算方式等以招标文件及本合同约定为准。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21" w:hRule="atLeast"/>
          <w:jc w:val="center"/>
        </w:trPr>
        <w:tc>
          <w:tcPr>
            <w:tcW w:w="9648" w:type="dxa"/>
            <w:gridSpan w:val="4"/>
            <w:noWrap w:val="0"/>
            <w:vAlign w:val="center"/>
          </w:tcPr>
          <w:p>
            <w:pPr>
              <w:jc w:val="left"/>
              <w:rPr>
                <w:rFonts w:hint="eastAsia" w:ascii="宋体" w:hAnsi="宋体"/>
                <w:color w:val="auto"/>
                <w:szCs w:val="21"/>
                <w:highlight w:val="none"/>
              </w:rPr>
            </w:pPr>
            <w:r>
              <w:rPr>
                <w:rFonts w:hint="eastAsia" w:ascii="宋体" w:hAnsi="宋体"/>
                <w:color w:val="auto"/>
                <w:szCs w:val="21"/>
                <w:highlight w:val="none"/>
              </w:rPr>
              <w:t>13.14 建设资金暂付规定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4" w:hRule="atLeast"/>
          <w:jc w:val="center"/>
        </w:trPr>
        <w:tc>
          <w:tcPr>
            <w:tcW w:w="9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13.14.1</w:t>
            </w:r>
          </w:p>
        </w:tc>
        <w:tc>
          <w:tcPr>
            <w:tcW w:w="8743" w:type="dxa"/>
            <w:gridSpan w:val="3"/>
            <w:noWrap w:val="0"/>
            <w:vAlign w:val="center"/>
          </w:tcPr>
          <w:p>
            <w:pPr>
              <w:rPr>
                <w:rFonts w:hint="eastAsia" w:ascii="宋体" w:hAnsi="宋体"/>
                <w:color w:val="auto"/>
                <w:szCs w:val="21"/>
                <w:highlight w:val="none"/>
              </w:rPr>
            </w:pPr>
            <w:r>
              <w:rPr>
                <w:rFonts w:hint="eastAsia" w:ascii="宋体" w:hAnsi="宋体"/>
                <w:color w:val="auto"/>
                <w:szCs w:val="21"/>
                <w:highlight w:val="none"/>
              </w:rPr>
              <w:t>政府投资项目禁止使用带资承包方式进行建设。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87" w:hRule="atLeast"/>
          <w:jc w:val="center"/>
        </w:trPr>
        <w:tc>
          <w:tcPr>
            <w:tcW w:w="9648" w:type="dxa"/>
            <w:gridSpan w:val="4"/>
            <w:noWrap w:val="0"/>
            <w:vAlign w:val="center"/>
          </w:tcPr>
          <w:p>
            <w:pPr>
              <w:ind w:firstLine="33" w:firstLineChars="16"/>
              <w:rPr>
                <w:rFonts w:hint="eastAsia" w:ascii="宋体" w:hAnsi="宋体"/>
                <w:color w:val="auto"/>
                <w:szCs w:val="21"/>
                <w:highlight w:val="none"/>
              </w:rPr>
            </w:pPr>
            <w:r>
              <w:rPr>
                <w:rFonts w:hint="eastAsia" w:ascii="宋体" w:hAnsi="宋体"/>
                <w:color w:val="auto"/>
                <w:szCs w:val="21"/>
                <w:highlight w:val="none"/>
              </w:rPr>
              <w:t>13.15 新技术建造方式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286" w:hRule="atLeast"/>
          <w:jc w:val="center"/>
        </w:trPr>
        <w:tc>
          <w:tcPr>
            <w:tcW w:w="9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13.15.1</w:t>
            </w:r>
          </w:p>
        </w:tc>
        <w:tc>
          <w:tcPr>
            <w:tcW w:w="8743" w:type="dxa"/>
            <w:gridSpan w:val="3"/>
            <w:noWrap w:val="0"/>
            <w:vAlign w:val="center"/>
          </w:tcPr>
          <w:p>
            <w:pPr>
              <w:ind w:firstLine="33" w:firstLineChars="16"/>
              <w:jc w:val="left"/>
              <w:rPr>
                <w:rFonts w:hint="eastAsia" w:ascii="宋体" w:hAnsi="宋体"/>
                <w:color w:val="auto"/>
                <w:szCs w:val="21"/>
                <w:highlight w:val="none"/>
              </w:rPr>
            </w:pPr>
            <w:r>
              <w:rPr>
                <w:rFonts w:hint="eastAsia"/>
                <w:color w:val="auto"/>
                <w:szCs w:val="21"/>
                <w:highlight w:val="none"/>
              </w:rPr>
              <w:t>囗</w:t>
            </w:r>
            <w:r>
              <w:rPr>
                <w:rFonts w:hint="eastAsia" w:ascii="宋体" w:hAnsi="宋体"/>
                <w:color w:val="auto"/>
                <w:szCs w:val="21"/>
                <w:highlight w:val="none"/>
              </w:rPr>
              <w:t>本项目无要求</w:t>
            </w:r>
            <w:r>
              <w:rPr>
                <w:rFonts w:ascii="宋体" w:hAnsi="宋体"/>
                <w:color w:val="auto"/>
                <w:szCs w:val="21"/>
                <w:highlight w:val="none"/>
              </w:rPr>
              <w:t>。</w:t>
            </w:r>
          </w:p>
          <w:p>
            <w:pPr>
              <w:ind w:firstLine="33" w:firstLineChars="16"/>
              <w:jc w:val="left"/>
              <w:rPr>
                <w:rFonts w:hint="eastAsia" w:ascii="宋体" w:hAnsi="宋体"/>
                <w:color w:val="auto"/>
                <w:szCs w:val="21"/>
                <w:highlight w:val="none"/>
              </w:rPr>
            </w:pPr>
            <w:r>
              <w:rPr>
                <w:rFonts w:hint="eastAsia"/>
                <w:color w:val="auto"/>
                <w:szCs w:val="21"/>
                <w:highlight w:val="none"/>
              </w:rPr>
              <w:t>囗</w:t>
            </w:r>
            <w:r>
              <w:rPr>
                <w:rFonts w:hint="eastAsia" w:ascii="宋体" w:hAnsi="宋体"/>
                <w:color w:val="auto"/>
                <w:szCs w:val="21"/>
                <w:highlight w:val="none"/>
              </w:rPr>
              <w:t>本项目采用装配式建筑建造方式。</w:t>
            </w:r>
          </w:p>
          <w:p>
            <w:pPr>
              <w:ind w:firstLine="33" w:firstLineChars="16"/>
              <w:rPr>
                <w:rFonts w:ascii="宋体" w:hAnsi="宋体"/>
                <w:color w:val="auto"/>
                <w:szCs w:val="21"/>
                <w:highlight w:val="none"/>
              </w:rPr>
            </w:pPr>
            <w:r>
              <w:rPr>
                <w:rFonts w:hint="eastAsia"/>
                <w:color w:val="auto"/>
                <w:szCs w:val="21"/>
                <w:highlight w:val="none"/>
              </w:rPr>
              <w:t>囗</w:t>
            </w:r>
            <w:r>
              <w:rPr>
                <w:rFonts w:hint="eastAsia" w:ascii="宋体" w:hAnsi="宋体"/>
                <w:color w:val="auto"/>
                <w:szCs w:val="21"/>
                <w:highlight w:val="none"/>
              </w:rPr>
              <w:t>本项目管理模式采用BIM技术。</w:t>
            </w:r>
          </w:p>
          <w:p>
            <w:pPr>
              <w:ind w:firstLine="33" w:firstLineChars="16"/>
              <w:rPr>
                <w:rFonts w:hint="eastAsia" w:ascii="宋体" w:hAnsi="宋体"/>
                <w:color w:val="auto"/>
                <w:szCs w:val="21"/>
                <w:highlight w:val="none"/>
                <w:u w:val="single"/>
              </w:rPr>
            </w:pPr>
            <w:r>
              <w:rPr>
                <w:rFonts w:hint="eastAsia"/>
                <w:color w:val="auto"/>
                <w:szCs w:val="21"/>
                <w:highlight w:val="none"/>
              </w:rPr>
              <w:t>囗</w:t>
            </w:r>
            <w:r>
              <w:rPr>
                <w:rFonts w:hint="eastAsia" w:ascii="宋体" w:hAnsi="宋体"/>
                <w:color w:val="auto"/>
                <w:szCs w:val="21"/>
                <w:highlight w:val="none"/>
              </w:rPr>
              <w:t>其他新</w:t>
            </w:r>
            <w:r>
              <w:rPr>
                <w:rFonts w:ascii="宋体" w:hAnsi="宋体"/>
                <w:color w:val="auto"/>
                <w:szCs w:val="21"/>
                <w:highlight w:val="none"/>
              </w:rPr>
              <w:t>技术</w:t>
            </w:r>
            <w:r>
              <w:rPr>
                <w:rFonts w:hint="eastAsia" w:ascii="宋体" w:hAnsi="宋体"/>
                <w:color w:val="auto"/>
                <w:szCs w:val="21"/>
                <w:highlight w:val="none"/>
              </w:rPr>
              <w:t>建</w:t>
            </w:r>
            <w:r>
              <w:rPr>
                <w:rFonts w:ascii="宋体" w:hAnsi="宋体"/>
                <w:color w:val="auto"/>
                <w:szCs w:val="21"/>
                <w:highlight w:val="none"/>
              </w:rPr>
              <w:t>造方式：</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21" w:hRule="atLeast"/>
          <w:jc w:val="center"/>
        </w:trPr>
        <w:tc>
          <w:tcPr>
            <w:tcW w:w="9648" w:type="dxa"/>
            <w:gridSpan w:val="4"/>
            <w:noWrap w:val="0"/>
            <w:vAlign w:val="center"/>
          </w:tcPr>
          <w:p>
            <w:pPr>
              <w:ind w:left="-2" w:leftChars="-1"/>
              <w:rPr>
                <w:rFonts w:hint="eastAsia" w:ascii="宋体" w:hAnsi="宋体"/>
                <w:color w:val="auto"/>
                <w:szCs w:val="21"/>
                <w:highlight w:val="none"/>
              </w:rPr>
            </w:pPr>
            <w:r>
              <w:rPr>
                <w:rFonts w:hint="eastAsia" w:ascii="宋体" w:hAnsi="宋体"/>
                <w:color w:val="auto"/>
                <w:szCs w:val="21"/>
                <w:highlight w:val="none"/>
              </w:rPr>
              <w:t>13.16 投标人信用等级的确定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3103" w:hRule="atLeast"/>
          <w:jc w:val="center"/>
        </w:trPr>
        <w:tc>
          <w:tcPr>
            <w:tcW w:w="9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13.16.1</w:t>
            </w:r>
          </w:p>
        </w:tc>
        <w:tc>
          <w:tcPr>
            <w:tcW w:w="8743" w:type="dxa"/>
            <w:gridSpan w:val="3"/>
            <w:noWrap w:val="0"/>
            <w:vAlign w:val="center"/>
          </w:tcPr>
          <w:p>
            <w:pPr>
              <w:jc w:val="left"/>
              <w:rPr>
                <w:rFonts w:hint="eastAsia"/>
                <w:color w:val="auto"/>
                <w:szCs w:val="21"/>
                <w:highlight w:val="none"/>
              </w:rPr>
            </w:pPr>
            <w:r>
              <w:rPr>
                <w:rFonts w:hint="eastAsia" w:ascii="宋体" w:hAnsi="宋体"/>
                <w:color w:val="auto"/>
                <w:spacing w:val="6"/>
                <w:szCs w:val="21"/>
                <w:highlight w:val="none"/>
              </w:rPr>
              <w:t>1.只允许施工总承包资质企业投标的项目，信用等级使用</w:t>
            </w:r>
            <w:r>
              <w:rPr>
                <w:rFonts w:hint="eastAsia"/>
                <w:color w:val="auto"/>
                <w:szCs w:val="21"/>
                <w:highlight w:val="none"/>
              </w:rPr>
              <w:t>“江门市建筑</w:t>
            </w:r>
            <w:r>
              <w:rPr>
                <w:rFonts w:hint="eastAsia"/>
                <w:color w:val="auto"/>
                <w:szCs w:val="21"/>
                <w:highlight w:val="none"/>
                <w:lang w:val="en-US" w:eastAsia="zh-CN"/>
              </w:rPr>
              <w:t>市场</w:t>
            </w:r>
            <w:r>
              <w:rPr>
                <w:rFonts w:hint="eastAsia"/>
                <w:color w:val="auto"/>
                <w:szCs w:val="21"/>
                <w:highlight w:val="none"/>
              </w:rPr>
              <w:t>信用</w:t>
            </w:r>
            <w:r>
              <w:rPr>
                <w:rFonts w:hint="eastAsia"/>
                <w:color w:val="auto"/>
                <w:szCs w:val="21"/>
                <w:highlight w:val="none"/>
                <w:lang w:val="en-US" w:eastAsia="zh-CN"/>
              </w:rPr>
              <w:t>信息</w:t>
            </w:r>
            <w:r>
              <w:rPr>
                <w:rFonts w:hint="eastAsia"/>
                <w:color w:val="auto"/>
                <w:szCs w:val="21"/>
                <w:highlight w:val="none"/>
              </w:rPr>
              <w:t>管理系统”工程施工类显示为“等级”的信用等级。</w:t>
            </w:r>
          </w:p>
          <w:p>
            <w:pPr>
              <w:jc w:val="left"/>
              <w:rPr>
                <w:rFonts w:hint="eastAsia"/>
                <w:color w:val="auto"/>
                <w:szCs w:val="21"/>
                <w:highlight w:val="none"/>
              </w:rPr>
            </w:pPr>
            <w:r>
              <w:rPr>
                <w:rFonts w:hint="eastAsia" w:ascii="宋体" w:hAnsi="宋体"/>
                <w:color w:val="auto"/>
                <w:spacing w:val="6"/>
                <w:szCs w:val="21"/>
                <w:highlight w:val="none"/>
              </w:rPr>
              <w:t>2.只允许施工专业资质企业投标的项目，信用等级使用</w:t>
            </w:r>
            <w:r>
              <w:rPr>
                <w:rFonts w:hint="eastAsia"/>
                <w:color w:val="auto"/>
                <w:szCs w:val="21"/>
                <w:highlight w:val="none"/>
              </w:rPr>
              <w:t>“江门市建筑</w:t>
            </w:r>
            <w:r>
              <w:rPr>
                <w:rFonts w:hint="eastAsia"/>
                <w:color w:val="auto"/>
                <w:szCs w:val="21"/>
                <w:highlight w:val="none"/>
                <w:lang w:val="en-US" w:eastAsia="zh-CN"/>
              </w:rPr>
              <w:t>市场</w:t>
            </w:r>
            <w:r>
              <w:rPr>
                <w:rFonts w:hint="eastAsia"/>
                <w:color w:val="auto"/>
                <w:szCs w:val="21"/>
                <w:highlight w:val="none"/>
              </w:rPr>
              <w:t>信用</w:t>
            </w:r>
            <w:r>
              <w:rPr>
                <w:rFonts w:hint="eastAsia"/>
                <w:color w:val="auto"/>
                <w:szCs w:val="21"/>
                <w:highlight w:val="none"/>
                <w:lang w:val="en-US" w:eastAsia="zh-CN"/>
              </w:rPr>
              <w:t>信息</w:t>
            </w:r>
            <w:r>
              <w:rPr>
                <w:rFonts w:hint="eastAsia"/>
                <w:color w:val="auto"/>
                <w:szCs w:val="21"/>
                <w:highlight w:val="none"/>
              </w:rPr>
              <w:t>管理系统” 工程施工类显示为“加权等级”的信用等级。</w:t>
            </w:r>
          </w:p>
          <w:p>
            <w:pPr>
              <w:jc w:val="left"/>
              <w:rPr>
                <w:rFonts w:hint="eastAsia"/>
                <w:color w:val="auto"/>
                <w:szCs w:val="21"/>
                <w:highlight w:val="none"/>
              </w:rPr>
            </w:pPr>
            <w:r>
              <w:rPr>
                <w:rFonts w:hint="eastAsia" w:ascii="宋体" w:hAnsi="宋体"/>
                <w:color w:val="auto"/>
                <w:spacing w:val="6"/>
                <w:szCs w:val="21"/>
                <w:highlight w:val="none"/>
              </w:rPr>
              <w:t>3.允许施工总承包资质、施工专业资质企业组成联合体投标的项目，信用等级使用联合体牵头人的</w:t>
            </w:r>
            <w:r>
              <w:rPr>
                <w:rFonts w:hint="eastAsia"/>
                <w:color w:val="auto"/>
                <w:szCs w:val="21"/>
                <w:highlight w:val="none"/>
              </w:rPr>
              <w:t>“江门市建筑</w:t>
            </w:r>
            <w:r>
              <w:rPr>
                <w:rFonts w:hint="eastAsia"/>
                <w:color w:val="auto"/>
                <w:szCs w:val="21"/>
                <w:highlight w:val="none"/>
                <w:lang w:val="en-US" w:eastAsia="zh-CN"/>
              </w:rPr>
              <w:t>市场</w:t>
            </w:r>
            <w:r>
              <w:rPr>
                <w:rFonts w:hint="eastAsia"/>
                <w:color w:val="auto"/>
                <w:szCs w:val="21"/>
                <w:highlight w:val="none"/>
              </w:rPr>
              <w:t>信用</w:t>
            </w:r>
            <w:r>
              <w:rPr>
                <w:rFonts w:hint="eastAsia"/>
                <w:color w:val="auto"/>
                <w:szCs w:val="21"/>
                <w:highlight w:val="none"/>
                <w:lang w:val="en-US" w:eastAsia="zh-CN"/>
              </w:rPr>
              <w:t>信息</w:t>
            </w:r>
            <w:r>
              <w:rPr>
                <w:rFonts w:hint="eastAsia"/>
                <w:color w:val="auto"/>
                <w:szCs w:val="21"/>
                <w:highlight w:val="none"/>
              </w:rPr>
              <w:t>管理系统”工程施工类显示为“等级”的信用等级。</w:t>
            </w:r>
          </w:p>
          <w:p>
            <w:pPr>
              <w:jc w:val="left"/>
              <w:rPr>
                <w:rFonts w:hint="eastAsia" w:ascii="宋体" w:hAnsi="宋体"/>
                <w:color w:val="auto"/>
                <w:spacing w:val="6"/>
                <w:szCs w:val="21"/>
                <w:highlight w:val="none"/>
              </w:rPr>
            </w:pPr>
            <w:r>
              <w:rPr>
                <w:rFonts w:hint="eastAsia" w:ascii="宋体" w:hAnsi="宋体"/>
                <w:color w:val="auto"/>
                <w:spacing w:val="6"/>
                <w:szCs w:val="21"/>
                <w:highlight w:val="none"/>
              </w:rPr>
              <w:t>4.项目不要求投标人具备建筑业企业资质，但属于风景园林类的，信用等级使用“</w:t>
            </w:r>
            <w:r>
              <w:rPr>
                <w:rFonts w:hint="eastAsia"/>
                <w:color w:val="auto"/>
                <w:szCs w:val="21"/>
                <w:highlight w:val="none"/>
              </w:rPr>
              <w:t>江门市建筑</w:t>
            </w:r>
            <w:r>
              <w:rPr>
                <w:rFonts w:hint="eastAsia"/>
                <w:color w:val="auto"/>
                <w:szCs w:val="21"/>
                <w:highlight w:val="none"/>
                <w:lang w:val="en-US" w:eastAsia="zh-CN"/>
              </w:rPr>
              <w:t>市场</w:t>
            </w:r>
            <w:r>
              <w:rPr>
                <w:rFonts w:hint="eastAsia"/>
                <w:color w:val="auto"/>
                <w:szCs w:val="21"/>
                <w:highlight w:val="none"/>
              </w:rPr>
              <w:t>信用</w:t>
            </w:r>
            <w:r>
              <w:rPr>
                <w:rFonts w:hint="eastAsia"/>
                <w:color w:val="auto"/>
                <w:szCs w:val="21"/>
                <w:highlight w:val="none"/>
                <w:lang w:val="en-US" w:eastAsia="zh-CN"/>
              </w:rPr>
              <w:t>信息</w:t>
            </w:r>
            <w:r>
              <w:rPr>
                <w:rFonts w:hint="eastAsia"/>
                <w:color w:val="auto"/>
                <w:szCs w:val="21"/>
                <w:highlight w:val="none"/>
              </w:rPr>
              <w:t>管理系统</w:t>
            </w:r>
            <w:r>
              <w:rPr>
                <w:rFonts w:hint="eastAsia" w:ascii="宋体" w:hAnsi="宋体"/>
                <w:color w:val="auto"/>
                <w:spacing w:val="6"/>
                <w:szCs w:val="21"/>
                <w:highlight w:val="none"/>
              </w:rPr>
              <w:t>”风景园林类显示</w:t>
            </w:r>
            <w:r>
              <w:rPr>
                <w:rFonts w:hint="eastAsia"/>
                <w:color w:val="auto"/>
                <w:szCs w:val="21"/>
                <w:highlight w:val="none"/>
              </w:rPr>
              <w:t>为</w:t>
            </w:r>
            <w:r>
              <w:rPr>
                <w:rFonts w:hint="eastAsia" w:ascii="宋体" w:hAnsi="宋体"/>
                <w:color w:val="auto"/>
                <w:spacing w:val="6"/>
                <w:szCs w:val="21"/>
                <w:highlight w:val="none"/>
              </w:rPr>
              <w:t>“等级”的信用等级。</w:t>
            </w:r>
          </w:p>
          <w:p>
            <w:pPr>
              <w:jc w:val="left"/>
              <w:rPr>
                <w:rFonts w:hint="eastAsia" w:ascii="宋体" w:hAnsi="宋体"/>
                <w:color w:val="auto"/>
                <w:szCs w:val="21"/>
                <w:highlight w:val="none"/>
              </w:rPr>
            </w:pPr>
            <w:r>
              <w:rPr>
                <w:rFonts w:hint="eastAsia" w:ascii="宋体" w:hAnsi="宋体"/>
                <w:color w:val="auto"/>
                <w:spacing w:val="6"/>
                <w:szCs w:val="21"/>
                <w:highlight w:val="none"/>
              </w:rPr>
              <w:t>5.不要求投标人具备建筑业企业资质的</w:t>
            </w:r>
            <w:r>
              <w:rPr>
                <w:rFonts w:hint="eastAsia" w:ascii="宋体" w:hAnsi="宋体"/>
                <w:color w:val="auto"/>
                <w:spacing w:val="6"/>
                <w:szCs w:val="21"/>
                <w:highlight w:val="none"/>
                <w:lang w:val="en-US" w:eastAsia="zh-CN"/>
              </w:rPr>
              <w:t>其他类型项目</w:t>
            </w:r>
            <w:r>
              <w:rPr>
                <w:rFonts w:hint="eastAsia" w:ascii="宋体" w:hAnsi="宋体"/>
                <w:color w:val="auto"/>
                <w:spacing w:val="6"/>
                <w:szCs w:val="21"/>
                <w:highlight w:val="none"/>
              </w:rPr>
              <w:t>，开标、评标环节均不使用信用评价结果（信用等级）。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21" w:hRule="atLeast"/>
          <w:jc w:val="center"/>
        </w:trPr>
        <w:tc>
          <w:tcPr>
            <w:tcW w:w="9648" w:type="dxa"/>
            <w:gridSpan w:val="4"/>
            <w:noWrap w:val="0"/>
            <w:vAlign w:val="center"/>
          </w:tcPr>
          <w:p>
            <w:pPr>
              <w:rPr>
                <w:rFonts w:ascii="宋体" w:hAnsi="宋体"/>
                <w:color w:val="auto"/>
                <w:szCs w:val="21"/>
                <w:highlight w:val="none"/>
              </w:rPr>
            </w:pPr>
            <w:r>
              <w:rPr>
                <w:rFonts w:hint="eastAsia" w:ascii="宋体" w:hAnsi="宋体"/>
                <w:color w:val="auto"/>
                <w:szCs w:val="21"/>
                <w:highlight w:val="none"/>
              </w:rPr>
              <w:t>13.17 电子招投标注意事项：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788" w:hRule="atLeast"/>
          <w:jc w:val="center"/>
        </w:trPr>
        <w:tc>
          <w:tcPr>
            <w:tcW w:w="90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13.17.1</w:t>
            </w:r>
          </w:p>
        </w:tc>
        <w:tc>
          <w:tcPr>
            <w:tcW w:w="8743" w:type="dxa"/>
            <w:gridSpan w:val="3"/>
            <w:noWrap w:val="0"/>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1.投标人在电子招标投标活动中实施的行为所产生的后果，由投标人承担。</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（1）投标人的数字证书和密码丢失或被他人冒用、盗用的后果，由投标人承担。</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（2）使用他人数字证书或把数字证书借给他人使用的，作串通投标处理。</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（3）因投标人计算机系统遭遇网络堵塞、病毒入侵、硬件故障等不能正常登录网上招标投标系统报名、投标的，后果由投标人承担，电子招标投标活动继续进行。</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（4）为规范电子评标项目工程量清单的填报，请各投标人在填报工程量清单时认真按照招标人提供的工程量清单填报，任何的不一致将导致计算机不能读取而作无</w:t>
            </w:r>
            <w:r>
              <w:rPr>
                <w:rFonts w:hint="eastAsia" w:ascii="宋体" w:hAnsi="宋体" w:eastAsia="宋体" w:cs="宋体"/>
                <w:color w:val="auto"/>
                <w:highlight w:val="none"/>
                <w:lang w:eastAsia="zh-CN"/>
              </w:rPr>
              <w:t>效投</w:t>
            </w:r>
            <w:r>
              <w:rPr>
                <w:rFonts w:hint="eastAsia" w:ascii="宋体" w:hAnsi="宋体" w:eastAsia="宋体" w:cs="宋体"/>
                <w:color w:val="auto"/>
                <w:highlight w:val="none"/>
              </w:rPr>
              <w:t>标处理。经计算机评标系统检测到不同投标人的投标报价中分部分项工程量清单综合单价相似度达到80%及以上的，即被判断为串通投标行为，投标无效，并按相关法规进行处罚（评审工程量清单综合单价相似的仅限于投标人投标报价中分部分项工程量清单综合单价）。</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2.电子评标的项目，投标人须递交具备法律效力的电子投标文件。</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3.请各投标人认真按照招标文件规定的格式填报，任何的格式不符合将导致计算机不能读取而作无效标处理。</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4.招标文件中的扫描件是指电子扫描件。</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5.目前，电子招标投标系统中的信用评价结果以开标当天“</w:t>
            </w:r>
            <w:r>
              <w:rPr>
                <w:rFonts w:hint="eastAsia" w:ascii="宋体" w:hAnsi="宋体" w:eastAsia="宋体" w:cs="宋体"/>
                <w:color w:val="auto"/>
                <w:highlight w:val="none"/>
                <w:lang w:eastAsia="zh-CN"/>
              </w:rPr>
              <w:t>江门市建筑市场信用信息管理系统</w:t>
            </w:r>
            <w:r>
              <w:rPr>
                <w:rFonts w:hint="eastAsia" w:ascii="宋体" w:hAnsi="宋体" w:eastAsia="宋体" w:cs="宋体"/>
                <w:color w:val="auto"/>
                <w:highlight w:val="none"/>
              </w:rPr>
              <w:t>”发布的信用评价结果为准。（“</w:t>
            </w:r>
            <w:r>
              <w:rPr>
                <w:rFonts w:hint="eastAsia" w:ascii="宋体" w:hAnsi="宋体" w:eastAsia="宋体" w:cs="宋体"/>
                <w:color w:val="auto"/>
                <w:highlight w:val="none"/>
                <w:lang w:eastAsia="zh-CN"/>
              </w:rPr>
              <w:t>江门市建筑市场信用信息管理系统</w:t>
            </w:r>
            <w:r>
              <w:rPr>
                <w:rFonts w:hint="eastAsia" w:ascii="宋体" w:hAnsi="宋体" w:eastAsia="宋体" w:cs="宋体"/>
                <w:color w:val="auto"/>
                <w:highlight w:val="none"/>
              </w:rPr>
              <w:t>”在每天凌晨一时更新发布信用评价结果，其余时间不变）。</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6.投标人在参与远程开标项目的开标活动前应提前完成以下工作：</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（1）根据系统提供的电脑环境测试功能进行自测，若解密失败，请及时联系交易中心技术部门或相关电脑公司，在指导下自行处理故障。</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（2）根据系统提供的数字证书锁加解密测试功能进行自测，若解密失败，即可判断为CA锁故障或密码遗失，投标人应及时联系数字证书服务公司协调处理。</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（3）在开标过程中若出现无法解密，且系统提示解密设备错误，即可判断为投标人CA锁使用不当，请自行检查CA锁是否匹配投标文件，并重新使用正确的CA锁进行解密。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21" w:hRule="atLeast"/>
          <w:jc w:val="center"/>
        </w:trPr>
        <w:tc>
          <w:tcPr>
            <w:tcW w:w="9648" w:type="dxa"/>
            <w:gridSpan w:val="4"/>
            <w:noWrap w:val="0"/>
            <w:vAlign w:val="center"/>
          </w:tcPr>
          <w:p>
            <w:pPr>
              <w:rPr>
                <w:rFonts w:ascii="宋体" w:hAnsi="宋体"/>
                <w:color w:val="auto"/>
                <w:szCs w:val="21"/>
                <w:highlight w:val="none"/>
              </w:rPr>
            </w:pPr>
            <w:r>
              <w:rPr>
                <w:rFonts w:hint="eastAsia" w:ascii="宋体" w:hAnsi="宋体"/>
                <w:color w:val="auto"/>
                <w:szCs w:val="21"/>
                <w:highlight w:val="none"/>
              </w:rPr>
              <w:t>13.18 优质优价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243" w:hRule="atLeast"/>
          <w:jc w:val="center"/>
        </w:trPr>
        <w:tc>
          <w:tcPr>
            <w:tcW w:w="90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13.18.1</w:t>
            </w:r>
          </w:p>
        </w:tc>
        <w:tc>
          <w:tcPr>
            <w:tcW w:w="8743" w:type="dxa"/>
            <w:gridSpan w:val="3"/>
            <w:noWrap w:val="0"/>
            <w:vAlign w:val="center"/>
          </w:tcPr>
          <w:p>
            <w:pPr>
              <w:rPr>
                <w:rFonts w:ascii="宋体" w:hAnsi="宋体"/>
                <w:color w:val="auto"/>
                <w:szCs w:val="21"/>
                <w:highlight w:val="none"/>
              </w:rPr>
            </w:pPr>
            <w:r>
              <w:rPr>
                <w:rFonts w:hint="eastAsia"/>
                <w:color w:val="auto"/>
                <w:szCs w:val="21"/>
                <w:highlight w:val="none"/>
              </w:rPr>
              <w:t>囗</w:t>
            </w:r>
            <w:r>
              <w:rPr>
                <w:rFonts w:hint="eastAsia" w:ascii="宋体" w:hAnsi="宋体"/>
                <w:color w:val="auto"/>
                <w:szCs w:val="21"/>
                <w:highlight w:val="none"/>
              </w:rPr>
              <w:t>按合同约定条款，鼓励中标人创建优质工程，本项目获得</w:t>
            </w:r>
            <w:r>
              <w:rPr>
                <w:rFonts w:hint="eastAsia" w:ascii="宋体" w:hAnsi="宋体"/>
                <w:color w:val="auto"/>
                <w:szCs w:val="21"/>
                <w:highlight w:val="none"/>
                <w:u w:val="single"/>
              </w:rPr>
              <w:t>（</w:t>
            </w:r>
            <w:r>
              <w:rPr>
                <w:rFonts w:hint="eastAsia"/>
                <w:color w:val="auto"/>
                <w:szCs w:val="21"/>
                <w:highlight w:val="none"/>
                <w:u w:val="single"/>
              </w:rPr>
              <w:t>囗</w:t>
            </w:r>
            <w:r>
              <w:rPr>
                <w:rFonts w:hint="eastAsia" w:ascii="宋体" w:hAnsi="宋体"/>
                <w:color w:val="auto"/>
                <w:szCs w:val="21"/>
                <w:highlight w:val="none"/>
                <w:u w:val="single"/>
              </w:rPr>
              <w:t>中国建设工程鲁班奖、</w:t>
            </w:r>
            <w:r>
              <w:rPr>
                <w:rFonts w:hint="eastAsia"/>
                <w:color w:val="auto"/>
                <w:szCs w:val="21"/>
                <w:highlight w:val="none"/>
                <w:u w:val="single"/>
              </w:rPr>
              <w:t>囗</w:t>
            </w:r>
            <w:r>
              <w:rPr>
                <w:rFonts w:hint="eastAsia" w:ascii="宋体" w:hAnsi="宋体"/>
                <w:color w:val="auto"/>
                <w:szCs w:val="21"/>
                <w:highlight w:val="none"/>
                <w:u w:val="single"/>
              </w:rPr>
              <w:t>中国土木工程詹天佑奖、</w:t>
            </w:r>
            <w:r>
              <w:rPr>
                <w:rFonts w:hint="eastAsia"/>
                <w:color w:val="auto"/>
                <w:szCs w:val="21"/>
                <w:highlight w:val="none"/>
                <w:u w:val="single"/>
              </w:rPr>
              <w:t>囗</w:t>
            </w:r>
            <w:r>
              <w:rPr>
                <w:rFonts w:hint="eastAsia" w:ascii="宋体" w:hAnsi="宋体"/>
                <w:color w:val="auto"/>
                <w:szCs w:val="21"/>
                <w:highlight w:val="none"/>
                <w:u w:val="single"/>
              </w:rPr>
              <w:t xml:space="preserve">                   ）</w:t>
            </w:r>
            <w:r>
              <w:rPr>
                <w:rFonts w:hint="eastAsia" w:ascii="宋体" w:hAnsi="宋体"/>
                <w:color w:val="auto"/>
                <w:szCs w:val="21"/>
                <w:highlight w:val="none"/>
              </w:rPr>
              <w:t>奖项的，给予一次性</w:t>
            </w:r>
            <w:r>
              <w:rPr>
                <w:rFonts w:hint="eastAsia" w:ascii="宋体" w:hAnsi="宋体"/>
                <w:color w:val="auto"/>
                <w:szCs w:val="21"/>
                <w:highlight w:val="none"/>
                <w:u w:val="single"/>
              </w:rPr>
              <w:t xml:space="preserve">    </w:t>
            </w:r>
            <w:r>
              <w:rPr>
                <w:rFonts w:hint="eastAsia" w:ascii="宋体" w:hAnsi="宋体"/>
                <w:color w:val="auto"/>
                <w:szCs w:val="21"/>
                <w:highlight w:val="none"/>
              </w:rPr>
              <w:t>元的奖励；未按合同约定条款兑现创优的则以同等金额扣罚。</w:t>
            </w:r>
          </w:p>
          <w:p>
            <w:pPr>
              <w:rPr>
                <w:rFonts w:hint="eastAsia" w:ascii="宋体" w:hAnsi="宋体"/>
                <w:color w:val="auto"/>
                <w:szCs w:val="21"/>
                <w:highlight w:val="none"/>
              </w:rPr>
            </w:pPr>
            <w:r>
              <w:rPr>
                <w:rFonts w:hint="eastAsia" w:ascii="宋体" w:hAnsi="宋体"/>
                <w:color w:val="auto"/>
                <w:szCs w:val="21"/>
                <w:highlight w:val="none"/>
              </w:rPr>
              <w:t>其他说明：</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421" w:hRule="atLeast"/>
          <w:jc w:val="center"/>
        </w:trPr>
        <w:tc>
          <w:tcPr>
            <w:tcW w:w="9648" w:type="dxa"/>
            <w:gridSpan w:val="4"/>
            <w:noWrap w:val="0"/>
            <w:vAlign w:val="center"/>
          </w:tcPr>
          <w:p>
            <w:pPr>
              <w:rPr>
                <w:rFonts w:hint="eastAsia" w:ascii="宋体" w:hAnsi="宋体"/>
                <w:color w:val="auto"/>
                <w:szCs w:val="21"/>
                <w:highlight w:val="none"/>
              </w:rPr>
            </w:pPr>
            <w:r>
              <w:rPr>
                <w:rFonts w:hint="eastAsia" w:ascii="宋体" w:hAnsi="宋体"/>
                <w:color w:val="auto"/>
                <w:szCs w:val="21"/>
                <w:highlight w:val="none"/>
              </w:rPr>
              <w:t>13.19 本项目选用条款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56" w:hRule="atLeast"/>
          <w:jc w:val="center"/>
        </w:trPr>
        <w:tc>
          <w:tcPr>
            <w:tcW w:w="905" w:type="dxa"/>
            <w:noWrap w:val="0"/>
            <w:vAlign w:val="center"/>
          </w:tcPr>
          <w:p>
            <w:pPr>
              <w:rPr>
                <w:rFonts w:hint="eastAsia" w:ascii="宋体" w:hAnsi="宋体"/>
                <w:color w:val="auto"/>
                <w:highlight w:val="none"/>
              </w:rPr>
            </w:pPr>
            <w:r>
              <w:rPr>
                <w:rFonts w:hint="eastAsia" w:ascii="宋体" w:hAnsi="宋体"/>
                <w:color w:val="auto"/>
                <w:highlight w:val="none"/>
              </w:rPr>
              <w:t>13.19.1</w:t>
            </w:r>
          </w:p>
        </w:tc>
        <w:tc>
          <w:tcPr>
            <w:tcW w:w="8743" w:type="dxa"/>
            <w:gridSpan w:val="3"/>
            <w:noWrap w:val="0"/>
            <w:vAlign w:val="center"/>
          </w:tcPr>
          <w:p>
            <w:pPr>
              <w:rPr>
                <w:rFonts w:hint="eastAsia" w:ascii="宋体" w:hAnsi="宋体"/>
                <w:color w:val="auto"/>
                <w:szCs w:val="21"/>
                <w:highlight w:val="none"/>
              </w:rPr>
            </w:pPr>
            <w:r>
              <w:rPr>
                <w:rFonts w:hint="eastAsia" w:ascii="宋体" w:hAnsi="宋体"/>
                <w:color w:val="auto"/>
                <w:szCs w:val="21"/>
                <w:highlight w:val="none"/>
              </w:rPr>
              <w:t>招标文件的选用项中，在条款前的“</w:t>
            </w:r>
            <w:r>
              <w:rPr>
                <w:rFonts w:hint="eastAsia"/>
                <w:color w:val="auto"/>
                <w:szCs w:val="21"/>
                <w:highlight w:val="none"/>
              </w:rPr>
              <w:t>囗</w:t>
            </w:r>
            <w:r>
              <w:rPr>
                <w:rFonts w:hint="eastAsia" w:ascii="宋体" w:hAnsi="宋体"/>
                <w:color w:val="auto"/>
                <w:szCs w:val="21"/>
                <w:highlight w:val="none"/>
              </w:rPr>
              <w:t>”有标识的为本项目选用条款，没有标识的为本项目不选用条款。</w:t>
            </w:r>
          </w:p>
        </w:tc>
      </w:tr>
    </w:tbl>
    <w:p>
      <w:pPr>
        <w:pStyle w:val="5"/>
        <w:spacing w:line="276" w:lineRule="auto"/>
        <w:rPr>
          <w:rFonts w:hint="eastAsia" w:ascii="黑体" w:eastAsia="黑体"/>
          <w:b w:val="0"/>
          <w:color w:val="auto"/>
          <w:sz w:val="28"/>
          <w:szCs w:val="28"/>
          <w:highlight w:val="none"/>
        </w:rPr>
      </w:pPr>
      <w:bookmarkStart w:id="13" w:name="_Toc184635071"/>
      <w:r>
        <w:rPr>
          <w:rFonts w:hint="eastAsia" w:ascii="黑体" w:eastAsia="黑体"/>
          <w:b w:val="0"/>
          <w:color w:val="auto"/>
          <w:sz w:val="28"/>
          <w:szCs w:val="28"/>
          <w:highlight w:val="none"/>
        </w:rPr>
        <w:br w:type="page"/>
      </w:r>
      <w:r>
        <w:rPr>
          <w:rFonts w:hint="eastAsia" w:ascii="黑体" w:eastAsia="黑体"/>
          <w:b w:val="0"/>
          <w:color w:val="auto"/>
          <w:sz w:val="28"/>
          <w:szCs w:val="28"/>
          <w:highlight w:val="none"/>
        </w:rPr>
        <w:t>二、投标人须知正文部分</w:t>
      </w:r>
    </w:p>
    <w:p>
      <w:pPr>
        <w:pStyle w:val="5"/>
        <w:spacing w:line="276" w:lineRule="auto"/>
        <w:rPr>
          <w:rFonts w:hint="eastAsia" w:ascii="宋体" w:hAnsi="宋体"/>
          <w:color w:val="auto"/>
          <w:highlight w:val="none"/>
        </w:rPr>
      </w:pPr>
      <w:r>
        <w:rPr>
          <w:rFonts w:hint="eastAsia" w:ascii="宋体" w:hAnsi="宋体"/>
          <w:color w:val="auto"/>
          <w:highlight w:val="none"/>
        </w:rPr>
        <w:t>1.总则</w:t>
      </w:r>
      <w:bookmarkEnd w:id="13"/>
    </w:p>
    <w:p>
      <w:pPr>
        <w:pStyle w:val="6"/>
        <w:spacing w:line="276" w:lineRule="auto"/>
        <w:rPr>
          <w:rFonts w:hint="eastAsia" w:ascii="宋体" w:hAnsi="宋体"/>
          <w:color w:val="auto"/>
          <w:highlight w:val="none"/>
        </w:rPr>
      </w:pPr>
      <w:bookmarkStart w:id="14" w:name="_1.1 项目概况"/>
      <w:r>
        <w:rPr>
          <w:rFonts w:hint="eastAsia" w:ascii="宋体" w:hAnsi="宋体"/>
          <w:color w:val="auto"/>
          <w:highlight w:val="none"/>
        </w:rPr>
        <w:t>1.1 项目概况</w:t>
      </w:r>
    </w:p>
    <w:bookmarkEnd w:id="14"/>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 等有关法律、法规和规章的规定，本招标项目</w:t>
      </w:r>
      <w:r>
        <w:rPr>
          <w:rFonts w:hint="eastAsia" w:ascii="宋体" w:hAnsi="宋体"/>
          <w:color w:val="auto"/>
          <w:szCs w:val="21"/>
          <w:highlight w:val="none"/>
          <w:lang w:eastAsia="zh-CN"/>
        </w:rPr>
        <w:t>已</w:t>
      </w:r>
      <w:r>
        <w:rPr>
          <w:rFonts w:hint="eastAsia" w:ascii="宋体" w:hAnsi="宋体"/>
          <w:color w:val="auto"/>
          <w:szCs w:val="21"/>
          <w:highlight w:val="none"/>
        </w:rPr>
        <w:t>具备招标条件，现对本项目施工进行招标。</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本招标项目招标人：见本章</w:t>
      </w:r>
      <w:r>
        <w:rPr>
          <w:rFonts w:hint="eastAsia" w:ascii="宋体" w:hAnsi="宋体"/>
          <w:color w:val="auto"/>
          <w:szCs w:val="21"/>
          <w:highlight w:val="none"/>
          <w:u w:val="none"/>
        </w:rPr>
        <w:t>前附表</w:t>
      </w:r>
      <w:r>
        <w:rPr>
          <w:rFonts w:hint="eastAsia" w:ascii="宋体" w:hAnsi="宋体"/>
          <w:color w:val="auto"/>
          <w:szCs w:val="21"/>
          <w:highlight w:val="none"/>
        </w:rPr>
        <w:t>。</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本项目招标代理机构：见本章前附表。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本招标项目名称：见本章前附表。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1.1.5 本项目建设地点：见本章前附表。</w:t>
      </w:r>
    </w:p>
    <w:p>
      <w:pPr>
        <w:pStyle w:val="6"/>
        <w:spacing w:line="276" w:lineRule="auto"/>
        <w:rPr>
          <w:rFonts w:hint="eastAsia" w:ascii="宋体" w:hAnsi="宋体"/>
          <w:color w:val="auto"/>
          <w:highlight w:val="none"/>
        </w:rPr>
      </w:pPr>
      <w:r>
        <w:rPr>
          <w:rFonts w:hint="eastAsia" w:ascii="宋体" w:hAnsi="宋体"/>
          <w:color w:val="auto"/>
          <w:highlight w:val="none"/>
        </w:rPr>
        <w:t>1.2 资金来源和落实情况</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本招标项目的资金来源：见本章前附表。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 本招标项目的出资比例：见本章前附表。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1.2.3 本招标项目的资金落实情况：见本章前附表。</w:t>
      </w:r>
    </w:p>
    <w:p>
      <w:pPr>
        <w:pStyle w:val="6"/>
        <w:spacing w:line="276" w:lineRule="auto"/>
        <w:rPr>
          <w:rFonts w:hint="eastAsia" w:ascii="宋体" w:hAnsi="宋体"/>
          <w:color w:val="auto"/>
          <w:highlight w:val="none"/>
        </w:rPr>
      </w:pPr>
      <w:r>
        <w:rPr>
          <w:rFonts w:hint="eastAsia" w:ascii="宋体" w:hAnsi="宋体"/>
          <w:color w:val="auto"/>
          <w:highlight w:val="none"/>
        </w:rPr>
        <w:t>1.3 招标范围、计划工期和质量要求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本次招标范围：见本章前附表。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本项目的计划工期：见本章前附表。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本项目的质量要求：见本章前附表。</w:t>
      </w:r>
    </w:p>
    <w:p>
      <w:pPr>
        <w:pStyle w:val="6"/>
        <w:spacing w:line="276" w:lineRule="auto"/>
        <w:rPr>
          <w:rFonts w:hint="eastAsia" w:ascii="宋体" w:hAnsi="宋体"/>
          <w:color w:val="auto"/>
          <w:highlight w:val="none"/>
        </w:rPr>
      </w:pPr>
      <w:r>
        <w:rPr>
          <w:rFonts w:hint="eastAsia" w:ascii="宋体" w:hAnsi="宋体"/>
          <w:color w:val="auto"/>
          <w:highlight w:val="none"/>
        </w:rPr>
        <w:t>1.4 投标人资格要求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1.4.1 投标人具备的资格条件应符合本章前附表第1.4.1款的要求，和本章正文第1.4.3的情形。</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本章前附表规定接受联合体投标的，除应符合本章第1.4.1款和本章前附表的要求外，还应遵守以下规定：</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（3）联合体各方不得再以自己名义单独或参加其他联合体在同一项目中投标。</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1.4.3 投标人不得存在下列情形之一：</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（l）为招标人不具有独立法人资格的附属机构（单位）；</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（2）为本标段前期准备提供设计或咨询服务的；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（3）为本标段的监理人；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（4）为本标段的代建人；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（5）为本标段提供招标代理服务的；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（6）与本标段的</w:t>
      </w:r>
      <w:r>
        <w:rPr>
          <w:rFonts w:hint="eastAsia" w:ascii="宋体" w:hAnsi="宋体"/>
          <w:color w:val="auto"/>
          <w:szCs w:val="21"/>
          <w:highlight w:val="none"/>
          <w:lang w:eastAsia="zh-CN"/>
        </w:rPr>
        <w:t>其他投标人或</w:t>
      </w:r>
      <w:r>
        <w:rPr>
          <w:rFonts w:hint="eastAsia" w:ascii="宋体" w:hAnsi="宋体"/>
          <w:color w:val="auto"/>
          <w:szCs w:val="21"/>
          <w:highlight w:val="none"/>
        </w:rPr>
        <w:t>监理人或代建人或招标代理机构同为一个法定代表人的；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（7）与本标段的</w:t>
      </w:r>
      <w:r>
        <w:rPr>
          <w:rFonts w:hint="eastAsia" w:ascii="宋体" w:hAnsi="宋体"/>
          <w:color w:val="auto"/>
          <w:szCs w:val="21"/>
          <w:highlight w:val="none"/>
          <w:lang w:eastAsia="zh-CN"/>
        </w:rPr>
        <w:t>其他投标人或</w:t>
      </w:r>
      <w:r>
        <w:rPr>
          <w:rFonts w:hint="eastAsia" w:ascii="宋体" w:hAnsi="宋体"/>
          <w:color w:val="auto"/>
          <w:szCs w:val="21"/>
          <w:highlight w:val="none"/>
        </w:rPr>
        <w:t>监理人或代建人或招标代理机构相互控股或参股的；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（8）与本标段的监理人或代建人或招标代理机构相互任职或工作的；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（9）被责令停业的；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（10）被</w:t>
      </w:r>
      <w:r>
        <w:rPr>
          <w:rFonts w:hint="eastAsia" w:ascii="宋体" w:hAnsi="宋体"/>
          <w:color w:val="auto"/>
          <w:sz w:val="21"/>
          <w:szCs w:val="21"/>
          <w:highlight w:val="none"/>
          <w:lang w:eastAsia="zh-CN"/>
        </w:rPr>
        <w:t>国家、广东省、江门市或项目所属县级</w:t>
      </w:r>
      <w:r>
        <w:rPr>
          <w:rFonts w:hint="eastAsia" w:ascii="宋体" w:hAnsi="宋体"/>
          <w:color w:val="auto"/>
          <w:szCs w:val="21"/>
          <w:highlight w:val="none"/>
        </w:rPr>
        <w:t>建设行政主管部门暂停或取消投标资格的；</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（11）财产被接管或冻结的；</w:t>
      </w:r>
    </w:p>
    <w:p>
      <w:pPr>
        <w:spacing w:line="276" w:lineRule="auto"/>
        <w:ind w:firstLine="420" w:firstLineChars="200"/>
        <w:rPr>
          <w:rFonts w:hint="eastAsia" w:ascii="宋体" w:hAnsi="宋体"/>
          <w:color w:val="auto"/>
          <w:szCs w:val="21"/>
          <w:highlight w:val="none"/>
        </w:rPr>
      </w:pPr>
      <w:r>
        <w:rPr>
          <w:rFonts w:hint="eastAsia" w:ascii="宋体" w:hAnsi="宋体" w:eastAsia="宋体" w:cs="Times New Roman"/>
          <w:color w:val="auto"/>
          <w:kern w:val="2"/>
          <w:szCs w:val="21"/>
          <w:highlight w:val="none"/>
          <w:lang w:eastAsia="zh-CN"/>
        </w:rPr>
        <w:t>（</w:t>
      </w:r>
      <w:r>
        <w:rPr>
          <w:rFonts w:hint="eastAsia" w:ascii="宋体" w:hAnsi="宋体" w:eastAsia="宋体" w:cs="Times New Roman"/>
          <w:color w:val="auto"/>
          <w:kern w:val="2"/>
          <w:szCs w:val="21"/>
          <w:highlight w:val="none"/>
          <w:lang w:val="en-US" w:eastAsia="zh-CN"/>
        </w:rPr>
        <w:t>12</w:t>
      </w:r>
      <w:r>
        <w:rPr>
          <w:rFonts w:hint="eastAsia" w:ascii="宋体" w:hAnsi="宋体" w:eastAsia="宋体" w:cs="Times New Roman"/>
          <w:color w:val="auto"/>
          <w:kern w:val="2"/>
          <w:szCs w:val="21"/>
          <w:highlight w:val="none"/>
          <w:lang w:eastAsia="zh-CN"/>
        </w:rPr>
        <w:t>）</w:t>
      </w:r>
      <w:r>
        <w:rPr>
          <w:rFonts w:hint="eastAsia" w:ascii="宋体" w:hAnsi="宋体"/>
          <w:color w:val="auto"/>
          <w:szCs w:val="21"/>
          <w:highlight w:val="none"/>
        </w:rPr>
        <w:t>法律法规或本章前附表规定的其他情形。</w:t>
      </w:r>
    </w:p>
    <w:p>
      <w:pPr>
        <w:pStyle w:val="6"/>
        <w:spacing w:line="276" w:lineRule="auto"/>
        <w:rPr>
          <w:rFonts w:hint="eastAsia" w:ascii="宋体" w:hAnsi="宋体"/>
          <w:color w:val="auto"/>
          <w:highlight w:val="none"/>
        </w:rPr>
      </w:pPr>
      <w:r>
        <w:rPr>
          <w:rFonts w:hint="eastAsia" w:ascii="宋体" w:hAnsi="宋体"/>
          <w:color w:val="auto"/>
          <w:highlight w:val="none"/>
        </w:rPr>
        <w:t>1.5 费用承担</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pStyle w:val="6"/>
        <w:spacing w:line="276" w:lineRule="auto"/>
        <w:rPr>
          <w:rFonts w:hint="eastAsia" w:ascii="宋体" w:hAnsi="宋体"/>
          <w:color w:val="auto"/>
          <w:highlight w:val="none"/>
        </w:rPr>
      </w:pPr>
      <w:r>
        <w:rPr>
          <w:rFonts w:hint="eastAsia" w:ascii="宋体" w:hAnsi="宋体"/>
          <w:color w:val="auto"/>
          <w:highlight w:val="none"/>
        </w:rPr>
        <w:t>1.6 保密</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pPr>
        <w:pStyle w:val="6"/>
        <w:spacing w:line="276" w:lineRule="auto"/>
        <w:rPr>
          <w:rFonts w:hint="eastAsia" w:ascii="宋体" w:hAnsi="宋体"/>
          <w:color w:val="auto"/>
          <w:highlight w:val="none"/>
        </w:rPr>
      </w:pPr>
      <w:r>
        <w:rPr>
          <w:rFonts w:hint="eastAsia" w:ascii="宋体" w:hAnsi="宋体"/>
          <w:color w:val="auto"/>
          <w:highlight w:val="none"/>
        </w:rPr>
        <w:t>1.7 语言文字</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pPr>
        <w:pStyle w:val="6"/>
        <w:spacing w:line="276" w:lineRule="auto"/>
        <w:rPr>
          <w:rFonts w:hint="eastAsia" w:ascii="宋体" w:hAnsi="宋体"/>
          <w:color w:val="auto"/>
          <w:highlight w:val="none"/>
        </w:rPr>
      </w:pPr>
      <w:r>
        <w:rPr>
          <w:rFonts w:hint="eastAsia" w:ascii="宋体" w:hAnsi="宋体"/>
          <w:color w:val="auto"/>
          <w:highlight w:val="none"/>
        </w:rPr>
        <w:t>1.8 计量单位</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ind w:firstLine="0" w:firstLineChars="0"/>
        <w:rPr>
          <w:rFonts w:hint="eastAsia" w:ascii="宋体" w:hAnsi="宋体"/>
          <w:b/>
          <w:bCs/>
          <w:color w:val="auto"/>
          <w:highlight w:val="none"/>
        </w:rPr>
      </w:pPr>
      <w:r>
        <w:rPr>
          <w:rFonts w:hint="eastAsia" w:ascii="宋体" w:hAnsi="宋体"/>
          <w:b/>
          <w:bCs/>
          <w:color w:val="auto"/>
          <w:highlight w:val="none"/>
        </w:rPr>
        <w:t>1.9 踏勘现场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 本章前附表规定组织踏勘现场的，招标人按本章前附表规定的时间、地点组织投标人踏勘项目现场。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1.9.2 投标人踏勘现场发生的费用自理。</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1.9.3 除招标人的原因外，投标人自行负责在踏勘现场中所发生的人员伤亡和财产损失。</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招标人在踏勘现场中介绍的工程场地和相关的周边环境情况，供投标人在编制投标文件时参考，招标人不对投标人据此作出的判断和决策负责。</w:t>
      </w:r>
    </w:p>
    <w:p>
      <w:pPr>
        <w:pStyle w:val="6"/>
        <w:spacing w:line="276" w:lineRule="auto"/>
        <w:rPr>
          <w:rFonts w:hint="eastAsia" w:ascii="宋体" w:hAnsi="宋体"/>
          <w:color w:val="auto"/>
          <w:highlight w:val="none"/>
        </w:rPr>
      </w:pPr>
      <w:r>
        <w:rPr>
          <w:rFonts w:hint="eastAsia" w:ascii="宋体" w:hAnsi="宋体"/>
          <w:color w:val="auto"/>
          <w:highlight w:val="none"/>
        </w:rPr>
        <w:t>1.10 分包</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投标人拟在中标后将中标项目的部分非主体、非关键性工作进行分包的，应符合本章前附表规定的分包内容、分包金额和接受分包的第三人资质要求等限制性条件。</w:t>
      </w:r>
    </w:p>
    <w:p>
      <w:pPr>
        <w:pStyle w:val="6"/>
        <w:spacing w:line="276" w:lineRule="auto"/>
        <w:rPr>
          <w:rFonts w:hint="eastAsia" w:ascii="宋体" w:hAnsi="宋体"/>
          <w:color w:val="auto"/>
          <w:highlight w:val="none"/>
        </w:rPr>
      </w:pPr>
      <w:r>
        <w:rPr>
          <w:rFonts w:hint="eastAsia" w:ascii="宋体" w:hAnsi="宋体"/>
          <w:color w:val="auto"/>
          <w:highlight w:val="none"/>
        </w:rPr>
        <w:t>1.11 偏离</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本章前附表允许投标文件偏离招标文件某些要求的，偏离应当符合招标文件规定的偏离范围和幅度。</w:t>
      </w:r>
    </w:p>
    <w:p>
      <w:pPr>
        <w:pStyle w:val="5"/>
        <w:spacing w:line="276" w:lineRule="auto"/>
        <w:rPr>
          <w:rFonts w:hint="eastAsia" w:ascii="宋体" w:hAnsi="宋体"/>
          <w:color w:val="auto"/>
          <w:highlight w:val="none"/>
        </w:rPr>
      </w:pPr>
      <w:bookmarkStart w:id="15" w:name="_Toc184635072"/>
      <w:r>
        <w:rPr>
          <w:rFonts w:hint="eastAsia" w:ascii="宋体" w:hAnsi="宋体"/>
          <w:color w:val="auto"/>
          <w:highlight w:val="none"/>
        </w:rPr>
        <w:t>2.招标文件</w:t>
      </w:r>
      <w:bookmarkEnd w:id="15"/>
    </w:p>
    <w:p>
      <w:pPr>
        <w:pStyle w:val="6"/>
        <w:spacing w:line="276" w:lineRule="auto"/>
        <w:rPr>
          <w:rFonts w:hint="eastAsia" w:ascii="宋体" w:hAnsi="宋体"/>
          <w:color w:val="auto"/>
          <w:highlight w:val="none"/>
        </w:rPr>
      </w:pPr>
      <w:r>
        <w:rPr>
          <w:rFonts w:hint="eastAsia" w:ascii="宋体" w:hAnsi="宋体"/>
          <w:color w:val="auto"/>
          <w:highlight w:val="none"/>
        </w:rPr>
        <w:t>2.1 招标文件的组成</w:t>
      </w:r>
    </w:p>
    <w:p>
      <w:pPr>
        <w:spacing w:line="276" w:lineRule="auto"/>
        <w:ind w:firstLine="420" w:firstLineChars="200"/>
        <w:rPr>
          <w:rFonts w:hint="eastAsia" w:ascii="宋体" w:hAnsi="宋体"/>
          <w:color w:val="auto"/>
          <w:highlight w:val="none"/>
        </w:rPr>
      </w:pPr>
      <w:r>
        <w:rPr>
          <w:rFonts w:hint="eastAsia" w:ascii="宋体" w:hAnsi="宋体"/>
          <w:color w:val="auto"/>
          <w:szCs w:val="21"/>
          <w:highlight w:val="none"/>
        </w:rPr>
        <w:t>本招标文件</w:t>
      </w:r>
      <w:r>
        <w:rPr>
          <w:rFonts w:hint="eastAsia" w:ascii="宋体" w:hAnsi="宋体"/>
          <w:color w:val="auto"/>
          <w:szCs w:val="21"/>
          <w:highlight w:val="none"/>
          <w:lang w:val="en-US" w:eastAsia="zh-CN"/>
        </w:rPr>
        <w:t>除</w:t>
      </w:r>
      <w:r>
        <w:rPr>
          <w:rFonts w:hint="eastAsia" w:ascii="宋体" w:hAnsi="宋体"/>
          <w:color w:val="auto"/>
          <w:szCs w:val="21"/>
          <w:highlight w:val="none"/>
        </w:rPr>
        <w:t>包括</w:t>
      </w:r>
      <w:r>
        <w:rPr>
          <w:rFonts w:hint="eastAsia" w:ascii="宋体" w:hAnsi="宋体"/>
          <w:color w:val="auto"/>
          <w:szCs w:val="21"/>
          <w:highlight w:val="none"/>
          <w:lang w:val="en-US" w:eastAsia="zh-CN"/>
        </w:rPr>
        <w:t>目录显示的内容外，</w:t>
      </w:r>
      <w:r>
        <w:rPr>
          <w:rFonts w:hint="eastAsia" w:ascii="宋体" w:hAnsi="宋体"/>
          <w:color w:val="auto"/>
          <w:szCs w:val="21"/>
          <w:highlight w:val="none"/>
        </w:rPr>
        <w:t>本章前附表规定的构成</w:t>
      </w:r>
      <w:r>
        <w:rPr>
          <w:rFonts w:hint="eastAsia" w:ascii="宋体" w:hAnsi="宋体"/>
          <w:color w:val="auto"/>
          <w:szCs w:val="21"/>
          <w:highlight w:val="none"/>
          <w:lang w:eastAsia="zh-CN"/>
        </w:rPr>
        <w:t>招</w:t>
      </w:r>
      <w:r>
        <w:rPr>
          <w:rFonts w:hint="eastAsia" w:ascii="宋体" w:hAnsi="宋体"/>
          <w:color w:val="auto"/>
          <w:szCs w:val="21"/>
          <w:highlight w:val="none"/>
        </w:rPr>
        <w:t>标文件的其他材料</w:t>
      </w:r>
      <w:r>
        <w:rPr>
          <w:rFonts w:hint="eastAsia" w:ascii="宋体" w:hAnsi="宋体"/>
          <w:color w:val="auto"/>
          <w:szCs w:val="21"/>
          <w:highlight w:val="none"/>
          <w:lang w:eastAsia="zh-CN"/>
        </w:rPr>
        <w:t>，及</w:t>
      </w:r>
      <w:r>
        <w:rPr>
          <w:rFonts w:hint="eastAsia" w:ascii="宋体" w:hAnsi="宋体"/>
          <w:color w:val="auto"/>
          <w:szCs w:val="21"/>
          <w:highlight w:val="none"/>
        </w:rPr>
        <w:t>对招标文件作出的澄清和修改</w:t>
      </w:r>
      <w:r>
        <w:rPr>
          <w:rFonts w:hint="eastAsia" w:ascii="宋体" w:hAnsi="宋体"/>
          <w:color w:val="auto"/>
          <w:szCs w:val="21"/>
          <w:highlight w:val="none"/>
          <w:lang w:eastAsia="zh-CN"/>
        </w:rPr>
        <w:t>，</w:t>
      </w:r>
      <w:r>
        <w:rPr>
          <w:rFonts w:hint="eastAsia" w:ascii="宋体" w:hAnsi="宋体"/>
          <w:color w:val="auto"/>
          <w:szCs w:val="21"/>
          <w:highlight w:val="none"/>
        </w:rPr>
        <w:t>同</w:t>
      </w:r>
      <w:r>
        <w:rPr>
          <w:rFonts w:ascii="宋体" w:hAnsi="宋体"/>
          <w:color w:val="auto"/>
          <w:szCs w:val="21"/>
          <w:highlight w:val="none"/>
        </w:rPr>
        <w:t>为</w:t>
      </w:r>
      <w:r>
        <w:rPr>
          <w:rFonts w:hint="eastAsia" w:ascii="宋体" w:hAnsi="宋体"/>
          <w:color w:val="auto"/>
          <w:szCs w:val="21"/>
          <w:highlight w:val="none"/>
        </w:rPr>
        <w:t>招标文件的组成部分。</w:t>
      </w:r>
      <w:r>
        <w:rPr>
          <w:rFonts w:hint="eastAsia" w:ascii="宋体" w:hAnsi="宋体"/>
          <w:color w:val="auto"/>
          <w:highlight w:val="none"/>
        </w:rPr>
        <w:t>2.2 提出疑问</w:t>
      </w:r>
      <w:r>
        <w:rPr>
          <w:rFonts w:ascii="宋体" w:hAnsi="宋体"/>
          <w:color w:val="auto"/>
          <w:highlight w:val="none"/>
        </w:rPr>
        <w:t>和异议</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w:t>
      </w:r>
    </w:p>
    <w:p>
      <w:pPr>
        <w:spacing w:line="276"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rPr>
        <w:t>对招标文件</w:t>
      </w:r>
      <w:r>
        <w:rPr>
          <w:rFonts w:hint="eastAsia" w:ascii="宋体" w:hAnsi="宋体"/>
          <w:color w:val="auto"/>
          <w:szCs w:val="21"/>
          <w:highlight w:val="none"/>
        </w:rPr>
        <w:t>有疑问的，应在</w:t>
      </w:r>
      <w:r>
        <w:rPr>
          <w:rFonts w:hint="eastAsia" w:ascii="宋体" w:hAnsi="宋体"/>
          <w:color w:val="auto"/>
          <w:szCs w:val="21"/>
          <w:highlight w:val="none"/>
          <w:lang w:val="en-US" w:eastAsia="zh-CN"/>
        </w:rPr>
        <w:t>招标公告</w:t>
      </w:r>
      <w:r>
        <w:rPr>
          <w:rFonts w:hint="eastAsia" w:ascii="宋体" w:hAnsi="宋体"/>
          <w:color w:val="auto"/>
          <w:szCs w:val="21"/>
          <w:highlight w:val="none"/>
        </w:rPr>
        <w:t>规定的时间前通过</w:t>
      </w:r>
      <w:r>
        <w:rPr>
          <w:rFonts w:hint="eastAsia" w:ascii="宋体" w:hAnsi="宋体"/>
          <w:color w:val="auto"/>
          <w:highlight w:val="none"/>
        </w:rPr>
        <w:t>江门市公共资源交易</w:t>
      </w:r>
      <w:r>
        <w:rPr>
          <w:rFonts w:hint="eastAsia" w:ascii="宋体" w:hAnsi="宋体"/>
          <w:color w:val="auto"/>
          <w:highlight w:val="none"/>
          <w:lang w:eastAsia="zh-CN"/>
        </w:rPr>
        <w:t>系统</w:t>
      </w:r>
      <w:r>
        <w:rPr>
          <w:rFonts w:hint="eastAsia" w:ascii="宋体" w:hAnsi="宋体"/>
          <w:color w:val="auto"/>
          <w:highlight w:val="none"/>
        </w:rPr>
        <w:t>向</w:t>
      </w:r>
      <w:r>
        <w:rPr>
          <w:rFonts w:hint="eastAsia" w:ascii="宋体" w:hAnsi="宋体"/>
          <w:color w:val="auto"/>
          <w:szCs w:val="21"/>
          <w:highlight w:val="none"/>
        </w:rPr>
        <w:t>招标人提出；投标人或者其他利害关系人对招标文件有异议的，应当在投标截止时间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日内作出答复，作出答复前，将暂停招标投标活动。截止时间后，招标人不再接受投标人</w:t>
      </w:r>
      <w:r>
        <w:rPr>
          <w:rFonts w:hint="eastAsia" w:ascii="宋体" w:hAnsi="宋体"/>
          <w:color w:val="auto"/>
          <w:szCs w:val="21"/>
          <w:highlight w:val="none"/>
          <w:lang w:val="en-US" w:eastAsia="zh-CN"/>
        </w:rPr>
        <w:t>对招标文件</w:t>
      </w:r>
      <w:r>
        <w:rPr>
          <w:rFonts w:hint="eastAsia" w:ascii="宋体" w:hAnsi="宋体"/>
          <w:color w:val="auto"/>
          <w:szCs w:val="21"/>
          <w:highlight w:val="none"/>
        </w:rPr>
        <w:t>提出的</w:t>
      </w:r>
      <w:r>
        <w:rPr>
          <w:rFonts w:hint="eastAsia" w:ascii="宋体" w:hAnsi="宋体"/>
          <w:color w:val="auto"/>
          <w:highlight w:val="none"/>
        </w:rPr>
        <w:t>疑问</w:t>
      </w:r>
      <w:r>
        <w:rPr>
          <w:rFonts w:ascii="宋体" w:hAnsi="宋体"/>
          <w:color w:val="auto"/>
          <w:highlight w:val="none"/>
        </w:rPr>
        <w:t>和异议</w:t>
      </w:r>
      <w:r>
        <w:rPr>
          <w:rFonts w:hint="eastAsia" w:ascii="宋体" w:hAnsi="宋体"/>
          <w:color w:val="auto"/>
          <w:highlight w:val="none"/>
        </w:rPr>
        <w:t>。</w:t>
      </w:r>
    </w:p>
    <w:p>
      <w:pPr>
        <w:pStyle w:val="6"/>
        <w:spacing w:line="276" w:lineRule="auto"/>
        <w:rPr>
          <w:rFonts w:hint="eastAsia" w:ascii="宋体" w:hAnsi="宋体"/>
          <w:color w:val="auto"/>
          <w:highlight w:val="none"/>
        </w:rPr>
      </w:pPr>
      <w:r>
        <w:rPr>
          <w:rFonts w:hint="eastAsia" w:ascii="宋体" w:hAnsi="宋体"/>
          <w:color w:val="auto"/>
          <w:highlight w:val="none"/>
        </w:rPr>
        <w:t>2.3 招标文件的澄清</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2.3.1 投标人应仔细阅读招标文件的全部内容。要求招标人对招标文件予以澄清的，应在</w:t>
      </w:r>
      <w:r>
        <w:rPr>
          <w:rFonts w:hint="eastAsia" w:ascii="宋体" w:hAnsi="宋体"/>
          <w:color w:val="auto"/>
          <w:szCs w:val="21"/>
          <w:highlight w:val="none"/>
          <w:lang w:val="en-US" w:eastAsia="zh-CN"/>
        </w:rPr>
        <w:t>招标公告</w:t>
      </w:r>
      <w:r>
        <w:rPr>
          <w:rFonts w:hint="eastAsia" w:ascii="宋体" w:hAnsi="宋体"/>
          <w:color w:val="auto"/>
          <w:szCs w:val="21"/>
          <w:highlight w:val="none"/>
        </w:rPr>
        <w:t>规定的时间前通过</w:t>
      </w:r>
      <w:r>
        <w:rPr>
          <w:rFonts w:hint="eastAsia" w:ascii="宋体" w:hAnsi="宋体"/>
          <w:color w:val="auto"/>
          <w:highlight w:val="none"/>
        </w:rPr>
        <w:t>江门市公共资源交易</w:t>
      </w:r>
      <w:r>
        <w:rPr>
          <w:rFonts w:hint="eastAsia" w:ascii="宋体" w:hAnsi="宋体"/>
          <w:color w:val="auto"/>
          <w:highlight w:val="none"/>
          <w:lang w:eastAsia="zh-CN"/>
        </w:rPr>
        <w:t>系统</w:t>
      </w:r>
      <w:r>
        <w:rPr>
          <w:rFonts w:hint="eastAsia" w:ascii="宋体" w:hAnsi="宋体"/>
          <w:color w:val="auto"/>
          <w:highlight w:val="none"/>
        </w:rPr>
        <w:t>提出</w:t>
      </w:r>
      <w:r>
        <w:rPr>
          <w:rFonts w:hint="eastAsia" w:ascii="宋体" w:hAnsi="宋体"/>
          <w:color w:val="auto"/>
          <w:szCs w:val="21"/>
          <w:highlight w:val="none"/>
        </w:rPr>
        <w:t>。截止时间后，招标人不再接受投标人的</w:t>
      </w:r>
      <w:r>
        <w:rPr>
          <w:rFonts w:ascii="宋体" w:hAnsi="宋体"/>
          <w:color w:val="auto"/>
          <w:szCs w:val="21"/>
          <w:highlight w:val="none"/>
        </w:rPr>
        <w:t>澄清要求</w:t>
      </w:r>
      <w:r>
        <w:rPr>
          <w:rFonts w:hint="eastAsia" w:ascii="宋体" w:hAnsi="宋体"/>
          <w:color w:val="auto"/>
          <w:highlight w:val="none"/>
        </w:rPr>
        <w:t>。</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2.3.2 招标文件的澄清将在</w:t>
      </w:r>
      <w:r>
        <w:rPr>
          <w:rFonts w:hint="eastAsia" w:ascii="宋体" w:hAnsi="宋体"/>
          <w:color w:val="auto"/>
          <w:szCs w:val="21"/>
          <w:highlight w:val="none"/>
          <w:lang w:val="en-US" w:eastAsia="zh-CN"/>
        </w:rPr>
        <w:t>招标公告</w:t>
      </w:r>
      <w:r>
        <w:rPr>
          <w:rFonts w:hint="eastAsia" w:ascii="宋体" w:hAnsi="宋体"/>
          <w:color w:val="auto"/>
          <w:szCs w:val="21"/>
          <w:highlight w:val="none"/>
        </w:rPr>
        <w:t>规定的投标截止时间15天前以公开形式通过</w:t>
      </w:r>
      <w:r>
        <w:rPr>
          <w:rFonts w:hint="eastAsia" w:ascii="宋体" w:hAnsi="宋体"/>
          <w:color w:val="auto"/>
          <w:highlight w:val="none"/>
        </w:rPr>
        <w:t>江门市公共资源交易</w:t>
      </w:r>
      <w:r>
        <w:rPr>
          <w:rFonts w:hint="eastAsia" w:ascii="宋体" w:hAnsi="宋体"/>
          <w:color w:val="auto"/>
          <w:highlight w:val="none"/>
          <w:lang w:eastAsia="zh-CN"/>
        </w:rPr>
        <w:t>系统</w:t>
      </w:r>
      <w:r>
        <w:rPr>
          <w:rFonts w:hint="eastAsia" w:ascii="宋体" w:hAnsi="宋体"/>
          <w:color w:val="auto"/>
          <w:szCs w:val="21"/>
          <w:highlight w:val="none"/>
        </w:rPr>
        <w:t>通知所有招标文件收受人，但不指明澄清问题的来源。如果澄清发出的时间距投标截止时间不足15天，相应延长投标截止时间。</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2.3.3 投标人应</w:t>
      </w:r>
      <w:r>
        <w:rPr>
          <w:rFonts w:hint="eastAsia" w:ascii="宋体" w:hAnsi="宋体"/>
          <w:color w:val="auto"/>
          <w:szCs w:val="21"/>
          <w:highlight w:val="none"/>
          <w:lang w:eastAsia="zh-CN"/>
        </w:rPr>
        <w:t>及</w:t>
      </w:r>
      <w:r>
        <w:rPr>
          <w:rFonts w:hint="eastAsia" w:ascii="宋体" w:hAnsi="宋体"/>
          <w:color w:val="auto"/>
          <w:szCs w:val="21"/>
          <w:highlight w:val="none"/>
        </w:rPr>
        <w:t>时关注</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，以便收到有关信息。招标人通过</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发出通知视为将招标文件的澄清送达到各招标文件收受人。</w:t>
      </w:r>
    </w:p>
    <w:p>
      <w:pPr>
        <w:pStyle w:val="6"/>
        <w:spacing w:line="276" w:lineRule="auto"/>
        <w:rPr>
          <w:rFonts w:hint="eastAsia" w:ascii="宋体" w:hAnsi="宋体"/>
          <w:color w:val="auto"/>
          <w:highlight w:val="none"/>
        </w:rPr>
      </w:pPr>
      <w:r>
        <w:rPr>
          <w:rFonts w:hint="eastAsia" w:ascii="宋体" w:hAnsi="宋体"/>
          <w:color w:val="auto"/>
          <w:highlight w:val="none"/>
        </w:rPr>
        <w:t>2.4 招标文件的修改</w:t>
      </w:r>
    </w:p>
    <w:p>
      <w:pPr>
        <w:spacing w:line="276" w:lineRule="auto"/>
        <w:ind w:firstLine="420" w:firstLineChars="200"/>
        <w:rPr>
          <w:rFonts w:hint="eastAsia" w:ascii="宋体" w:hAnsi="宋体"/>
          <w:color w:val="auto"/>
          <w:szCs w:val="21"/>
          <w:highlight w:val="none"/>
        </w:rPr>
      </w:pPr>
      <w:bookmarkStart w:id="16" w:name="_Toc184635073"/>
      <w:r>
        <w:rPr>
          <w:rFonts w:hint="eastAsia" w:ascii="宋体" w:hAnsi="宋体"/>
          <w:color w:val="auto"/>
          <w:szCs w:val="21"/>
          <w:highlight w:val="none"/>
        </w:rPr>
        <w:t>2.4.1 在投标截止时间15天前，招标人可以修改招标文件，并以公开形式通过</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通知所有招标文件收受人。如果修改招标文件的时间距投标截止时间不足15天，相应延长投标截止时间。</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2.4.2</w:t>
      </w:r>
      <w:r>
        <w:rPr>
          <w:rFonts w:ascii="宋体" w:hAnsi="宋体"/>
          <w:color w:val="auto"/>
          <w:szCs w:val="21"/>
          <w:highlight w:val="none"/>
        </w:rPr>
        <w:t xml:space="preserve"> </w:t>
      </w:r>
      <w:r>
        <w:rPr>
          <w:rFonts w:hint="eastAsia" w:ascii="宋体" w:hAnsi="宋体"/>
          <w:color w:val="auto"/>
          <w:szCs w:val="21"/>
          <w:highlight w:val="none"/>
        </w:rPr>
        <w:t>投标人应随时关注</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，以便及时收到有关信息。招标人通过</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发出通知视为将招标文件的修改送达各招标文件收受人。投标人如不随时关注</w:t>
      </w:r>
      <w:r>
        <w:rPr>
          <w:rFonts w:hint="eastAsia" w:ascii="宋体" w:hAnsi="宋体"/>
          <w:color w:val="auto"/>
          <w:szCs w:val="21"/>
          <w:highlight w:val="none"/>
          <w:lang w:eastAsia="zh-CN"/>
        </w:rPr>
        <w:t>广东省</w:t>
      </w:r>
      <w:r>
        <w:rPr>
          <w:rFonts w:hint="eastAsia" w:ascii="宋体" w:hAnsi="宋体"/>
          <w:color w:val="auto"/>
          <w:highlight w:val="none"/>
        </w:rPr>
        <w:t>公共资源交易平台</w:t>
      </w:r>
      <w:r>
        <w:rPr>
          <w:rFonts w:hint="eastAsia" w:ascii="宋体" w:hAnsi="宋体"/>
          <w:color w:val="auto"/>
          <w:highlight w:val="none"/>
          <w:lang w:eastAsia="zh-CN"/>
        </w:rPr>
        <w:t>（江门市）</w:t>
      </w:r>
      <w:r>
        <w:rPr>
          <w:rFonts w:hint="eastAsia" w:ascii="宋体" w:hAnsi="宋体"/>
          <w:color w:val="auto"/>
          <w:szCs w:val="21"/>
          <w:highlight w:val="none"/>
        </w:rPr>
        <w:t>，由此引起的后果由投标人负责。</w:t>
      </w:r>
    </w:p>
    <w:p>
      <w:pPr>
        <w:pStyle w:val="5"/>
        <w:spacing w:line="276" w:lineRule="auto"/>
        <w:rPr>
          <w:rFonts w:hint="eastAsia" w:ascii="宋体" w:hAnsi="宋体"/>
          <w:color w:val="auto"/>
          <w:highlight w:val="none"/>
        </w:rPr>
      </w:pPr>
      <w:r>
        <w:rPr>
          <w:rFonts w:hint="eastAsia" w:ascii="宋体" w:hAnsi="宋体"/>
          <w:color w:val="auto"/>
          <w:highlight w:val="none"/>
        </w:rPr>
        <w:t>3.投标文件</w:t>
      </w:r>
      <w:bookmarkEnd w:id="16"/>
    </w:p>
    <w:p>
      <w:pPr>
        <w:pStyle w:val="6"/>
        <w:spacing w:line="276" w:lineRule="auto"/>
        <w:rPr>
          <w:rFonts w:hint="eastAsia" w:ascii="宋体" w:hAnsi="宋体"/>
          <w:color w:val="auto"/>
          <w:highlight w:val="none"/>
        </w:rPr>
      </w:pPr>
      <w:r>
        <w:rPr>
          <w:rFonts w:hint="eastAsia" w:ascii="宋体" w:hAnsi="宋体"/>
          <w:color w:val="auto"/>
          <w:highlight w:val="none"/>
        </w:rPr>
        <w:t>3.1 投标文件的组成</w:t>
      </w:r>
    </w:p>
    <w:p>
      <w:pPr>
        <w:spacing w:line="276"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3.1.1 投标文件分为评标部分和定标部分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编制格式</w:t>
      </w:r>
      <w:r>
        <w:rPr>
          <w:rFonts w:hint="eastAsia" w:ascii="宋体" w:hAnsi="宋体"/>
          <w:color w:val="auto"/>
          <w:szCs w:val="21"/>
          <w:highlight w:val="none"/>
        </w:rPr>
        <w:t>详见第九章“投标文件格式”</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并</w:t>
      </w:r>
      <w:r>
        <w:rPr>
          <w:rFonts w:hint="eastAsia" w:ascii="宋体" w:hAnsi="宋体"/>
          <w:color w:val="auto"/>
          <w:szCs w:val="21"/>
          <w:highlight w:val="none"/>
        </w:rPr>
        <w:t>包括本章前附表规定的构成投标文件的其他材料。</w:t>
      </w:r>
    </w:p>
    <w:p>
      <w:pPr>
        <w:spacing w:line="276" w:lineRule="auto"/>
        <w:ind w:left="420" w:leftChars="200"/>
        <w:rPr>
          <w:rFonts w:hint="default" w:ascii="宋体" w:hAnsi="宋体" w:eastAsia="宋体"/>
          <w:color w:val="auto"/>
          <w:szCs w:val="21"/>
          <w:highlight w:val="none"/>
          <w:lang w:val="en-US" w:eastAsia="zh-CN"/>
        </w:rPr>
      </w:pPr>
      <w:r>
        <w:rPr>
          <w:rFonts w:hint="eastAsia" w:ascii="宋体" w:hAnsi="宋体"/>
          <w:color w:val="auto"/>
          <w:szCs w:val="21"/>
          <w:highlight w:val="none"/>
        </w:rPr>
        <w:t>3.1.2 注</w:t>
      </w:r>
      <w:r>
        <w:rPr>
          <w:rFonts w:hint="eastAsia" w:ascii="宋体" w:hAnsi="宋体"/>
          <w:color w:val="auto"/>
          <w:szCs w:val="21"/>
          <w:highlight w:val="none"/>
          <w:lang w:val="en-US" w:eastAsia="zh-CN"/>
        </w:rPr>
        <w:t>意事项</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（1）工程量清单的组成、编制、计价、格式、项目编码、项目名称、工程内容、计量单位和工程量计算规则按照招标人给出的工程量清单及国家、省有关计价规范执行。</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（2）投标人应使用符合《广东省建设工程造价文件数据交换标准化规定》（电子评标部分）的计价软件制作工程量清单报价表和单价分析表（如本招标文件要求单价分析表）。</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（3）投标人应使用江门市公共资源交易中心的投标文件</w:t>
      </w:r>
      <w:r>
        <w:rPr>
          <w:rFonts w:hint="eastAsia" w:ascii="宋体" w:hAnsi="宋体"/>
          <w:color w:val="auto"/>
          <w:szCs w:val="21"/>
          <w:highlight w:val="none"/>
          <w:lang w:eastAsia="zh-CN"/>
        </w:rPr>
        <w:t>编制工具</w:t>
      </w:r>
      <w:r>
        <w:rPr>
          <w:rFonts w:hint="eastAsia" w:ascii="宋体" w:hAnsi="宋体"/>
          <w:color w:val="auto"/>
          <w:szCs w:val="21"/>
          <w:highlight w:val="none"/>
        </w:rPr>
        <w:t>进行投标文件的合成、签</w:t>
      </w:r>
      <w:r>
        <w:rPr>
          <w:rFonts w:hint="eastAsia" w:ascii="宋体" w:hAnsi="宋体"/>
          <w:color w:val="auto"/>
          <w:szCs w:val="21"/>
          <w:highlight w:val="none"/>
          <w:lang w:eastAsia="zh-CN"/>
        </w:rPr>
        <w:t>名</w:t>
      </w:r>
      <w:r>
        <w:rPr>
          <w:rFonts w:hint="eastAsia" w:ascii="宋体" w:hAnsi="宋体"/>
          <w:color w:val="auto"/>
          <w:szCs w:val="21"/>
          <w:highlight w:val="none"/>
        </w:rPr>
        <w:t>、加盖</w:t>
      </w:r>
      <w:r>
        <w:rPr>
          <w:rFonts w:hint="eastAsia" w:ascii="宋体" w:hAnsi="宋体"/>
          <w:color w:val="auto"/>
          <w:szCs w:val="21"/>
          <w:highlight w:val="none"/>
          <w:lang w:eastAsia="zh-CN"/>
        </w:rPr>
        <w:t>单位</w:t>
      </w:r>
      <w:r>
        <w:rPr>
          <w:rFonts w:hint="eastAsia" w:ascii="宋体" w:hAnsi="宋体"/>
          <w:color w:val="auto"/>
          <w:szCs w:val="21"/>
          <w:highlight w:val="none"/>
        </w:rPr>
        <w:t>公章及加密打包工作，所有电子投标文件不能进行压缩处理。电子投标文件统一采用网络</w:t>
      </w:r>
      <w:r>
        <w:rPr>
          <w:rFonts w:ascii="宋体" w:hAnsi="宋体"/>
          <w:color w:val="auto"/>
          <w:szCs w:val="21"/>
          <w:highlight w:val="none"/>
        </w:rPr>
        <w:t>传输递交</w:t>
      </w:r>
      <w:r>
        <w:rPr>
          <w:rFonts w:hint="eastAsia" w:ascii="宋体" w:hAnsi="宋体"/>
          <w:color w:val="auto"/>
          <w:szCs w:val="21"/>
          <w:highlight w:val="none"/>
        </w:rPr>
        <w:t>的形式，投标人需在</w:t>
      </w:r>
      <w:r>
        <w:rPr>
          <w:rFonts w:ascii="宋体" w:hAnsi="宋体"/>
          <w:color w:val="auto"/>
          <w:szCs w:val="21"/>
          <w:highlight w:val="none"/>
        </w:rPr>
        <w:t>传输递交</w:t>
      </w:r>
      <w:r>
        <w:rPr>
          <w:rFonts w:hint="eastAsia" w:ascii="宋体" w:hAnsi="宋体"/>
          <w:color w:val="auto"/>
          <w:szCs w:val="21"/>
          <w:highlight w:val="none"/>
        </w:rPr>
        <w:t>投标文件截止时间前</w:t>
      </w:r>
      <w:r>
        <w:rPr>
          <w:rFonts w:hint="eastAsia" w:ascii="宋体" w:hAnsi="宋体"/>
          <w:color w:val="auto"/>
          <w:szCs w:val="21"/>
          <w:highlight w:val="none"/>
          <w:lang w:eastAsia="zh-CN"/>
        </w:rPr>
        <w:t>，</w:t>
      </w:r>
      <w:r>
        <w:rPr>
          <w:rFonts w:hint="eastAsia" w:ascii="宋体" w:hAnsi="宋体"/>
          <w:color w:val="auto"/>
          <w:szCs w:val="21"/>
          <w:highlight w:val="none"/>
        </w:rPr>
        <w:t>完整</w:t>
      </w:r>
      <w:r>
        <w:rPr>
          <w:rFonts w:ascii="宋体" w:hAnsi="宋体"/>
          <w:color w:val="auto"/>
          <w:szCs w:val="21"/>
          <w:highlight w:val="none"/>
        </w:rPr>
        <w:t>传输递交</w:t>
      </w:r>
      <w:r>
        <w:rPr>
          <w:rFonts w:hint="eastAsia" w:ascii="宋体" w:hAnsi="宋体"/>
          <w:color w:val="auto"/>
          <w:szCs w:val="21"/>
          <w:highlight w:val="none"/>
        </w:rPr>
        <w:t>至江门市公共资源交易</w:t>
      </w:r>
      <w:r>
        <w:rPr>
          <w:rFonts w:hint="eastAsia" w:ascii="宋体" w:hAnsi="宋体"/>
          <w:color w:val="auto"/>
          <w:szCs w:val="21"/>
          <w:highlight w:val="none"/>
          <w:lang w:eastAsia="zh-CN"/>
        </w:rPr>
        <w:t>系统</w:t>
      </w:r>
      <w:r>
        <w:rPr>
          <w:rFonts w:hint="eastAsia" w:ascii="宋体" w:hAnsi="宋体"/>
          <w:color w:val="auto"/>
          <w:szCs w:val="21"/>
          <w:highlight w:val="none"/>
        </w:rPr>
        <w:t>。</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（4）投标人使用依法设立的电子认证服务机构签发的电子签章认证证书对电子投标文件进行签</w:t>
      </w:r>
      <w:r>
        <w:rPr>
          <w:rFonts w:hint="eastAsia" w:ascii="宋体" w:hAnsi="宋体"/>
          <w:color w:val="auto"/>
          <w:szCs w:val="21"/>
          <w:highlight w:val="none"/>
          <w:lang w:eastAsia="zh-CN"/>
        </w:rPr>
        <w:t>名盖</w:t>
      </w:r>
      <w:r>
        <w:rPr>
          <w:rFonts w:hint="eastAsia" w:ascii="宋体" w:hAnsi="宋体"/>
          <w:color w:val="auto"/>
          <w:szCs w:val="21"/>
          <w:highlight w:val="none"/>
        </w:rPr>
        <w:t>章</w:t>
      </w:r>
      <w:r>
        <w:rPr>
          <w:rFonts w:hint="eastAsia" w:ascii="宋体" w:hAnsi="宋体"/>
          <w:color w:val="auto"/>
          <w:szCs w:val="21"/>
          <w:highlight w:val="none"/>
          <w:lang w:eastAsia="zh-CN"/>
        </w:rPr>
        <w:t>，</w:t>
      </w:r>
      <w:r>
        <w:rPr>
          <w:rFonts w:hint="eastAsia" w:ascii="宋体" w:hAnsi="宋体"/>
          <w:color w:val="auto"/>
          <w:szCs w:val="21"/>
          <w:highlight w:val="none"/>
        </w:rPr>
        <w:t>该签</w:t>
      </w:r>
      <w:r>
        <w:rPr>
          <w:rFonts w:hint="eastAsia" w:ascii="宋体" w:hAnsi="宋体"/>
          <w:color w:val="auto"/>
          <w:szCs w:val="21"/>
          <w:highlight w:val="none"/>
          <w:lang w:eastAsia="zh-CN"/>
        </w:rPr>
        <w:t>名盖</w:t>
      </w:r>
      <w:r>
        <w:rPr>
          <w:rFonts w:hint="eastAsia" w:ascii="宋体" w:hAnsi="宋体"/>
          <w:color w:val="auto"/>
          <w:szCs w:val="21"/>
          <w:highlight w:val="none"/>
        </w:rPr>
        <w:t>章与手写或加盖</w:t>
      </w:r>
      <w:r>
        <w:rPr>
          <w:rFonts w:hint="eastAsia" w:ascii="宋体" w:hAnsi="宋体"/>
          <w:color w:val="auto"/>
          <w:szCs w:val="21"/>
          <w:highlight w:val="none"/>
          <w:lang w:eastAsia="zh-CN"/>
        </w:rPr>
        <w:t>公</w:t>
      </w:r>
      <w:r>
        <w:rPr>
          <w:rFonts w:hint="eastAsia" w:ascii="宋体" w:hAnsi="宋体"/>
          <w:color w:val="auto"/>
          <w:szCs w:val="21"/>
          <w:highlight w:val="none"/>
        </w:rPr>
        <w:t>章具有同等的法律效力。</w:t>
      </w:r>
    </w:p>
    <w:p>
      <w:pPr>
        <w:spacing w:line="276" w:lineRule="auto"/>
        <w:ind w:firstLine="420" w:firstLineChars="200"/>
        <w:rPr>
          <w:rFonts w:hint="eastAsia" w:ascii="宋体" w:hAnsi="宋体"/>
          <w:color w:val="auto"/>
          <w:szCs w:val="21"/>
          <w:highlight w:val="none"/>
        </w:rPr>
      </w:pP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）投标文件应按</w:t>
      </w:r>
      <w:r>
        <w:rPr>
          <w:rFonts w:hint="eastAsia" w:ascii="宋体" w:hAnsi="宋体"/>
          <w:color w:val="auto"/>
          <w:szCs w:val="21"/>
          <w:highlight w:val="none"/>
          <w:lang w:val="en-US" w:eastAsia="zh-CN"/>
        </w:rPr>
        <w:t>招标文件</w:t>
      </w:r>
      <w:r>
        <w:rPr>
          <w:rFonts w:hint="eastAsia" w:ascii="宋体" w:hAnsi="宋体"/>
          <w:color w:val="auto"/>
          <w:szCs w:val="21"/>
          <w:highlight w:val="none"/>
        </w:rPr>
        <w:t>要求编制。如因不按要求编制而引起系统无法检索、读取相关信息时，其后果由投标人承担。</w:t>
      </w:r>
    </w:p>
    <w:p>
      <w:pPr>
        <w:spacing w:line="276" w:lineRule="auto"/>
        <w:ind w:left="399" w:leftChars="190"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本章前附表规定不接受联合体投标的，或投标人没有组成联合体的，投标文件不包括联合体协议书。</w:t>
      </w:r>
    </w:p>
    <w:p>
      <w:pPr>
        <w:pStyle w:val="6"/>
        <w:spacing w:line="276" w:lineRule="auto"/>
        <w:rPr>
          <w:rFonts w:hint="eastAsia" w:ascii="宋体" w:hAnsi="宋体"/>
          <w:color w:val="auto"/>
          <w:highlight w:val="none"/>
        </w:rPr>
      </w:pPr>
      <w:r>
        <w:rPr>
          <w:rFonts w:hint="eastAsia" w:ascii="宋体" w:hAnsi="宋体"/>
          <w:color w:val="auto"/>
          <w:highlight w:val="none"/>
        </w:rPr>
        <w:t>3.2 投标报价</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3.2.1 投标人应按</w:t>
      </w:r>
      <w:r>
        <w:rPr>
          <w:rFonts w:hint="eastAsia" w:ascii="宋体" w:hAnsi="宋体"/>
          <w:color w:val="auto"/>
          <w:szCs w:val="21"/>
          <w:highlight w:val="none"/>
          <w:lang w:eastAsia="zh-CN"/>
        </w:rPr>
        <w:t>“投标文件格式”</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要求编制工程量清单</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在投标函中进行报价</w:t>
      </w:r>
      <w:r>
        <w:rPr>
          <w:rFonts w:hint="eastAsia" w:ascii="宋体" w:hAnsi="宋体"/>
          <w:color w:val="auto"/>
          <w:szCs w:val="21"/>
          <w:highlight w:val="none"/>
        </w:rPr>
        <w:t>。</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3.2.2 投标人在投标截止时间前修改投标函中的投标总报价，应同时修改工程量清单中的相应报价。此修改须符合本章第4.3款的有关要求。</w:t>
      </w:r>
    </w:p>
    <w:p>
      <w:pPr>
        <w:spacing w:line="276"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3.2.3 招标人设有最高投标限价的，投标人的投标报价不得超过最高投标限价，最高投标限价在本章前附表中载明。</w:t>
      </w:r>
    </w:p>
    <w:p>
      <w:pPr>
        <w:pStyle w:val="6"/>
        <w:spacing w:line="276" w:lineRule="auto"/>
        <w:rPr>
          <w:rFonts w:hint="eastAsia" w:ascii="宋体" w:hAnsi="宋体"/>
          <w:color w:val="auto"/>
          <w:highlight w:val="none"/>
        </w:rPr>
      </w:pPr>
      <w:r>
        <w:rPr>
          <w:rFonts w:hint="eastAsia" w:ascii="宋体" w:hAnsi="宋体"/>
          <w:color w:val="auto"/>
          <w:highlight w:val="none"/>
        </w:rPr>
        <w:t>3.3 投标有效期</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 在本章前附表规定的投标有效期内，投标人不得要求撤回或修改其投标文件。</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3.3.2 出现特殊情况需要延长投标有效期的，招标人以</w:t>
      </w:r>
      <w:r>
        <w:rPr>
          <w:rFonts w:hint="eastAsia" w:ascii="宋体" w:hAnsi="宋体"/>
          <w:color w:val="auto"/>
          <w:szCs w:val="21"/>
          <w:highlight w:val="none"/>
          <w:lang w:val="en-US" w:eastAsia="zh-CN"/>
        </w:rPr>
        <w:t>公告</w:t>
      </w:r>
      <w:r>
        <w:rPr>
          <w:rFonts w:hint="eastAsia" w:ascii="宋体" w:hAnsi="宋体"/>
          <w:color w:val="auto"/>
          <w:szCs w:val="21"/>
          <w:highlight w:val="none"/>
        </w:rPr>
        <w:t>形式通知所有投标人延长投标有效期。投标人同意延长的，应相应延长其投标保证金的有效期，但不得要求或被允许修改或撤回其投标文件；投标人拒绝延长的，其投标失效，但投标人有权收回其投标保证金。</w:t>
      </w:r>
    </w:p>
    <w:p>
      <w:pPr>
        <w:pStyle w:val="6"/>
        <w:spacing w:line="276" w:lineRule="auto"/>
        <w:rPr>
          <w:rFonts w:hint="eastAsia" w:ascii="宋体" w:hAnsi="宋体"/>
          <w:color w:val="auto"/>
          <w:highlight w:val="none"/>
        </w:rPr>
      </w:pPr>
      <w:r>
        <w:rPr>
          <w:rFonts w:hint="eastAsia" w:ascii="宋体" w:hAnsi="宋体"/>
          <w:color w:val="auto"/>
          <w:highlight w:val="none"/>
        </w:rPr>
        <w:t>3.4 投标保证金</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3.4.1投标人在递交投标文件的同时，应按本章前附表规定的金额、担保形式递交投标保证金</w:t>
      </w:r>
      <w:r>
        <w:rPr>
          <w:rFonts w:hint="eastAsia" w:ascii="宋体" w:hAnsi="宋体"/>
          <w:color w:val="auto"/>
          <w:szCs w:val="21"/>
          <w:highlight w:val="none"/>
          <w:lang w:eastAsia="zh-CN"/>
        </w:rPr>
        <w:t>（如有）</w:t>
      </w:r>
      <w:r>
        <w:rPr>
          <w:rFonts w:hint="eastAsia" w:ascii="宋体" w:hAnsi="宋体"/>
          <w:color w:val="auto"/>
          <w:szCs w:val="21"/>
          <w:highlight w:val="none"/>
        </w:rPr>
        <w:t>，并作为其投标文件的组成部分。投标人在投标文件中，应按本章前附表的规定</w:t>
      </w:r>
      <w:r>
        <w:rPr>
          <w:rFonts w:hint="eastAsia" w:ascii="宋体" w:hAnsi="宋体"/>
          <w:color w:val="auto"/>
          <w:szCs w:val="21"/>
          <w:highlight w:val="none"/>
          <w:lang w:val="en-US" w:eastAsia="zh-CN"/>
        </w:rPr>
        <w:t>和“投标文件格式”的要求</w:t>
      </w:r>
      <w:r>
        <w:rPr>
          <w:rFonts w:hint="eastAsia" w:ascii="宋体" w:hAnsi="宋体"/>
          <w:color w:val="auto"/>
          <w:szCs w:val="21"/>
          <w:highlight w:val="none"/>
        </w:rPr>
        <w:t>提供</w:t>
      </w:r>
      <w:r>
        <w:rPr>
          <w:rFonts w:hint="eastAsia" w:ascii="宋体" w:hAnsi="宋体"/>
          <w:color w:val="auto"/>
          <w:szCs w:val="21"/>
          <w:highlight w:val="none"/>
          <w:lang w:val="en-US" w:eastAsia="zh-CN"/>
        </w:rPr>
        <w:t>佐证材料。</w:t>
      </w:r>
      <w:r>
        <w:rPr>
          <w:rFonts w:hint="eastAsia" w:ascii="宋体" w:hAnsi="宋体"/>
          <w:color w:val="auto"/>
          <w:szCs w:val="21"/>
          <w:highlight w:val="none"/>
        </w:rPr>
        <w:t>联合体投标的，其投标保证金由牵头人递交。</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3.4.2</w:t>
      </w:r>
      <w:r>
        <w:rPr>
          <w:rFonts w:ascii="宋体" w:hAnsi="宋体"/>
          <w:color w:val="auto"/>
          <w:szCs w:val="21"/>
          <w:highlight w:val="none"/>
        </w:rPr>
        <w:t xml:space="preserve"> </w:t>
      </w:r>
      <w:r>
        <w:rPr>
          <w:rFonts w:hint="eastAsia" w:ascii="宋体" w:hAnsi="宋体"/>
          <w:color w:val="auto"/>
          <w:szCs w:val="21"/>
          <w:highlight w:val="none"/>
        </w:rPr>
        <w:t>投标人提交的投标保证金须同投标文件一起交由评标委员会查验，不符合</w:t>
      </w:r>
      <w:r>
        <w:rPr>
          <w:rFonts w:hint="eastAsia" w:ascii="宋体" w:hAnsi="宋体"/>
          <w:color w:val="auto"/>
          <w:szCs w:val="21"/>
          <w:highlight w:val="none"/>
          <w:lang w:eastAsia="zh-CN"/>
        </w:rPr>
        <w:t>前款</w:t>
      </w:r>
      <w:r>
        <w:rPr>
          <w:rFonts w:hint="eastAsia" w:ascii="宋体" w:hAnsi="宋体"/>
          <w:color w:val="auto"/>
          <w:szCs w:val="21"/>
          <w:highlight w:val="none"/>
        </w:rPr>
        <w:t>规定的否决其投标。</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3.4.3</w:t>
      </w:r>
      <w:r>
        <w:rPr>
          <w:rFonts w:ascii="宋体" w:hAnsi="宋体"/>
          <w:color w:val="auto"/>
          <w:szCs w:val="21"/>
          <w:highlight w:val="none"/>
        </w:rPr>
        <w:t xml:space="preserve"> </w:t>
      </w:r>
      <w:r>
        <w:rPr>
          <w:rFonts w:hint="eastAsia" w:ascii="宋体" w:hAnsi="宋体"/>
          <w:color w:val="auto"/>
          <w:szCs w:val="21"/>
          <w:highlight w:val="none"/>
        </w:rPr>
        <w:t>投标保证金的退还，见本章前附表。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3.4.4</w:t>
      </w:r>
      <w:r>
        <w:rPr>
          <w:rFonts w:ascii="宋体" w:hAnsi="宋体"/>
          <w:color w:val="auto"/>
          <w:szCs w:val="21"/>
          <w:highlight w:val="none"/>
        </w:rPr>
        <w:t xml:space="preserve"> </w:t>
      </w:r>
      <w:r>
        <w:rPr>
          <w:rFonts w:hint="eastAsia" w:ascii="宋体" w:hAnsi="宋体"/>
          <w:color w:val="auto"/>
          <w:szCs w:val="21"/>
          <w:highlight w:val="none"/>
        </w:rPr>
        <w:t>有下列情形之一的，投标保证金将不予退还：</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（1）投标人在规定的投标有效期内撤回或修改其投标文件；</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（2）中标人在收到中标通知书后，无正当理由拒签合同协议书或未按招标文件规定提交履约担保；</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（3）发生本章前附表规定的其他可以不予退还投标保证金的情形。</w:t>
      </w:r>
    </w:p>
    <w:p>
      <w:pPr>
        <w:pStyle w:val="6"/>
        <w:spacing w:line="276" w:lineRule="auto"/>
        <w:rPr>
          <w:rFonts w:hint="eastAsia" w:ascii="宋体" w:hAnsi="宋体"/>
          <w:color w:val="auto"/>
          <w:highlight w:val="none"/>
        </w:rPr>
      </w:pPr>
      <w:r>
        <w:rPr>
          <w:rFonts w:hint="eastAsia" w:ascii="宋体" w:hAnsi="宋体"/>
          <w:color w:val="auto"/>
          <w:highlight w:val="none"/>
        </w:rPr>
        <w:t>3.5 资格（形式、响应）审查材料</w:t>
      </w:r>
    </w:p>
    <w:p>
      <w:pPr>
        <w:spacing w:line="276"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3.5.1 投标人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联合体成员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根据</w:t>
      </w:r>
      <w:r>
        <w:rPr>
          <w:rFonts w:ascii="宋体" w:hAnsi="宋体"/>
          <w:color w:val="auto"/>
          <w:szCs w:val="21"/>
          <w:highlight w:val="none"/>
        </w:rPr>
        <w:t>“评标</w:t>
      </w:r>
      <w:r>
        <w:rPr>
          <w:rFonts w:hint="eastAsia" w:ascii="宋体" w:hAnsi="宋体"/>
          <w:color w:val="auto"/>
          <w:szCs w:val="21"/>
          <w:highlight w:val="none"/>
        </w:rPr>
        <w:t>办法</w:t>
      </w:r>
      <w:r>
        <w:rPr>
          <w:rFonts w:ascii="宋体" w:hAnsi="宋体"/>
          <w:color w:val="auto"/>
          <w:szCs w:val="21"/>
          <w:highlight w:val="none"/>
        </w:rPr>
        <w:t>”中资格</w:t>
      </w:r>
      <w:r>
        <w:rPr>
          <w:rFonts w:hint="eastAsia" w:ascii="宋体" w:hAnsi="宋体"/>
          <w:color w:val="auto"/>
          <w:szCs w:val="21"/>
          <w:highlight w:val="none"/>
        </w:rPr>
        <w:t>（形式、响应）</w:t>
      </w:r>
      <w:r>
        <w:rPr>
          <w:rFonts w:ascii="宋体" w:hAnsi="宋体"/>
          <w:color w:val="auto"/>
          <w:szCs w:val="21"/>
          <w:highlight w:val="none"/>
        </w:rPr>
        <w:t>评审标准的</w:t>
      </w:r>
      <w:r>
        <w:rPr>
          <w:rFonts w:hint="eastAsia" w:ascii="宋体" w:hAnsi="宋体"/>
          <w:color w:val="auto"/>
          <w:szCs w:val="21"/>
          <w:highlight w:val="none"/>
        </w:rPr>
        <w:t>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按</w:t>
      </w:r>
      <w:r>
        <w:rPr>
          <w:rFonts w:hint="eastAsia" w:ascii="宋体" w:hAnsi="宋体"/>
          <w:color w:val="auto"/>
          <w:szCs w:val="21"/>
          <w:highlight w:val="none"/>
        </w:rPr>
        <w:t>“投标文件格式”</w:t>
      </w:r>
      <w:r>
        <w:rPr>
          <w:rFonts w:ascii="宋体" w:hAnsi="宋体"/>
          <w:color w:val="auto"/>
          <w:szCs w:val="21"/>
          <w:highlight w:val="none"/>
        </w:rPr>
        <w:t>提供</w:t>
      </w:r>
      <w:r>
        <w:rPr>
          <w:rFonts w:hint="eastAsia" w:ascii="宋体" w:hAnsi="宋体"/>
          <w:color w:val="auto"/>
          <w:szCs w:val="21"/>
          <w:highlight w:val="none"/>
        </w:rPr>
        <w:t>材料</w:t>
      </w:r>
      <w:r>
        <w:rPr>
          <w:rFonts w:ascii="宋体" w:hAnsi="宋体"/>
          <w:color w:val="auto"/>
          <w:szCs w:val="21"/>
          <w:highlight w:val="none"/>
        </w:rPr>
        <w:t>。</w:t>
      </w:r>
    </w:p>
    <w:p>
      <w:pPr>
        <w:pStyle w:val="6"/>
        <w:spacing w:line="276" w:lineRule="auto"/>
        <w:rPr>
          <w:rFonts w:hint="eastAsia" w:ascii="宋体" w:hAnsi="宋体"/>
          <w:color w:val="auto"/>
          <w:highlight w:val="none"/>
        </w:rPr>
      </w:pPr>
      <w:r>
        <w:rPr>
          <w:rFonts w:hint="eastAsia" w:ascii="宋体" w:hAnsi="宋体"/>
          <w:color w:val="auto"/>
          <w:highlight w:val="none"/>
        </w:rPr>
        <w:t>3.6 备选投标方案</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本章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spacing w:line="276" w:lineRule="auto"/>
        <w:rPr>
          <w:rFonts w:hint="eastAsia" w:ascii="宋体" w:hAnsi="宋体"/>
          <w:color w:val="auto"/>
          <w:highlight w:val="none"/>
        </w:rPr>
      </w:pPr>
      <w:r>
        <w:rPr>
          <w:rFonts w:hint="eastAsia" w:ascii="宋体" w:hAnsi="宋体"/>
          <w:color w:val="auto"/>
          <w:highlight w:val="none"/>
        </w:rPr>
        <w:t>3.7 投标文件的编制</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 投标文件应按“投标文件格式”进行编制，如有必要，可以增加附页，作为投标文件的组成部分。其中，投标函附录填写</w:t>
      </w:r>
      <w:r>
        <w:rPr>
          <w:rFonts w:ascii="宋体" w:hAnsi="宋体"/>
          <w:color w:val="auto"/>
          <w:szCs w:val="21"/>
          <w:highlight w:val="none"/>
        </w:rPr>
        <w:t>内容应符合招标文件实质</w:t>
      </w:r>
      <w:r>
        <w:rPr>
          <w:rFonts w:hint="eastAsia" w:ascii="宋体" w:hAnsi="宋体"/>
          <w:color w:val="auto"/>
          <w:szCs w:val="21"/>
          <w:highlight w:val="none"/>
        </w:rPr>
        <w:t>性</w:t>
      </w:r>
      <w:r>
        <w:rPr>
          <w:rFonts w:ascii="宋体" w:hAnsi="宋体"/>
          <w:color w:val="auto"/>
          <w:szCs w:val="21"/>
          <w:highlight w:val="none"/>
        </w:rPr>
        <w:t>要求</w:t>
      </w:r>
      <w:r>
        <w:rPr>
          <w:rFonts w:hint="eastAsia" w:ascii="宋体" w:hAnsi="宋体"/>
          <w:color w:val="auto"/>
          <w:szCs w:val="21"/>
          <w:highlight w:val="none"/>
        </w:rPr>
        <w:t>。</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3.7.2 投标文件应当对招标文件有关工期、投标有效期、质量要求、技术标准和要求、招标范围等实质性内容作出响应。</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3.7.3签</w:t>
      </w:r>
      <w:r>
        <w:rPr>
          <w:rFonts w:hint="eastAsia" w:ascii="宋体" w:hAnsi="宋体"/>
          <w:color w:val="auto"/>
          <w:szCs w:val="21"/>
          <w:highlight w:val="none"/>
          <w:lang w:eastAsia="zh-CN"/>
        </w:rPr>
        <w:t>名</w:t>
      </w:r>
      <w:r>
        <w:rPr>
          <w:rFonts w:hint="eastAsia" w:ascii="宋体" w:hAnsi="宋体"/>
          <w:color w:val="auto"/>
          <w:szCs w:val="21"/>
          <w:highlight w:val="none"/>
        </w:rPr>
        <w:t>或盖章的具体要求见本章前附表。</w:t>
      </w:r>
    </w:p>
    <w:p>
      <w:pPr>
        <w:spacing w:line="276" w:lineRule="auto"/>
        <w:ind w:firstLine="420" w:firstLineChars="200"/>
        <w:jc w:val="left"/>
        <w:rPr>
          <w:rFonts w:hint="eastAsia" w:ascii="宋体" w:hAnsi="宋体" w:cs="仿宋_GB2312"/>
          <w:color w:val="auto"/>
          <w:highlight w:val="none"/>
        </w:rPr>
      </w:pPr>
      <w:r>
        <w:rPr>
          <w:rFonts w:hint="eastAsia" w:ascii="宋体" w:hAnsi="宋体"/>
          <w:color w:val="auto"/>
          <w:szCs w:val="21"/>
          <w:highlight w:val="none"/>
        </w:rPr>
        <w:t>3.7.4</w:t>
      </w:r>
      <w:r>
        <w:rPr>
          <w:rFonts w:hint="eastAsia" w:ascii="宋体" w:hAnsi="宋体" w:cs="仿宋_GB2312"/>
          <w:color w:val="auto"/>
          <w:highlight w:val="none"/>
        </w:rPr>
        <w:t>投标文件</w:t>
      </w:r>
      <w:r>
        <w:rPr>
          <w:rFonts w:hint="eastAsia" w:ascii="宋体" w:hAnsi="宋体" w:cs="仿宋_GB2312"/>
          <w:color w:val="auto"/>
          <w:highlight w:val="none"/>
          <w:lang w:val="en-US" w:eastAsia="zh-CN"/>
        </w:rPr>
        <w:t>编制的其他</w:t>
      </w:r>
      <w:r>
        <w:rPr>
          <w:rFonts w:hint="eastAsia" w:ascii="宋体" w:hAnsi="宋体" w:cs="仿宋_GB2312"/>
          <w:color w:val="auto"/>
          <w:highlight w:val="none"/>
        </w:rPr>
        <w:t>要求见本章前附表，</w:t>
      </w:r>
      <w:r>
        <w:rPr>
          <w:rFonts w:hint="eastAsia" w:ascii="宋体" w:hAnsi="宋体"/>
          <w:color w:val="auto"/>
          <w:szCs w:val="21"/>
          <w:highlight w:val="none"/>
        </w:rPr>
        <w:t>以</w:t>
      </w:r>
      <w:r>
        <w:rPr>
          <w:color w:val="auto"/>
          <w:highlight w:val="none"/>
        </w:rPr>
        <w:t>传输递交</w:t>
      </w:r>
      <w:r>
        <w:rPr>
          <w:rFonts w:hint="eastAsia" w:ascii="宋体" w:hAnsi="宋体" w:cs="仿宋_GB2312"/>
          <w:color w:val="auto"/>
          <w:highlight w:val="none"/>
        </w:rPr>
        <w:t>的加密的电子投标文件</w:t>
      </w:r>
      <w:r>
        <w:rPr>
          <w:rFonts w:hint="eastAsia" w:ascii="宋体" w:hAnsi="宋体"/>
          <w:color w:val="auto"/>
          <w:szCs w:val="21"/>
          <w:highlight w:val="none"/>
        </w:rPr>
        <w:t>为准</w:t>
      </w:r>
      <w:r>
        <w:rPr>
          <w:rFonts w:hint="eastAsia" w:ascii="宋体" w:hAnsi="宋体" w:cs="仿宋_GB2312"/>
          <w:color w:val="auto"/>
          <w:highlight w:val="none"/>
        </w:rPr>
        <w:t>。</w:t>
      </w:r>
    </w:p>
    <w:p>
      <w:pPr>
        <w:pStyle w:val="5"/>
        <w:spacing w:line="276" w:lineRule="auto"/>
        <w:rPr>
          <w:rFonts w:hint="eastAsia" w:ascii="宋体" w:hAnsi="宋体"/>
          <w:color w:val="auto"/>
          <w:highlight w:val="none"/>
        </w:rPr>
      </w:pPr>
      <w:bookmarkStart w:id="17" w:name="_Toc184635074"/>
      <w:r>
        <w:rPr>
          <w:rFonts w:hint="eastAsia" w:ascii="宋体" w:hAnsi="宋体"/>
          <w:color w:val="auto"/>
          <w:highlight w:val="none"/>
        </w:rPr>
        <w:t>4.投标</w:t>
      </w:r>
      <w:bookmarkEnd w:id="17"/>
    </w:p>
    <w:p>
      <w:pPr>
        <w:pStyle w:val="6"/>
        <w:spacing w:line="276" w:lineRule="auto"/>
        <w:rPr>
          <w:rFonts w:hint="eastAsia" w:ascii="宋体" w:hAnsi="宋体"/>
          <w:color w:val="auto"/>
          <w:highlight w:val="none"/>
        </w:rPr>
      </w:pPr>
      <w:r>
        <w:rPr>
          <w:rFonts w:hint="eastAsia" w:ascii="宋体" w:hAnsi="宋体"/>
          <w:color w:val="auto"/>
          <w:highlight w:val="none"/>
        </w:rPr>
        <w:t>4.1 投标文件的加密</w:t>
      </w:r>
    </w:p>
    <w:p>
      <w:pPr>
        <w:spacing w:line="276" w:lineRule="auto"/>
        <w:ind w:firstLine="420" w:firstLineChars="200"/>
        <w:rPr>
          <w:rFonts w:hint="eastAsia" w:ascii="宋体" w:hAnsi="宋体"/>
          <w:color w:val="auto"/>
          <w:sz w:val="24"/>
          <w:szCs w:val="21"/>
          <w:highlight w:val="none"/>
        </w:rPr>
      </w:pPr>
      <w:r>
        <w:rPr>
          <w:rFonts w:hint="eastAsia" w:ascii="宋体" w:hAnsi="宋体"/>
          <w:color w:val="auto"/>
          <w:szCs w:val="21"/>
          <w:highlight w:val="none"/>
        </w:rPr>
        <w:t>4.1.1 加密要求见本章前附表。未按要求加密的投标文件，招标人不予受理。</w:t>
      </w:r>
    </w:p>
    <w:p>
      <w:pPr>
        <w:spacing w:line="276" w:lineRule="auto"/>
        <w:ind w:firstLine="420" w:firstLineChars="200"/>
        <w:rPr>
          <w:rFonts w:hint="eastAsia" w:ascii="宋体" w:hAnsi="宋体"/>
          <w:color w:val="auto"/>
          <w:szCs w:val="21"/>
          <w:highlight w:val="none"/>
        </w:rPr>
      </w:pPr>
    </w:p>
    <w:p>
      <w:pPr>
        <w:pStyle w:val="6"/>
        <w:spacing w:line="276" w:lineRule="auto"/>
        <w:rPr>
          <w:rFonts w:hint="eastAsia" w:ascii="宋体" w:hAnsi="宋体"/>
          <w:color w:val="auto"/>
          <w:highlight w:val="none"/>
        </w:rPr>
      </w:pPr>
      <w:r>
        <w:rPr>
          <w:rFonts w:hint="eastAsia" w:ascii="宋体" w:hAnsi="宋体"/>
          <w:color w:val="auto"/>
          <w:highlight w:val="none"/>
        </w:rPr>
        <w:t>4.2 投标文件的递交和接收</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4.2.1 投标人应在投标截止时间前</w:t>
      </w:r>
      <w:r>
        <w:rPr>
          <w:color w:val="auto"/>
          <w:highlight w:val="none"/>
        </w:rPr>
        <w:t>传输</w:t>
      </w:r>
      <w:r>
        <w:rPr>
          <w:rFonts w:ascii="宋体" w:hAnsi="宋体"/>
          <w:color w:val="auto"/>
          <w:highlight w:val="none"/>
        </w:rPr>
        <w:t>递交</w:t>
      </w:r>
      <w:r>
        <w:rPr>
          <w:rFonts w:hint="eastAsia" w:ascii="宋体" w:hAnsi="宋体"/>
          <w:color w:val="auto"/>
          <w:szCs w:val="21"/>
          <w:highlight w:val="none"/>
        </w:rPr>
        <w:t>投标文件。</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4.2.2 投标人</w:t>
      </w:r>
      <w:r>
        <w:rPr>
          <w:color w:val="auto"/>
          <w:highlight w:val="none"/>
        </w:rPr>
        <w:t>传输</w:t>
      </w:r>
      <w:r>
        <w:rPr>
          <w:rFonts w:hint="eastAsia" w:ascii="宋体" w:hAnsi="宋体"/>
          <w:color w:val="auto"/>
          <w:szCs w:val="21"/>
          <w:highlight w:val="none"/>
        </w:rPr>
        <w:t>递交投标文件的</w:t>
      </w:r>
      <w:r>
        <w:rPr>
          <w:color w:val="auto"/>
          <w:highlight w:val="none"/>
        </w:rPr>
        <w:t>交易平台</w:t>
      </w:r>
      <w:r>
        <w:rPr>
          <w:rFonts w:hint="eastAsia"/>
          <w:color w:val="auto"/>
          <w:highlight w:val="none"/>
          <w:lang w:val="en-US" w:eastAsia="zh-CN"/>
        </w:rPr>
        <w:t>网址</w:t>
      </w:r>
      <w:r>
        <w:rPr>
          <w:rFonts w:hint="eastAsia" w:ascii="宋体" w:hAnsi="宋体"/>
          <w:color w:val="auto"/>
          <w:szCs w:val="21"/>
          <w:highlight w:val="none"/>
        </w:rPr>
        <w:t>见</w:t>
      </w:r>
      <w:r>
        <w:rPr>
          <w:rFonts w:hint="eastAsia" w:ascii="宋体" w:hAnsi="宋体"/>
          <w:color w:val="auto"/>
          <w:szCs w:val="21"/>
          <w:highlight w:val="none"/>
          <w:lang w:val="en-US" w:eastAsia="zh-CN"/>
        </w:rPr>
        <w:t>招标公告</w:t>
      </w:r>
      <w:r>
        <w:rPr>
          <w:rFonts w:hint="eastAsia" w:ascii="宋体" w:hAnsi="宋体"/>
          <w:color w:val="auto"/>
          <w:szCs w:val="21"/>
          <w:highlight w:val="none"/>
        </w:rPr>
        <w:t>。</w:t>
      </w:r>
    </w:p>
    <w:p>
      <w:pPr>
        <w:spacing w:line="276" w:lineRule="auto"/>
        <w:ind w:firstLine="420" w:firstLineChars="200"/>
        <w:rPr>
          <w:rFonts w:hint="eastAsia" w:ascii="宋体" w:hAnsi="宋体"/>
          <w:color w:val="auto"/>
          <w:sz w:val="24"/>
          <w:highlight w:val="none"/>
        </w:rPr>
      </w:pPr>
      <w:r>
        <w:rPr>
          <w:rFonts w:hint="eastAsia" w:ascii="宋体" w:hAnsi="宋体"/>
          <w:color w:val="auto"/>
          <w:szCs w:val="21"/>
          <w:highlight w:val="none"/>
        </w:rPr>
        <w:t>4.2.3 江门市公共资源交易</w:t>
      </w:r>
      <w:r>
        <w:rPr>
          <w:rFonts w:hint="eastAsia" w:ascii="宋体" w:hAnsi="宋体"/>
          <w:color w:val="auto"/>
          <w:szCs w:val="21"/>
          <w:highlight w:val="none"/>
          <w:lang w:eastAsia="zh-CN"/>
        </w:rPr>
        <w:t>系统</w:t>
      </w:r>
      <w:r>
        <w:rPr>
          <w:rFonts w:hint="eastAsia" w:ascii="宋体" w:hAnsi="宋体"/>
          <w:color w:val="auto"/>
          <w:szCs w:val="21"/>
          <w:highlight w:val="none"/>
        </w:rPr>
        <w:t>收到完整的投标文件后通过</w:t>
      </w:r>
      <w:r>
        <w:rPr>
          <w:color w:val="auto"/>
          <w:highlight w:val="none"/>
        </w:rPr>
        <w:t>电子招标投标交易平台</w:t>
      </w:r>
      <w:r>
        <w:rPr>
          <w:rFonts w:hint="eastAsia" w:ascii="宋体" w:hAnsi="宋体"/>
          <w:color w:val="auto"/>
          <w:szCs w:val="21"/>
          <w:highlight w:val="none"/>
        </w:rPr>
        <w:t>向投标人出具回执。</w:t>
      </w:r>
    </w:p>
    <w:p>
      <w:pPr>
        <w:spacing w:line="276" w:lineRule="auto"/>
        <w:ind w:firstLine="420" w:firstLineChars="200"/>
        <w:rPr>
          <w:rFonts w:hint="eastAsia" w:ascii="宋体" w:hAnsi="宋体"/>
          <w:color w:val="auto"/>
          <w:sz w:val="24"/>
          <w:highlight w:val="none"/>
        </w:rPr>
      </w:pPr>
      <w:r>
        <w:rPr>
          <w:rFonts w:hint="eastAsia" w:ascii="宋体" w:hAnsi="宋体"/>
          <w:color w:val="auto"/>
          <w:szCs w:val="21"/>
          <w:highlight w:val="none"/>
        </w:rPr>
        <w:t>4.2.4 若出现以下情况之一的，招标人将拒绝接收投标文件：</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（1）投标文件未在递交投标文件截止时间前完整</w:t>
      </w:r>
      <w:r>
        <w:rPr>
          <w:color w:val="auto"/>
          <w:highlight w:val="none"/>
        </w:rPr>
        <w:t>传输递交</w:t>
      </w:r>
      <w:r>
        <w:rPr>
          <w:rFonts w:hint="eastAsia" w:ascii="宋体" w:hAnsi="宋体"/>
          <w:color w:val="auto"/>
          <w:szCs w:val="21"/>
          <w:highlight w:val="none"/>
        </w:rPr>
        <w:t>到江门市公共资源交易</w:t>
      </w:r>
      <w:r>
        <w:rPr>
          <w:rFonts w:hint="eastAsia" w:ascii="宋体" w:hAnsi="宋体"/>
          <w:color w:val="auto"/>
          <w:szCs w:val="21"/>
          <w:highlight w:val="none"/>
          <w:lang w:eastAsia="zh-CN"/>
        </w:rPr>
        <w:t>系统</w:t>
      </w:r>
      <w:r>
        <w:rPr>
          <w:rFonts w:hint="eastAsia" w:ascii="宋体" w:hAnsi="宋体"/>
          <w:color w:val="auto"/>
          <w:szCs w:val="21"/>
          <w:highlight w:val="none"/>
        </w:rPr>
        <w:t>；</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（2）投标文件未按招标文件要求进行加密的；</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（3）投标文件损坏或格式不正确的。</w:t>
      </w:r>
    </w:p>
    <w:p>
      <w:pPr>
        <w:spacing w:line="276" w:lineRule="auto"/>
        <w:rPr>
          <w:rFonts w:hint="eastAsia" w:ascii="宋体" w:hAnsi="宋体"/>
          <w:color w:val="auto"/>
          <w:szCs w:val="21"/>
          <w:highlight w:val="none"/>
        </w:rPr>
      </w:pPr>
      <w:r>
        <w:rPr>
          <w:rFonts w:hint="eastAsia" w:ascii="宋体" w:hAnsi="宋体"/>
          <w:b/>
          <w:color w:val="auto"/>
          <w:szCs w:val="21"/>
          <w:highlight w:val="none"/>
        </w:rPr>
        <w:t>4.3 投标文件的修改与撤回</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4.3.1 在投标截止时间前，投标人可以修改已递交的投标文件，但应通过</w:t>
      </w:r>
      <w:r>
        <w:rPr>
          <w:rFonts w:hint="eastAsia" w:ascii="宋体" w:hAnsi="宋体"/>
          <w:color w:val="auto"/>
          <w:szCs w:val="21"/>
          <w:highlight w:val="none"/>
          <w:lang w:eastAsia="zh-CN"/>
        </w:rPr>
        <w:t>江门市公共资源交易系统</w:t>
      </w:r>
      <w:r>
        <w:rPr>
          <w:rFonts w:hint="eastAsia" w:ascii="宋体" w:hAnsi="宋体"/>
          <w:color w:val="auto"/>
          <w:szCs w:val="21"/>
          <w:highlight w:val="none"/>
        </w:rPr>
        <w:t>重新</w:t>
      </w:r>
      <w:r>
        <w:rPr>
          <w:color w:val="auto"/>
          <w:highlight w:val="none"/>
        </w:rPr>
        <w:t>传输递交</w:t>
      </w:r>
      <w:r>
        <w:rPr>
          <w:rFonts w:hint="eastAsia" w:ascii="宋体" w:hAnsi="宋体"/>
          <w:color w:val="auto"/>
          <w:szCs w:val="21"/>
          <w:highlight w:val="none"/>
        </w:rPr>
        <w:t>加密投标文件，系统以最后收到的经加密的投标文件为准。</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4.3.2 投标人修改已递交投标文件的通知应按照</w:t>
      </w:r>
      <w:r>
        <w:rPr>
          <w:rFonts w:hint="eastAsia" w:ascii="宋体" w:hAnsi="宋体"/>
          <w:color w:val="auto"/>
          <w:szCs w:val="21"/>
          <w:highlight w:val="none"/>
          <w:lang w:eastAsia="zh-CN"/>
        </w:rPr>
        <w:t>投标文件编制</w:t>
      </w:r>
      <w:r>
        <w:rPr>
          <w:rFonts w:hint="eastAsia" w:ascii="宋体" w:hAnsi="宋体"/>
          <w:color w:val="auto"/>
          <w:szCs w:val="21"/>
          <w:highlight w:val="none"/>
        </w:rPr>
        <w:t>的要求</w:t>
      </w:r>
      <w:r>
        <w:rPr>
          <w:rFonts w:hint="eastAsia" w:ascii="宋体" w:hAnsi="宋体"/>
          <w:color w:val="auto"/>
          <w:szCs w:val="21"/>
          <w:highlight w:val="none"/>
          <w:lang w:eastAsia="zh-CN"/>
        </w:rPr>
        <w:t>签名盖章</w:t>
      </w:r>
      <w:r>
        <w:rPr>
          <w:rFonts w:hint="eastAsia" w:ascii="宋体" w:hAnsi="宋体"/>
          <w:color w:val="auto"/>
          <w:szCs w:val="21"/>
          <w:highlight w:val="none"/>
        </w:rPr>
        <w:t>。</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4.3.3</w:t>
      </w:r>
      <w:r>
        <w:rPr>
          <w:rFonts w:ascii="宋体" w:hAnsi="宋体"/>
          <w:color w:val="auto"/>
          <w:szCs w:val="21"/>
          <w:highlight w:val="none"/>
        </w:rPr>
        <w:t xml:space="preserve"> </w:t>
      </w:r>
      <w:r>
        <w:rPr>
          <w:rFonts w:hint="eastAsia" w:ascii="宋体" w:hAnsi="宋体"/>
          <w:color w:val="auto"/>
          <w:szCs w:val="21"/>
          <w:highlight w:val="none"/>
        </w:rPr>
        <w:t>在投标截止时间前，投标人可以撤回已递交的投标文件。</w:t>
      </w:r>
    </w:p>
    <w:p>
      <w:pPr>
        <w:pStyle w:val="5"/>
        <w:keepNext w:val="0"/>
        <w:keepLines w:val="0"/>
        <w:spacing w:line="276" w:lineRule="auto"/>
        <w:rPr>
          <w:rFonts w:hint="eastAsia" w:ascii="宋体" w:hAnsi="宋体"/>
          <w:color w:val="auto"/>
          <w:highlight w:val="none"/>
        </w:rPr>
      </w:pPr>
      <w:r>
        <w:rPr>
          <w:rFonts w:hint="eastAsia" w:ascii="宋体" w:hAnsi="宋体"/>
          <w:color w:val="auto"/>
          <w:highlight w:val="none"/>
        </w:rPr>
        <w:t>5.招标人监督</w:t>
      </w:r>
    </w:p>
    <w:p>
      <w:pPr>
        <w:pStyle w:val="6"/>
        <w:keepNext w:val="0"/>
        <w:keepLines w:val="0"/>
        <w:spacing w:line="276" w:lineRule="auto"/>
        <w:rPr>
          <w:rFonts w:ascii="宋体" w:hAnsi="宋体"/>
          <w:b w:val="0"/>
          <w:color w:val="auto"/>
          <w:highlight w:val="none"/>
        </w:rPr>
      </w:pPr>
      <w:r>
        <w:rPr>
          <w:rFonts w:hint="eastAsia" w:ascii="宋体" w:hAnsi="宋体"/>
          <w:color w:val="auto"/>
          <w:highlight w:val="none"/>
        </w:rPr>
        <w:t>5.1 招标人监督小组</w:t>
      </w:r>
    </w:p>
    <w:p>
      <w:pPr>
        <w:pStyle w:val="6"/>
        <w:keepNext w:val="0"/>
        <w:keepLines w:val="0"/>
        <w:spacing w:line="276" w:lineRule="auto"/>
        <w:ind w:firstLine="420" w:firstLineChars="200"/>
        <w:rPr>
          <w:rFonts w:hint="eastAsia" w:ascii="宋体" w:hAnsi="宋体"/>
          <w:b w:val="0"/>
          <w:color w:val="auto"/>
          <w:highlight w:val="none"/>
        </w:rPr>
      </w:pPr>
      <w:r>
        <w:rPr>
          <w:rFonts w:ascii="宋体" w:hAnsi="宋体"/>
          <w:b w:val="0"/>
          <w:color w:val="auto"/>
          <w:highlight w:val="none"/>
        </w:rPr>
        <w:t xml:space="preserve">5.1.1 </w:t>
      </w:r>
      <w:r>
        <w:rPr>
          <w:rFonts w:hint="eastAsia" w:ascii="宋体" w:hAnsi="宋体"/>
          <w:b w:val="0"/>
          <w:color w:val="auto"/>
          <w:highlight w:val="none"/>
        </w:rPr>
        <w:t>招标人组建监督小组对评标委员会、定标委员会的组建、开标、筛选、评标、考察、定标等过程进行监督。招标人监督小组人数见本章前附表。</w:t>
      </w:r>
    </w:p>
    <w:p>
      <w:pPr>
        <w:pStyle w:val="6"/>
        <w:keepNext w:val="0"/>
        <w:keepLines w:val="0"/>
        <w:spacing w:line="276" w:lineRule="auto"/>
        <w:ind w:firstLine="420" w:firstLineChars="200"/>
        <w:rPr>
          <w:rFonts w:hint="eastAsia" w:ascii="宋体" w:hAnsi="宋体"/>
          <w:b w:val="0"/>
          <w:bCs w:val="0"/>
          <w:color w:val="auto"/>
          <w:szCs w:val="21"/>
          <w:highlight w:val="none"/>
        </w:rPr>
      </w:pPr>
      <w:bookmarkStart w:id="18" w:name="_Toc184635075"/>
      <w:r>
        <w:rPr>
          <w:rFonts w:hint="eastAsia" w:ascii="宋体" w:hAnsi="宋体"/>
          <w:b w:val="0"/>
          <w:color w:val="auto"/>
          <w:highlight w:val="none"/>
        </w:rPr>
        <w:t>5.</w:t>
      </w:r>
      <w:r>
        <w:rPr>
          <w:rFonts w:ascii="宋体" w:hAnsi="宋体"/>
          <w:b w:val="0"/>
          <w:color w:val="auto"/>
          <w:highlight w:val="none"/>
        </w:rPr>
        <w:t>1.</w:t>
      </w:r>
      <w:r>
        <w:rPr>
          <w:rFonts w:hint="eastAsia" w:ascii="宋体" w:hAnsi="宋体"/>
          <w:b w:val="0"/>
          <w:color w:val="auto"/>
          <w:highlight w:val="none"/>
        </w:rPr>
        <w:t>2 招标人监督小组职</w:t>
      </w:r>
      <w:r>
        <w:rPr>
          <w:rFonts w:hint="eastAsia" w:ascii="宋体" w:hAnsi="宋体"/>
          <w:b w:val="0"/>
          <w:bCs w:val="0"/>
          <w:color w:val="auto"/>
          <w:szCs w:val="21"/>
          <w:highlight w:val="none"/>
        </w:rPr>
        <w:t>责</w:t>
      </w:r>
    </w:p>
    <w:p>
      <w:pPr>
        <w:pStyle w:val="6"/>
        <w:keepNext w:val="0"/>
        <w:keepLines w:val="0"/>
        <w:spacing w:line="276" w:lineRule="auto"/>
        <w:ind w:left="420" w:leftChars="200"/>
        <w:rPr>
          <w:rFonts w:hint="eastAsia" w:ascii="宋体" w:hAnsi="宋体"/>
          <w:b w:val="0"/>
          <w:bCs w:val="0"/>
          <w:color w:val="auto"/>
          <w:szCs w:val="21"/>
          <w:highlight w:val="none"/>
        </w:rPr>
      </w:pPr>
      <w:r>
        <w:rPr>
          <w:rFonts w:hint="eastAsia" w:ascii="宋体" w:hAnsi="宋体"/>
          <w:b w:val="0"/>
          <w:bCs w:val="0"/>
          <w:color w:val="auto"/>
          <w:szCs w:val="21"/>
          <w:highlight w:val="none"/>
        </w:rPr>
        <w:t>（1）对招标全过程进行监督，但不得就资格审查或者</w:t>
      </w:r>
      <w:r>
        <w:rPr>
          <w:rFonts w:hint="eastAsia" w:ascii="宋体" w:hAnsi="宋体"/>
          <w:b w:val="0"/>
          <w:bCs w:val="0"/>
          <w:color w:val="auto"/>
          <w:szCs w:val="21"/>
          <w:highlight w:val="none"/>
          <w:lang w:eastAsia="zh-CN"/>
        </w:rPr>
        <w:t>选取推荐</w:t>
      </w:r>
      <w:r>
        <w:rPr>
          <w:rFonts w:hint="eastAsia" w:ascii="宋体" w:hAnsi="宋体"/>
          <w:b w:val="0"/>
          <w:bCs w:val="0"/>
          <w:color w:val="auto"/>
          <w:szCs w:val="21"/>
          <w:highlight w:val="none"/>
        </w:rPr>
        <w:t>、评标、定标涉及的实质内容发表意见或者参与评标委员会、定标委员会的讨论。特殊情况导致开标、</w:t>
      </w:r>
      <w:r>
        <w:rPr>
          <w:rFonts w:hint="eastAsia" w:ascii="宋体" w:hAnsi="宋体"/>
          <w:b w:val="0"/>
          <w:bCs w:val="0"/>
          <w:color w:val="auto"/>
          <w:szCs w:val="21"/>
          <w:highlight w:val="none"/>
          <w:lang w:eastAsia="zh-CN"/>
        </w:rPr>
        <w:t>选取推荐</w:t>
      </w:r>
      <w:r>
        <w:rPr>
          <w:rFonts w:hint="eastAsia" w:ascii="宋体" w:hAnsi="宋体"/>
          <w:b w:val="0"/>
          <w:bCs w:val="0"/>
          <w:color w:val="auto"/>
          <w:szCs w:val="21"/>
          <w:highlight w:val="none"/>
        </w:rPr>
        <w:t>、评标或者定标无法继续进行的、相关人员存在违反程序及纪律的行为被指出后仍拒绝纠正的、发现招标投标活动存在其他违反相关规定行为的，招标监督小组应当如实记录并及时报告招标人单位主要负责人、行政监督部门。</w:t>
      </w:r>
    </w:p>
    <w:p>
      <w:pPr>
        <w:pStyle w:val="6"/>
        <w:keepNext w:val="0"/>
        <w:keepLines w:val="0"/>
        <w:spacing w:line="276" w:lineRule="auto"/>
        <w:ind w:left="420" w:leftChars="200"/>
        <w:rPr>
          <w:rFonts w:hint="eastAsia" w:ascii="宋体" w:hAnsi="宋体"/>
          <w:b w:val="0"/>
          <w:bCs w:val="0"/>
          <w:color w:val="auto"/>
          <w:szCs w:val="21"/>
          <w:highlight w:val="none"/>
        </w:rPr>
      </w:pPr>
      <w:r>
        <w:rPr>
          <w:rFonts w:hint="eastAsia" w:ascii="宋体" w:hAnsi="宋体"/>
          <w:b w:val="0"/>
          <w:bCs w:val="0"/>
          <w:color w:val="auto"/>
          <w:szCs w:val="21"/>
          <w:highlight w:val="none"/>
        </w:rPr>
        <w:t>（2）负责编制本招标项目的监督报告，并于提交招标投标情况书面报告时同步向项目招标投标行政监督部门提交。监督报告内容包括招标项目基本情况、招标过程描述、定标委员会成员是否按定标办法进行定标、监督小组成员名单、职务、联系方式，对招投标过程中的异常情况及处理措施的记录。</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5.</w:t>
      </w:r>
      <w:r>
        <w:rPr>
          <w:rFonts w:ascii="宋体" w:hAnsi="宋体"/>
          <w:color w:val="auto"/>
          <w:highlight w:val="none"/>
        </w:rPr>
        <w:t xml:space="preserve">2 </w:t>
      </w:r>
      <w:r>
        <w:rPr>
          <w:rFonts w:hint="eastAsia" w:ascii="宋体" w:hAnsi="宋体"/>
          <w:color w:val="auto"/>
          <w:highlight w:val="none"/>
        </w:rPr>
        <w:t xml:space="preserve">招标人监督小组监督方式 </w:t>
      </w:r>
    </w:p>
    <w:p>
      <w:pPr>
        <w:pStyle w:val="6"/>
        <w:keepNext w:val="0"/>
        <w:keepLines w:val="0"/>
        <w:spacing w:line="276" w:lineRule="auto"/>
        <w:ind w:firstLine="420" w:firstLineChars="200"/>
        <w:rPr>
          <w:rFonts w:hint="eastAsia" w:ascii="宋体" w:hAnsi="宋体"/>
          <w:b w:val="0"/>
          <w:bCs w:val="0"/>
          <w:color w:val="auto"/>
          <w:highlight w:val="none"/>
        </w:rPr>
      </w:pPr>
      <w:r>
        <w:rPr>
          <w:rFonts w:hint="eastAsia" w:ascii="宋体" w:hAnsi="宋体" w:eastAsia="宋体" w:cs="宋体"/>
          <w:b w:val="0"/>
          <w:color w:val="auto"/>
          <w:highlight w:val="none"/>
        </w:rPr>
        <w:t xml:space="preserve">5.2.1 </w:t>
      </w:r>
      <w:r>
        <w:rPr>
          <w:rFonts w:hint="eastAsia" w:ascii="宋体" w:hAnsi="宋体" w:eastAsia="宋体" w:cs="宋体"/>
          <w:b w:val="0"/>
          <w:bCs w:val="0"/>
          <w:color w:val="auto"/>
          <w:highlight w:val="none"/>
        </w:rPr>
        <w:t>招标监督小组应监督招标人在招标公告发布前，事先制定</w:t>
      </w:r>
      <w:r>
        <w:rPr>
          <w:rFonts w:hint="eastAsia" w:ascii="宋体" w:hAnsi="宋体" w:eastAsia="宋体" w:cs="宋体"/>
          <w:b w:val="0"/>
          <w:bCs w:val="0"/>
          <w:color w:val="auto"/>
          <w:highlight w:val="none"/>
          <w:lang w:eastAsia="zh-CN"/>
        </w:rPr>
        <w:t>推荐</w:t>
      </w:r>
      <w:r>
        <w:rPr>
          <w:rFonts w:hint="eastAsia" w:ascii="宋体" w:hAnsi="宋体" w:eastAsia="宋体" w:cs="宋体"/>
          <w:b w:val="0"/>
          <w:bCs w:val="0"/>
          <w:color w:val="auto"/>
          <w:highlight w:val="none"/>
        </w:rPr>
        <w:t>办法和定标办法，对</w:t>
      </w:r>
      <w:r>
        <w:rPr>
          <w:rFonts w:hint="eastAsia" w:ascii="宋体" w:hAnsi="宋体" w:eastAsia="宋体" w:cs="宋体"/>
          <w:b w:val="0"/>
          <w:bCs w:val="0"/>
          <w:color w:val="auto"/>
          <w:highlight w:val="none"/>
          <w:lang w:eastAsia="zh-CN"/>
        </w:rPr>
        <w:t>推荐</w:t>
      </w:r>
      <w:r>
        <w:rPr>
          <w:rFonts w:hint="eastAsia" w:ascii="宋体" w:hAnsi="宋体" w:eastAsia="宋体" w:cs="宋体"/>
          <w:b w:val="0"/>
          <w:bCs w:val="0"/>
          <w:color w:val="auto"/>
          <w:highlight w:val="none"/>
        </w:rPr>
        <w:t>、定标的择优标准、定标因素等内容予以明确，并存档备查。</w:t>
      </w:r>
    </w:p>
    <w:p>
      <w:pPr>
        <w:pStyle w:val="6"/>
        <w:keepNext w:val="0"/>
        <w:keepLines w:val="0"/>
        <w:spacing w:line="276" w:lineRule="auto"/>
        <w:ind w:firstLine="420" w:firstLineChars="200"/>
        <w:rPr>
          <w:rFonts w:hint="eastAsia" w:ascii="宋体" w:hAnsi="宋体"/>
          <w:b w:val="0"/>
          <w:bCs w:val="0"/>
          <w:color w:val="auto"/>
          <w:highlight w:val="none"/>
        </w:rPr>
      </w:pPr>
      <w:r>
        <w:rPr>
          <w:rFonts w:hint="eastAsia" w:ascii="宋体" w:hAnsi="宋体"/>
          <w:b w:val="0"/>
          <w:bCs w:val="0"/>
          <w:color w:val="auto"/>
          <w:highlight w:val="none"/>
        </w:rPr>
        <w:t>5.</w:t>
      </w:r>
      <w:r>
        <w:rPr>
          <w:rFonts w:ascii="宋体" w:hAnsi="宋体"/>
          <w:b w:val="0"/>
          <w:bCs w:val="0"/>
          <w:color w:val="auto"/>
          <w:highlight w:val="none"/>
        </w:rPr>
        <w:t>2</w:t>
      </w:r>
      <w:r>
        <w:rPr>
          <w:rFonts w:hint="eastAsia" w:ascii="宋体" w:hAnsi="宋体"/>
          <w:b w:val="0"/>
          <w:bCs w:val="0"/>
          <w:color w:val="auto"/>
          <w:highlight w:val="none"/>
        </w:rPr>
        <w:t>.2</w:t>
      </w:r>
      <w:r>
        <w:rPr>
          <w:rFonts w:ascii="宋体" w:hAnsi="宋体"/>
          <w:b w:val="0"/>
          <w:bCs w:val="0"/>
          <w:color w:val="auto"/>
          <w:highlight w:val="none"/>
        </w:rPr>
        <w:t xml:space="preserve"> </w:t>
      </w:r>
      <w:r>
        <w:rPr>
          <w:rFonts w:hint="eastAsia" w:ascii="宋体" w:hAnsi="宋体"/>
          <w:b w:val="0"/>
          <w:bCs w:val="0"/>
          <w:color w:val="auto"/>
          <w:highlight w:val="none"/>
        </w:rPr>
        <w:t>招标监督小组通过全程现场监督的方式对招标投标活动进行监督，招标投标各方应当自觉接受监督检查。</w:t>
      </w:r>
    </w:p>
    <w:p>
      <w:pPr>
        <w:pStyle w:val="5"/>
        <w:keepNext w:val="0"/>
        <w:keepLines w:val="0"/>
        <w:spacing w:line="276" w:lineRule="auto"/>
        <w:rPr>
          <w:rFonts w:hint="eastAsia" w:ascii="宋体" w:hAnsi="宋体"/>
          <w:color w:val="auto"/>
          <w:highlight w:val="none"/>
        </w:rPr>
      </w:pPr>
      <w:r>
        <w:rPr>
          <w:rFonts w:hint="eastAsia" w:ascii="宋体" w:hAnsi="宋体"/>
          <w:color w:val="auto"/>
          <w:highlight w:val="none"/>
        </w:rPr>
        <w:t>6.开标</w:t>
      </w:r>
      <w:bookmarkEnd w:id="18"/>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6.1 开标时间和地点</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见</w:t>
      </w:r>
      <w:r>
        <w:rPr>
          <w:rFonts w:hint="eastAsia" w:ascii="宋体" w:hAnsi="宋体"/>
          <w:color w:val="auto"/>
          <w:szCs w:val="21"/>
          <w:highlight w:val="none"/>
          <w:lang w:eastAsia="zh-CN"/>
        </w:rPr>
        <w:t>招标公告</w:t>
      </w:r>
      <w:r>
        <w:rPr>
          <w:rFonts w:hint="eastAsia" w:ascii="宋体" w:hAnsi="宋体"/>
          <w:color w:val="auto"/>
          <w:szCs w:val="21"/>
          <w:highlight w:val="none"/>
        </w:rPr>
        <w:t>。</w:t>
      </w:r>
    </w:p>
    <w:p>
      <w:pPr>
        <w:spacing w:line="276" w:lineRule="auto"/>
        <w:rPr>
          <w:rFonts w:hint="eastAsia" w:ascii="宋体" w:hAnsi="宋体"/>
          <w:b/>
          <w:bCs/>
          <w:color w:val="auto"/>
          <w:szCs w:val="28"/>
          <w:highlight w:val="none"/>
        </w:rPr>
      </w:pPr>
      <w:r>
        <w:rPr>
          <w:rFonts w:hint="eastAsia" w:ascii="宋体" w:hAnsi="宋体"/>
          <w:b/>
          <w:bCs/>
          <w:color w:val="auto"/>
          <w:szCs w:val="28"/>
          <w:highlight w:val="none"/>
        </w:rPr>
        <w:t>6.2 开标程序</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6.2.1</w:t>
      </w:r>
      <w:r>
        <w:rPr>
          <w:rFonts w:hint="eastAsia" w:ascii="宋体" w:hAnsi="宋体"/>
          <w:color w:val="auto"/>
          <w:szCs w:val="21"/>
          <w:highlight w:val="none"/>
        </w:rPr>
        <w:t>开标</w:t>
      </w:r>
      <w:r>
        <w:rPr>
          <w:rFonts w:hint="eastAsia" w:ascii="宋体" w:hAnsi="宋体"/>
          <w:color w:val="auto"/>
          <w:szCs w:val="21"/>
          <w:highlight w:val="none"/>
          <w:lang w:eastAsia="zh-CN"/>
        </w:rPr>
        <w:t>过程包括以下程序（开标时将根据实际情况开展）</w:t>
      </w:r>
      <w:r>
        <w:rPr>
          <w:rFonts w:hint="eastAsia" w:ascii="宋体" w:hAnsi="宋体"/>
          <w:color w:val="auto"/>
          <w:szCs w:val="21"/>
          <w:highlight w:val="none"/>
        </w:rPr>
        <w:t>：</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（1）宣布开标纪律；</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）宣布招标人、开标人、记录人、监督人等有关人员姓名；</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（3）招标人核查投标人的信用等级；</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（4）投标人使用投标人CA锁对在线解密投标文件（现场解密的须持有法定代表人证明书、法定代表人授权委托书、身份证原件及复印件）；</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w:t>
      </w:r>
      <w:r>
        <w:rPr>
          <w:rFonts w:hint="eastAsia" w:ascii="宋体" w:hAnsi="宋体"/>
          <w:color w:val="auto"/>
          <w:szCs w:val="21"/>
          <w:highlight w:val="none"/>
          <w:lang w:eastAsia="zh-CN"/>
        </w:rPr>
        <w:t>电脑</w:t>
      </w:r>
      <w:r>
        <w:rPr>
          <w:rFonts w:hint="eastAsia" w:ascii="宋体" w:hAnsi="宋体"/>
          <w:color w:val="auto"/>
          <w:szCs w:val="21"/>
          <w:highlight w:val="none"/>
        </w:rPr>
        <w:t>硬件特征码分析；</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）信用评价结果应用（根据本章第6.3款规定进行）；</w:t>
      </w:r>
    </w:p>
    <w:p>
      <w:pPr>
        <w:spacing w:line="276"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）推荐程序（如有）；</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）招标</w:t>
      </w:r>
      <w:r>
        <w:rPr>
          <w:rFonts w:ascii="宋体" w:hAnsi="宋体"/>
          <w:color w:val="auto"/>
          <w:szCs w:val="21"/>
          <w:highlight w:val="none"/>
        </w:rPr>
        <w:t>人</w:t>
      </w:r>
      <w:r>
        <w:rPr>
          <w:rFonts w:hint="eastAsia" w:ascii="宋体" w:hAnsi="宋体"/>
          <w:color w:val="auto"/>
          <w:szCs w:val="21"/>
          <w:highlight w:val="none"/>
        </w:rPr>
        <w:t>按“评</w:t>
      </w:r>
      <w:r>
        <w:rPr>
          <w:rFonts w:ascii="宋体" w:hAnsi="宋体"/>
          <w:color w:val="auto"/>
          <w:szCs w:val="21"/>
          <w:highlight w:val="none"/>
        </w:rPr>
        <w:t>标办法附则</w:t>
      </w:r>
      <w:r>
        <w:rPr>
          <w:rFonts w:hint="eastAsia" w:ascii="宋体" w:hAnsi="宋体"/>
          <w:color w:val="auto"/>
          <w:szCs w:val="21"/>
          <w:highlight w:val="none"/>
        </w:rPr>
        <w:t>”的规则1第2.1款确定有</w:t>
      </w:r>
      <w:r>
        <w:rPr>
          <w:rFonts w:ascii="宋体" w:hAnsi="宋体"/>
          <w:color w:val="auto"/>
          <w:szCs w:val="21"/>
          <w:highlight w:val="none"/>
        </w:rPr>
        <w:t>关评标参数</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）在公共资源交易平台中向各投标人公布投标报价一览表；</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）招标</w:t>
      </w:r>
      <w:r>
        <w:rPr>
          <w:rFonts w:ascii="宋体" w:hAnsi="宋体"/>
          <w:color w:val="auto"/>
          <w:szCs w:val="21"/>
          <w:highlight w:val="none"/>
        </w:rPr>
        <w:t>人</w:t>
      </w:r>
      <w:r>
        <w:rPr>
          <w:rFonts w:hint="eastAsia" w:ascii="宋体" w:hAnsi="宋体"/>
          <w:color w:val="auto"/>
          <w:szCs w:val="21"/>
          <w:highlight w:val="none"/>
        </w:rPr>
        <w:t>代表、招标人监督小组成员、记录人、交易中心见证等开标</w:t>
      </w:r>
      <w:r>
        <w:rPr>
          <w:rFonts w:ascii="宋体" w:hAnsi="宋体"/>
          <w:color w:val="auto"/>
          <w:szCs w:val="21"/>
          <w:highlight w:val="none"/>
        </w:rPr>
        <w:t>现场</w:t>
      </w:r>
      <w:r>
        <w:rPr>
          <w:rFonts w:hint="eastAsia" w:ascii="宋体" w:hAnsi="宋体"/>
          <w:color w:val="auto"/>
          <w:szCs w:val="21"/>
          <w:highlight w:val="none"/>
        </w:rPr>
        <w:t>有关人员在相关</w:t>
      </w:r>
      <w:r>
        <w:rPr>
          <w:rFonts w:ascii="宋体" w:hAnsi="宋体"/>
          <w:color w:val="auto"/>
          <w:szCs w:val="21"/>
          <w:highlight w:val="none"/>
        </w:rPr>
        <w:t>的</w:t>
      </w:r>
      <w:r>
        <w:rPr>
          <w:rFonts w:hint="eastAsia" w:ascii="宋体" w:hAnsi="宋体"/>
          <w:color w:val="auto"/>
          <w:szCs w:val="21"/>
          <w:highlight w:val="none"/>
        </w:rPr>
        <w:t>开标记录表上签</w:t>
      </w:r>
      <w:r>
        <w:rPr>
          <w:rFonts w:hint="eastAsia" w:ascii="宋体" w:hAnsi="宋体"/>
          <w:color w:val="auto"/>
          <w:szCs w:val="21"/>
          <w:highlight w:val="none"/>
          <w:lang w:eastAsia="zh-CN"/>
        </w:rPr>
        <w:t>名</w:t>
      </w:r>
      <w:r>
        <w:rPr>
          <w:rFonts w:hint="eastAsia" w:ascii="宋体" w:hAnsi="宋体"/>
          <w:color w:val="auto"/>
          <w:szCs w:val="21"/>
          <w:highlight w:val="none"/>
        </w:rPr>
        <w:t>；</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）开标结束。</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投标人对开标有异议的，应当在开标过程中提出，招标人当场作出答复，并制作记录。</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6.2.2</w:t>
      </w:r>
      <w:r>
        <w:rPr>
          <w:rFonts w:hint="eastAsia" w:ascii="宋体" w:hAnsi="宋体"/>
          <w:color w:val="auto"/>
          <w:szCs w:val="21"/>
          <w:highlight w:val="none"/>
        </w:rPr>
        <w:t>开标</w:t>
      </w:r>
      <w:r>
        <w:rPr>
          <w:rFonts w:ascii="宋体" w:hAnsi="宋体"/>
          <w:color w:val="auto"/>
          <w:szCs w:val="21"/>
          <w:highlight w:val="none"/>
        </w:rPr>
        <w:t>程序</w:t>
      </w:r>
      <w:r>
        <w:rPr>
          <w:rFonts w:hint="eastAsia" w:ascii="宋体" w:hAnsi="宋体"/>
          <w:color w:val="auto"/>
          <w:szCs w:val="21"/>
          <w:highlight w:val="none"/>
        </w:rPr>
        <w:t>中的</w:t>
      </w:r>
      <w:r>
        <w:rPr>
          <w:rFonts w:hint="eastAsia" w:ascii="宋体" w:hAnsi="宋体"/>
          <w:color w:val="auto"/>
          <w:szCs w:val="21"/>
          <w:highlight w:val="none"/>
          <w:lang w:eastAsia="zh-CN"/>
        </w:rPr>
        <w:t>其他</w:t>
      </w:r>
      <w:r>
        <w:rPr>
          <w:rFonts w:hint="eastAsia" w:ascii="宋体" w:hAnsi="宋体"/>
          <w:color w:val="auto"/>
          <w:szCs w:val="21"/>
          <w:highlight w:val="none"/>
        </w:rPr>
        <w:t>要求</w:t>
      </w:r>
      <w:r>
        <w:rPr>
          <w:rFonts w:ascii="宋体" w:hAnsi="宋体"/>
          <w:color w:val="auto"/>
          <w:szCs w:val="21"/>
          <w:highlight w:val="none"/>
        </w:rPr>
        <w:t>见本章前附表。</w:t>
      </w:r>
    </w:p>
    <w:p>
      <w:pPr>
        <w:spacing w:line="276" w:lineRule="auto"/>
        <w:rPr>
          <w:rFonts w:hint="eastAsia" w:ascii="宋体" w:hAnsi="宋体"/>
          <w:b/>
          <w:bCs/>
          <w:color w:val="auto"/>
          <w:szCs w:val="28"/>
          <w:highlight w:val="none"/>
        </w:rPr>
      </w:pPr>
      <w:r>
        <w:rPr>
          <w:rFonts w:hint="eastAsia" w:ascii="宋体" w:hAnsi="宋体"/>
          <w:b/>
          <w:bCs/>
          <w:color w:val="auto"/>
          <w:szCs w:val="28"/>
          <w:highlight w:val="none"/>
        </w:rPr>
        <w:t>6.3 信用评价结果应用</w:t>
      </w:r>
    </w:p>
    <w:p>
      <w:pPr>
        <w:spacing w:line="276" w:lineRule="auto"/>
        <w:ind w:firstLine="420" w:firstLineChars="200"/>
        <w:rPr>
          <w:rFonts w:hint="eastAsia" w:ascii="宋体" w:hAnsi="宋体"/>
          <w:color w:val="auto"/>
          <w:szCs w:val="21"/>
          <w:highlight w:val="none"/>
        </w:rPr>
      </w:pPr>
      <w:r>
        <w:rPr>
          <w:rFonts w:ascii="宋体" w:hAnsi="宋体"/>
          <w:color w:val="auto"/>
          <w:szCs w:val="21"/>
          <w:highlight w:val="none"/>
        </w:rPr>
        <w:t>6.3.</w:t>
      </w:r>
      <w:r>
        <w:rPr>
          <w:rFonts w:hint="eastAsia" w:ascii="宋体" w:hAnsi="宋体"/>
          <w:color w:val="auto"/>
          <w:szCs w:val="21"/>
          <w:highlight w:val="none"/>
        </w:rPr>
        <w:t>1 正式投标人超过15家的，在开标阶段运用诚信优先选取入围：正式投标人在15家（不含15家）以上时，按开标当天“江门市建筑</w:t>
      </w:r>
      <w:r>
        <w:rPr>
          <w:rFonts w:hint="eastAsia" w:ascii="宋体" w:hAnsi="宋体"/>
          <w:color w:val="auto"/>
          <w:szCs w:val="21"/>
          <w:highlight w:val="none"/>
          <w:lang w:val="en-US" w:eastAsia="zh-CN"/>
        </w:rPr>
        <w:t>市场</w:t>
      </w:r>
      <w:r>
        <w:rPr>
          <w:rFonts w:hint="eastAsia" w:ascii="宋体" w:hAnsi="宋体"/>
          <w:color w:val="auto"/>
          <w:szCs w:val="21"/>
          <w:highlight w:val="none"/>
        </w:rPr>
        <w:t>信用信息管理系统”公布的信用等级由招标人分三次选取确定15家正式投标人进入评标阶段。步骤如下：</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）投标人的选取号码分配按投标人一览表的名单的先后次序进行分配；</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）第</w:t>
      </w:r>
      <w:r>
        <w:rPr>
          <w:rFonts w:ascii="宋体" w:hAnsi="宋体"/>
          <w:color w:val="auto"/>
          <w:szCs w:val="21"/>
          <w:highlight w:val="none"/>
        </w:rPr>
        <w:t>一轮：</w:t>
      </w:r>
      <w:r>
        <w:rPr>
          <w:rFonts w:hint="eastAsia" w:ascii="宋体" w:hAnsi="宋体"/>
          <w:color w:val="auto"/>
          <w:szCs w:val="21"/>
          <w:highlight w:val="none"/>
        </w:rPr>
        <w:t>从信用等级A级的正式投标人中选取5家，未选中的进入下一轮选取环节。如本轮家数不足5家的，不足之数在信用等级B级的正式投标人中选取。如选取全部信用等级</w:t>
      </w:r>
      <w:r>
        <w:rPr>
          <w:rFonts w:hint="eastAsia" w:ascii="宋体" w:hAnsi="宋体"/>
          <w:color w:val="auto"/>
          <w:szCs w:val="21"/>
          <w:highlight w:val="none"/>
          <w:lang w:val="en-US" w:eastAsia="zh-CN"/>
        </w:rPr>
        <w:t>为</w:t>
      </w:r>
      <w:r>
        <w:rPr>
          <w:rFonts w:hint="eastAsia" w:ascii="宋体" w:hAnsi="宋体"/>
          <w:color w:val="auto"/>
          <w:szCs w:val="21"/>
          <w:highlight w:val="none"/>
        </w:rPr>
        <w:t>B级的正式投标人后也不足5家的，则在信用等级为C级的正式投标人中选取不足之数；</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）第</w:t>
      </w:r>
      <w:r>
        <w:rPr>
          <w:rFonts w:ascii="宋体" w:hAnsi="宋体"/>
          <w:color w:val="auto"/>
          <w:szCs w:val="21"/>
          <w:highlight w:val="none"/>
        </w:rPr>
        <w:t>二轮：</w:t>
      </w:r>
      <w:r>
        <w:rPr>
          <w:rFonts w:hint="eastAsia" w:ascii="宋体" w:hAnsi="宋体"/>
          <w:color w:val="auto"/>
          <w:szCs w:val="21"/>
          <w:highlight w:val="none"/>
        </w:rPr>
        <w:t>从第一轮未选中的信用等级A级正式投标人以及信用等级B级的正式投标人（A+B）中选取5家，未选中的正式投标人进入下</w:t>
      </w:r>
      <w:r>
        <w:rPr>
          <w:rFonts w:ascii="宋体" w:hAnsi="宋体"/>
          <w:color w:val="auto"/>
          <w:szCs w:val="21"/>
          <w:highlight w:val="none"/>
        </w:rPr>
        <w:t>一</w:t>
      </w:r>
      <w:r>
        <w:rPr>
          <w:rFonts w:hint="eastAsia" w:ascii="宋体" w:hAnsi="宋体"/>
          <w:color w:val="auto"/>
          <w:szCs w:val="21"/>
          <w:highlight w:val="none"/>
        </w:rPr>
        <w:t>轮选取环节。如本轮正式投标人（A+B）家数不足5家的，则在信用等级C级的正式投标人中选取不足之数；</w:t>
      </w:r>
    </w:p>
    <w:p>
      <w:pPr>
        <w:spacing w:line="276" w:lineRule="auto"/>
        <w:ind w:left="420" w:leftChars="200"/>
        <w:rPr>
          <w:rFonts w:hint="eastAsia" w:ascii="宋体" w:hAnsi="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）第</w:t>
      </w:r>
      <w:r>
        <w:rPr>
          <w:rFonts w:ascii="宋体" w:hAnsi="宋体"/>
          <w:color w:val="auto"/>
          <w:szCs w:val="21"/>
          <w:highlight w:val="none"/>
        </w:rPr>
        <w:t>三轮：</w:t>
      </w:r>
      <w:r>
        <w:rPr>
          <w:rFonts w:hint="eastAsia" w:ascii="宋体" w:hAnsi="宋体"/>
          <w:color w:val="auto"/>
          <w:szCs w:val="21"/>
          <w:highlight w:val="none"/>
        </w:rPr>
        <w:t>从第二轮未选中的信用等级A、B级正式投标人及信用等级C级正式投标人中（A+B+C）选取5家</w:t>
      </w:r>
      <w:r>
        <w:rPr>
          <w:rFonts w:hint="eastAsia" w:ascii="宋体" w:hAnsi="宋体"/>
          <w:color w:val="auto"/>
          <w:szCs w:val="21"/>
          <w:highlight w:val="none"/>
          <w:lang w:eastAsia="zh-CN"/>
        </w:rPr>
        <w:t>；</w:t>
      </w:r>
    </w:p>
    <w:p>
      <w:pPr>
        <w:spacing w:line="276" w:lineRule="auto"/>
        <w:ind w:left="420" w:left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（5）推荐入围环节：根据本章正文第7项要求，招标人</w:t>
      </w:r>
      <w:r>
        <w:rPr>
          <w:rFonts w:hint="eastAsia" w:ascii="宋体" w:hAnsi="宋体"/>
          <w:color w:val="auto"/>
          <w:highlight w:val="none"/>
        </w:rPr>
        <w:t>从未被选中的剩余正式投标人中推荐最多不超过5名投标人进入评标</w:t>
      </w:r>
      <w:r>
        <w:rPr>
          <w:rFonts w:hint="eastAsia" w:ascii="宋体" w:hAnsi="宋体"/>
          <w:color w:val="auto"/>
          <w:highlight w:val="none"/>
          <w:lang w:eastAsia="zh-CN"/>
        </w:rPr>
        <w:t>阶段；</w:t>
      </w:r>
    </w:p>
    <w:p>
      <w:pPr>
        <w:spacing w:line="276" w:lineRule="auto"/>
        <w:ind w:left="420" w:left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）候补轮：在前三轮和推荐入围环节未被选中的正式投标人中，由招标人选取5家作为候补投标人；</w:t>
      </w:r>
    </w:p>
    <w:p>
      <w:pPr>
        <w:spacing w:line="276" w:lineRule="auto"/>
        <w:ind w:left="420" w:left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）在评标阶段，当</w:t>
      </w:r>
      <w:r>
        <w:rPr>
          <w:rFonts w:hint="eastAsia" w:ascii="宋体" w:hAnsi="宋体"/>
          <w:color w:val="auto"/>
          <w:szCs w:val="21"/>
          <w:highlight w:val="none"/>
          <w:lang w:val="en-US" w:eastAsia="zh-CN"/>
        </w:rPr>
        <w:t>通过资格（形式、响应）</w:t>
      </w:r>
      <w:r>
        <w:rPr>
          <w:rFonts w:hint="eastAsia" w:ascii="宋体" w:hAnsi="宋体"/>
          <w:color w:val="auto"/>
          <w:szCs w:val="21"/>
          <w:highlight w:val="none"/>
          <w:lang w:eastAsia="zh-CN"/>
        </w:rPr>
        <w:t>的投标人少于</w:t>
      </w:r>
      <w:r>
        <w:rPr>
          <w:rFonts w:hint="eastAsia" w:ascii="宋体" w:hAnsi="宋体"/>
          <w:color w:val="auto"/>
          <w:szCs w:val="21"/>
          <w:highlight w:val="none"/>
          <w:lang w:val="en-US" w:eastAsia="zh-CN"/>
        </w:rPr>
        <w:t>规定的数量</w:t>
      </w:r>
      <w:r>
        <w:rPr>
          <w:rFonts w:hint="eastAsia" w:ascii="宋体" w:hAnsi="宋体"/>
          <w:color w:val="auto"/>
          <w:szCs w:val="21"/>
          <w:highlight w:val="none"/>
          <w:lang w:eastAsia="zh-CN"/>
        </w:rPr>
        <w:t>时，候补投标人全部进入递补；候补投标人递补后，经评审有效投标的投标人仍少于</w:t>
      </w:r>
      <w:r>
        <w:rPr>
          <w:rFonts w:hint="eastAsia" w:ascii="宋体" w:hAnsi="宋体"/>
          <w:color w:val="auto"/>
          <w:szCs w:val="21"/>
          <w:highlight w:val="none"/>
          <w:lang w:val="en-US" w:eastAsia="zh-CN"/>
        </w:rPr>
        <w:t>规定数量的</w:t>
      </w:r>
      <w:r>
        <w:rPr>
          <w:rFonts w:hint="eastAsia" w:ascii="宋体" w:hAnsi="宋体"/>
          <w:color w:val="auto"/>
          <w:szCs w:val="21"/>
          <w:highlight w:val="none"/>
          <w:lang w:eastAsia="zh-CN"/>
        </w:rPr>
        <w:t>，按第一、二、三轮的顺序从剩余的正式投标人中再选取</w:t>
      </w:r>
      <w:r>
        <w:rPr>
          <w:rFonts w:hint="eastAsia" w:ascii="宋体" w:hAnsi="宋体"/>
          <w:color w:val="auto"/>
          <w:szCs w:val="21"/>
          <w:highlight w:val="none"/>
          <w:lang w:val="en-US" w:eastAsia="zh-CN"/>
        </w:rPr>
        <w:t>15家，如此类推。</w:t>
      </w:r>
    </w:p>
    <w:p>
      <w:pPr>
        <w:spacing w:line="276" w:lineRule="auto"/>
        <w:ind w:firstLine="420" w:firstLineChars="200"/>
        <w:rPr>
          <w:rFonts w:hint="eastAsia" w:ascii="宋体" w:hAnsi="宋体"/>
          <w:color w:val="auto"/>
          <w:szCs w:val="21"/>
          <w:highlight w:val="none"/>
        </w:rPr>
      </w:pPr>
      <w:r>
        <w:rPr>
          <w:rFonts w:ascii="宋体" w:hAnsi="宋体"/>
          <w:color w:val="auto"/>
          <w:szCs w:val="21"/>
          <w:highlight w:val="none"/>
        </w:rPr>
        <w:t>6.3.</w:t>
      </w:r>
      <w:r>
        <w:rPr>
          <w:rFonts w:hint="eastAsia" w:ascii="宋体" w:hAnsi="宋体"/>
          <w:color w:val="auto"/>
          <w:szCs w:val="21"/>
          <w:highlight w:val="none"/>
        </w:rPr>
        <w:t xml:space="preserve">2 正式投标人不超过15家的，全部进入评标环节。 </w:t>
      </w:r>
    </w:p>
    <w:p>
      <w:pPr>
        <w:spacing w:line="276" w:lineRule="auto"/>
        <w:rPr>
          <w:rFonts w:hint="eastAsia" w:ascii="宋体" w:hAnsi="宋体"/>
          <w:b/>
          <w:bCs/>
          <w:color w:val="auto"/>
          <w:szCs w:val="28"/>
          <w:highlight w:val="none"/>
        </w:rPr>
      </w:pPr>
      <w:r>
        <w:rPr>
          <w:rFonts w:hint="eastAsia" w:ascii="宋体" w:hAnsi="宋体"/>
          <w:b/>
          <w:bCs/>
          <w:color w:val="auto"/>
          <w:szCs w:val="28"/>
          <w:highlight w:val="none"/>
        </w:rPr>
        <w:t>6.4 开标特殊情况的处置程序</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xml:space="preserve">.4.1 </w:t>
      </w:r>
      <w:r>
        <w:rPr>
          <w:rFonts w:hint="eastAsia" w:ascii="宋体" w:hAnsi="宋体"/>
          <w:color w:val="auto"/>
          <w:szCs w:val="21"/>
          <w:highlight w:val="none"/>
        </w:rPr>
        <w:t>关于开标活动暂停。</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（1）招标人应当执行连续开标的原则，按开标程序中规定的程序、内容、方法、标准完成全部开标工作。只有发生不可抗力导致开标工作无法继续时，开标活动方可暂停。</w:t>
      </w:r>
    </w:p>
    <w:p>
      <w:pPr>
        <w:spacing w:line="276" w:lineRule="auto"/>
        <w:ind w:left="420" w:leftChars="200"/>
        <w:rPr>
          <w:rFonts w:ascii="宋体" w:hAnsi="宋体"/>
          <w:color w:val="auto"/>
          <w:szCs w:val="21"/>
          <w:highlight w:val="none"/>
        </w:rPr>
      </w:pPr>
      <w:r>
        <w:rPr>
          <w:rFonts w:hint="eastAsia" w:ascii="宋体" w:hAnsi="宋体"/>
          <w:color w:val="auto"/>
          <w:szCs w:val="21"/>
          <w:highlight w:val="none"/>
        </w:rPr>
        <w:t>（2）发生开标暂停情况时，招标人</w:t>
      </w:r>
      <w:r>
        <w:rPr>
          <w:rFonts w:ascii="宋体" w:hAnsi="宋体"/>
          <w:color w:val="auto"/>
          <w:szCs w:val="21"/>
          <w:highlight w:val="none"/>
        </w:rPr>
        <w:t>应妥善保管好</w:t>
      </w:r>
      <w:r>
        <w:rPr>
          <w:rFonts w:hint="eastAsia" w:ascii="宋体" w:hAnsi="宋体"/>
          <w:color w:val="auto"/>
          <w:szCs w:val="21"/>
          <w:highlight w:val="none"/>
        </w:rPr>
        <w:t>或封存</w:t>
      </w:r>
      <w:r>
        <w:rPr>
          <w:rFonts w:ascii="宋体" w:hAnsi="宋体"/>
          <w:color w:val="auto"/>
          <w:szCs w:val="21"/>
          <w:highlight w:val="none"/>
        </w:rPr>
        <w:t>已接收的投标文件、修改或撤回通知、备选投标方案等投标资料</w:t>
      </w:r>
      <w:r>
        <w:rPr>
          <w:rFonts w:hint="eastAsia" w:ascii="宋体" w:hAnsi="宋体"/>
          <w:color w:val="auto"/>
          <w:szCs w:val="21"/>
          <w:highlight w:val="none"/>
        </w:rPr>
        <w:t>，待不可抗力的影响结束且具备继续开标的条件时，由招标人继续开标。</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6.4.2 发生下列情况的，开标（评标）无效、中止或终止，恢复开标（评标）的时间视情况而定。</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（1）停电或服务器发生故障而无法访问网页或电子招标投标系统；</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（2）电子招标投标系统软件或网络数据库出现错误，不能进行正常的操作；</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（3）电子招标投标系统发现有安全漏洞，有潜在的泄密危险；</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（4）计算机病毒造成影响；</w:t>
      </w:r>
    </w:p>
    <w:p>
      <w:pPr>
        <w:spacing w:line="276" w:lineRule="auto"/>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rPr>
        <w:t>（5）电子交易系统出现信息与实际不符，须经交易中心核查情况的，或其他无法保证电子招标投标过程的公平、公正和信息安全的意外情况</w:t>
      </w:r>
      <w:r>
        <w:rPr>
          <w:rFonts w:hint="eastAsia" w:ascii="宋体" w:hAnsi="宋体"/>
          <w:color w:val="auto"/>
          <w:szCs w:val="21"/>
          <w:highlight w:val="none"/>
          <w:lang w:eastAsia="zh-CN"/>
        </w:rPr>
        <w:t>；</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（6）司法机关、纪检监察等部门依法要求中止或者终止电子招标投标活动的；</w:t>
      </w:r>
    </w:p>
    <w:p>
      <w:pPr>
        <w:spacing w:line="276" w:lineRule="auto"/>
        <w:ind w:left="420" w:leftChars="200"/>
        <w:rPr>
          <w:rFonts w:ascii="宋体" w:hAnsi="宋体"/>
          <w:color w:val="auto"/>
          <w:szCs w:val="21"/>
          <w:highlight w:val="none"/>
        </w:rPr>
      </w:pPr>
      <w:r>
        <w:rPr>
          <w:rFonts w:hint="eastAsia" w:ascii="宋体" w:hAnsi="宋体"/>
          <w:color w:val="auto"/>
          <w:szCs w:val="21"/>
          <w:highlight w:val="none"/>
        </w:rPr>
        <w:t>（7）在投标文件解密过程中，若系统出现异常或机房断电、网络故障等原因无法访问系统，投标人无法解密，招标代理按以下操作实施救济：</w:t>
      </w:r>
    </w:p>
    <w:p>
      <w:pPr>
        <w:spacing w:line="276" w:lineRule="auto"/>
        <w:ind w:left="420" w:leftChars="200"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解密时间结束前处理的：在设定的“解密结束时间”前系统恢复正常使用时，招标代理应继续进行系统开标流程；</w:t>
      </w:r>
    </w:p>
    <w:p>
      <w:pPr>
        <w:spacing w:line="276" w:lineRule="auto"/>
        <w:ind w:left="420" w:leftChars="200"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②</w:t>
      </w:r>
      <w:r>
        <w:rPr>
          <w:rFonts w:hint="eastAsia" w:ascii="宋体" w:hAnsi="宋体"/>
          <w:color w:val="auto"/>
          <w:szCs w:val="21"/>
          <w:highlight w:val="none"/>
        </w:rPr>
        <w:t>解密时间结束后处理的：在设定的“解密结束时间”后系统恢复正常使用时，招标代理可删除已同步的项目重新进行同步项目、同步投标人继续进行系统开标流程，并通知在出现异常情况前已进行解密操作的投标人重新进行解密（必须在项目规定的开标时间当日完成同步操作）</w:t>
      </w:r>
      <w:r>
        <w:rPr>
          <w:rFonts w:hint="eastAsia" w:ascii="宋体" w:hAnsi="宋体"/>
          <w:color w:val="auto"/>
          <w:szCs w:val="21"/>
          <w:highlight w:val="none"/>
          <w:lang w:eastAsia="zh-CN"/>
        </w:rPr>
        <w:t>；</w:t>
      </w:r>
    </w:p>
    <w:p>
      <w:pPr>
        <w:spacing w:line="276" w:lineRule="auto"/>
        <w:ind w:left="420" w:leftChars="200" w:firstLine="420" w:firstLineChars="200"/>
        <w:rPr>
          <w:rFonts w:hint="eastAsia"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经商定在约定时间内仍未对系统异常情况进行有效处理的，项目择日延期开标。</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（8）依法应当中止或终止网上招标投标活动的其他情形。</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6.4.3 对于另行安排时间开标评标的项目，有关评标</w:t>
      </w:r>
      <w:r>
        <w:rPr>
          <w:rFonts w:hint="eastAsia" w:ascii="宋体" w:hAnsi="宋体"/>
          <w:color w:val="auto"/>
          <w:szCs w:val="21"/>
          <w:highlight w:val="none"/>
          <w:lang w:eastAsia="zh-CN"/>
        </w:rPr>
        <w:t>材料</w:t>
      </w:r>
      <w:r>
        <w:rPr>
          <w:rFonts w:hint="eastAsia" w:ascii="宋体" w:hAnsi="宋体"/>
          <w:color w:val="auto"/>
          <w:szCs w:val="21"/>
          <w:highlight w:val="none"/>
        </w:rPr>
        <w:t>仍以原电子投标文件截止</w:t>
      </w:r>
      <w:r>
        <w:rPr>
          <w:rFonts w:ascii="宋体" w:hAnsi="宋体"/>
          <w:color w:val="auto"/>
          <w:szCs w:val="21"/>
          <w:highlight w:val="none"/>
        </w:rPr>
        <w:t>传输递交</w:t>
      </w:r>
      <w:r>
        <w:rPr>
          <w:rFonts w:hint="eastAsia" w:ascii="宋体" w:hAnsi="宋体"/>
          <w:color w:val="auto"/>
          <w:szCs w:val="21"/>
          <w:highlight w:val="none"/>
        </w:rPr>
        <w:t>时间为准，开标时，招标人（招标代理）须出具书面说明，提请评委注意有关评标业绩仍以原截标时间为准。</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6.4.4 电子招标投标中止、终止的，招标人（招标代理）应将电子招标投标活动的记录下载打印成纸质文档存档。</w:t>
      </w:r>
    </w:p>
    <w:p>
      <w:pPr>
        <w:spacing w:line="276" w:lineRule="auto"/>
        <w:ind w:firstLine="420" w:firstLineChars="200"/>
        <w:rPr>
          <w:rFonts w:hint="eastAsia" w:ascii="宋体" w:hAnsi="宋体"/>
          <w:color w:val="auto"/>
          <w:szCs w:val="21"/>
          <w:highlight w:val="none"/>
        </w:rPr>
      </w:pPr>
      <w:r>
        <w:rPr>
          <w:rFonts w:ascii="宋体" w:hAnsi="宋体"/>
          <w:color w:val="auto"/>
          <w:szCs w:val="21"/>
          <w:highlight w:val="none"/>
        </w:rPr>
        <w:t>6.4.</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本</w:t>
      </w:r>
      <w:r>
        <w:rPr>
          <w:rFonts w:ascii="宋体" w:hAnsi="宋体"/>
          <w:color w:val="auto"/>
          <w:szCs w:val="21"/>
          <w:highlight w:val="none"/>
        </w:rPr>
        <w:t>章前附表规定的其他</w:t>
      </w:r>
      <w:r>
        <w:rPr>
          <w:rFonts w:hint="eastAsia" w:ascii="宋体" w:hAnsi="宋体"/>
          <w:color w:val="auto"/>
          <w:szCs w:val="21"/>
          <w:highlight w:val="none"/>
        </w:rPr>
        <w:t>内容</w:t>
      </w:r>
      <w:r>
        <w:rPr>
          <w:rFonts w:ascii="宋体" w:hAnsi="宋体"/>
          <w:color w:val="auto"/>
          <w:szCs w:val="21"/>
          <w:highlight w:val="none"/>
        </w:rPr>
        <w:t>。</w:t>
      </w:r>
    </w:p>
    <w:p>
      <w:pPr>
        <w:pStyle w:val="5"/>
        <w:keepNext w:val="0"/>
        <w:keepLines w:val="0"/>
        <w:spacing w:line="276" w:lineRule="auto"/>
        <w:rPr>
          <w:rFonts w:hint="eastAsia" w:ascii="宋体" w:hAnsi="宋体"/>
          <w:b w:val="0"/>
          <w:bCs w:val="0"/>
          <w:color w:val="auto"/>
          <w:szCs w:val="28"/>
          <w:highlight w:val="none"/>
        </w:rPr>
      </w:pPr>
      <w:r>
        <w:rPr>
          <w:rFonts w:hint="eastAsia" w:ascii="宋体" w:hAnsi="宋体"/>
          <w:color w:val="auto"/>
          <w:highlight w:val="none"/>
        </w:rPr>
        <w:t>7.</w:t>
      </w:r>
      <w:r>
        <w:rPr>
          <w:rFonts w:hint="eastAsia" w:ascii="宋体" w:hAnsi="宋体"/>
          <w:bCs w:val="0"/>
          <w:color w:val="auto"/>
          <w:szCs w:val="28"/>
          <w:highlight w:val="none"/>
        </w:rPr>
        <w:t>推荐入围</w:t>
      </w:r>
    </w:p>
    <w:p>
      <w:pPr>
        <w:spacing w:line="276" w:lineRule="auto"/>
        <w:rPr>
          <w:rFonts w:hint="eastAsia" w:ascii="宋体" w:hAnsi="宋体" w:eastAsia="宋体"/>
          <w:b/>
          <w:bCs/>
          <w:color w:val="auto"/>
          <w:szCs w:val="28"/>
          <w:highlight w:val="none"/>
          <w:lang w:eastAsia="zh-CN"/>
        </w:rPr>
      </w:pPr>
      <w:r>
        <w:rPr>
          <w:rFonts w:hint="eastAsia" w:ascii="宋体" w:hAnsi="宋体"/>
          <w:b/>
          <w:bCs/>
          <w:color w:val="auto"/>
          <w:szCs w:val="28"/>
          <w:highlight w:val="none"/>
        </w:rPr>
        <w:t>7.1</w:t>
      </w:r>
      <w:r>
        <w:rPr>
          <w:rFonts w:hint="eastAsia" w:ascii="宋体" w:hAnsi="宋体"/>
          <w:b/>
          <w:bCs/>
          <w:color w:val="auto"/>
          <w:szCs w:val="28"/>
          <w:highlight w:val="none"/>
          <w:lang w:val="en-US" w:eastAsia="zh-CN"/>
        </w:rPr>
        <w:t xml:space="preserve"> </w:t>
      </w:r>
      <w:r>
        <w:rPr>
          <w:rFonts w:hint="eastAsia" w:ascii="宋体" w:hAnsi="宋体"/>
          <w:b/>
          <w:bCs/>
          <w:color w:val="auto"/>
          <w:szCs w:val="28"/>
          <w:highlight w:val="none"/>
        </w:rPr>
        <w:t>推荐</w:t>
      </w:r>
      <w:r>
        <w:rPr>
          <w:rFonts w:hint="eastAsia" w:ascii="宋体" w:hAnsi="宋体"/>
          <w:b/>
          <w:bCs/>
          <w:color w:val="auto"/>
          <w:szCs w:val="28"/>
          <w:highlight w:val="none"/>
          <w:lang w:val="en-US" w:eastAsia="zh-CN"/>
        </w:rPr>
        <w:t>程序</w:t>
      </w:r>
      <w:r>
        <w:rPr>
          <w:rFonts w:hint="eastAsia" w:ascii="宋体" w:hAnsi="宋体"/>
          <w:b/>
          <w:bCs/>
          <w:color w:val="auto"/>
          <w:szCs w:val="28"/>
          <w:highlight w:val="none"/>
          <w:lang w:eastAsia="zh-CN"/>
        </w:rPr>
        <w:t>（评定分离项目）</w:t>
      </w:r>
    </w:p>
    <w:p>
      <w:pPr>
        <w:spacing w:line="276" w:lineRule="auto"/>
        <w:ind w:firstLine="420" w:firstLineChars="200"/>
        <w:rPr>
          <w:rFonts w:hint="eastAsia" w:ascii="宋体" w:hAnsi="宋体"/>
          <w:b/>
          <w:bCs/>
          <w:color w:val="auto"/>
          <w:szCs w:val="28"/>
          <w:highlight w:val="none"/>
        </w:rPr>
      </w:pPr>
      <w:r>
        <w:rPr>
          <w:rFonts w:hint="eastAsia" w:ascii="宋体" w:hAnsi="宋体"/>
          <w:bCs/>
          <w:color w:val="auto"/>
          <w:szCs w:val="28"/>
          <w:highlight w:val="none"/>
        </w:rPr>
        <w:t>7</w:t>
      </w:r>
      <w:r>
        <w:rPr>
          <w:rFonts w:ascii="宋体" w:hAnsi="宋体"/>
          <w:bCs/>
          <w:color w:val="auto"/>
          <w:szCs w:val="28"/>
          <w:highlight w:val="none"/>
        </w:rPr>
        <w:t xml:space="preserve">.1.1 </w:t>
      </w:r>
      <w:r>
        <w:rPr>
          <w:rFonts w:hint="eastAsia" w:ascii="宋体" w:hAnsi="宋体"/>
          <w:bCs/>
          <w:color w:val="auto"/>
          <w:szCs w:val="28"/>
          <w:highlight w:val="none"/>
        </w:rPr>
        <w:t>招标人负责组建推荐入围委员会</w:t>
      </w:r>
      <w:r>
        <w:rPr>
          <w:rFonts w:hint="eastAsia" w:ascii="宋体" w:hAnsi="宋体"/>
          <w:bCs/>
          <w:color w:val="auto"/>
          <w:szCs w:val="28"/>
          <w:highlight w:val="none"/>
          <w:lang w:eastAsia="zh-CN"/>
        </w:rPr>
        <w:t>，并确定</w:t>
      </w:r>
      <w:r>
        <w:rPr>
          <w:rFonts w:hint="eastAsia" w:ascii="宋体" w:hAnsi="宋体"/>
          <w:bCs/>
          <w:color w:val="auto"/>
          <w:szCs w:val="28"/>
          <w:highlight w:val="none"/>
        </w:rPr>
        <w:t>推荐入围委员会成员人数。</w:t>
      </w:r>
    </w:p>
    <w:p>
      <w:pPr>
        <w:spacing w:line="276" w:lineRule="auto"/>
        <w:ind w:firstLine="420" w:firstLineChars="200"/>
        <w:rPr>
          <w:rFonts w:ascii="宋体" w:hAnsi="宋体"/>
          <w:bCs/>
          <w:color w:val="auto"/>
          <w:szCs w:val="28"/>
          <w:highlight w:val="none"/>
        </w:rPr>
      </w:pPr>
      <w:r>
        <w:rPr>
          <w:rFonts w:hint="eastAsia" w:ascii="宋体" w:hAnsi="宋体"/>
          <w:bCs/>
          <w:color w:val="auto"/>
          <w:szCs w:val="28"/>
          <w:highlight w:val="none"/>
        </w:rPr>
        <w:t>7.</w:t>
      </w:r>
      <w:r>
        <w:rPr>
          <w:rFonts w:ascii="宋体" w:hAnsi="宋体"/>
          <w:bCs/>
          <w:color w:val="auto"/>
          <w:szCs w:val="28"/>
          <w:highlight w:val="none"/>
        </w:rPr>
        <w:t>1.</w:t>
      </w:r>
      <w:r>
        <w:rPr>
          <w:rFonts w:hint="eastAsia" w:ascii="宋体" w:hAnsi="宋体"/>
          <w:bCs/>
          <w:color w:val="auto"/>
          <w:szCs w:val="28"/>
          <w:highlight w:val="none"/>
        </w:rPr>
        <w:t>2</w:t>
      </w:r>
      <w:r>
        <w:rPr>
          <w:rFonts w:ascii="宋体" w:hAnsi="宋体"/>
          <w:bCs/>
          <w:color w:val="auto"/>
          <w:szCs w:val="28"/>
          <w:highlight w:val="none"/>
        </w:rPr>
        <w:t xml:space="preserve"> </w:t>
      </w:r>
      <w:r>
        <w:rPr>
          <w:rFonts w:hint="eastAsia" w:ascii="宋体" w:hAnsi="宋体"/>
          <w:bCs/>
          <w:color w:val="auto"/>
          <w:szCs w:val="28"/>
          <w:highlight w:val="none"/>
        </w:rPr>
        <w:t>推荐方式参考</w:t>
      </w:r>
      <w:r>
        <w:rPr>
          <w:rFonts w:ascii="宋体" w:hAnsi="宋体"/>
          <w:bCs/>
          <w:color w:val="auto"/>
          <w:szCs w:val="28"/>
          <w:highlight w:val="none"/>
        </w:rPr>
        <w:t>使用“</w:t>
      </w:r>
      <w:r>
        <w:rPr>
          <w:rFonts w:hint="eastAsia" w:ascii="宋体" w:hAnsi="宋体"/>
          <w:bCs/>
          <w:color w:val="auto"/>
          <w:szCs w:val="28"/>
          <w:highlight w:val="none"/>
        </w:rPr>
        <w:t>定标</w:t>
      </w:r>
      <w:r>
        <w:rPr>
          <w:rFonts w:ascii="宋体" w:hAnsi="宋体"/>
          <w:bCs/>
          <w:color w:val="auto"/>
          <w:szCs w:val="28"/>
          <w:highlight w:val="none"/>
        </w:rPr>
        <w:t>办法”</w:t>
      </w:r>
      <w:r>
        <w:rPr>
          <w:rFonts w:hint="eastAsia" w:ascii="宋体" w:hAnsi="宋体"/>
          <w:bCs/>
          <w:color w:val="auto"/>
          <w:szCs w:val="28"/>
          <w:highlight w:val="none"/>
        </w:rPr>
        <w:t>中</w:t>
      </w:r>
      <w:r>
        <w:rPr>
          <w:rFonts w:ascii="宋体" w:hAnsi="宋体"/>
          <w:bCs/>
          <w:color w:val="auto"/>
          <w:szCs w:val="28"/>
          <w:highlight w:val="none"/>
        </w:rPr>
        <w:t>的票决</w:t>
      </w:r>
      <w:r>
        <w:rPr>
          <w:rFonts w:hint="eastAsia" w:ascii="宋体" w:hAnsi="宋体"/>
          <w:bCs/>
          <w:color w:val="auto"/>
          <w:szCs w:val="28"/>
          <w:highlight w:val="none"/>
        </w:rPr>
        <w:t>方式</w:t>
      </w:r>
      <w:r>
        <w:rPr>
          <w:rFonts w:ascii="宋体" w:hAnsi="宋体"/>
          <w:bCs/>
          <w:color w:val="auto"/>
          <w:szCs w:val="28"/>
          <w:highlight w:val="none"/>
        </w:rPr>
        <w:t>，或</w:t>
      </w:r>
      <w:r>
        <w:rPr>
          <w:rFonts w:hint="eastAsia" w:ascii="宋体" w:hAnsi="宋体"/>
          <w:bCs/>
          <w:color w:val="auto"/>
          <w:szCs w:val="28"/>
          <w:highlight w:val="none"/>
        </w:rPr>
        <w:t>招标人确定的</w:t>
      </w:r>
      <w:r>
        <w:rPr>
          <w:rFonts w:ascii="宋体" w:hAnsi="宋体"/>
          <w:bCs/>
          <w:color w:val="auto"/>
          <w:szCs w:val="28"/>
          <w:highlight w:val="none"/>
        </w:rPr>
        <w:t>其他方</w:t>
      </w:r>
      <w:r>
        <w:rPr>
          <w:rFonts w:hint="eastAsia" w:ascii="宋体" w:hAnsi="宋体"/>
          <w:bCs/>
          <w:color w:val="auto"/>
          <w:szCs w:val="28"/>
          <w:highlight w:val="none"/>
        </w:rPr>
        <w:t>式</w:t>
      </w:r>
      <w:r>
        <w:rPr>
          <w:rFonts w:ascii="宋体" w:hAnsi="宋体"/>
          <w:bCs/>
          <w:color w:val="auto"/>
          <w:szCs w:val="28"/>
          <w:highlight w:val="none"/>
        </w:rPr>
        <w:t>。</w:t>
      </w:r>
    </w:p>
    <w:p>
      <w:pPr>
        <w:spacing w:line="276" w:lineRule="auto"/>
        <w:ind w:firstLine="420" w:firstLineChars="200"/>
        <w:rPr>
          <w:rFonts w:hint="eastAsia" w:ascii="宋体" w:hAnsi="宋体"/>
          <w:bCs/>
          <w:color w:val="auto"/>
          <w:szCs w:val="28"/>
          <w:highlight w:val="none"/>
        </w:rPr>
      </w:pPr>
      <w:r>
        <w:rPr>
          <w:rFonts w:hint="eastAsia" w:ascii="宋体" w:hAnsi="宋体"/>
          <w:bCs/>
          <w:color w:val="auto"/>
          <w:szCs w:val="28"/>
          <w:highlight w:val="none"/>
        </w:rPr>
        <w:t>7.</w:t>
      </w:r>
      <w:r>
        <w:rPr>
          <w:rFonts w:ascii="宋体" w:hAnsi="宋体"/>
          <w:bCs/>
          <w:color w:val="auto"/>
          <w:szCs w:val="28"/>
          <w:highlight w:val="none"/>
        </w:rPr>
        <w:t>1.</w:t>
      </w:r>
      <w:r>
        <w:rPr>
          <w:rFonts w:hint="eastAsia" w:ascii="宋体" w:hAnsi="宋体"/>
          <w:bCs/>
          <w:color w:val="auto"/>
          <w:szCs w:val="28"/>
          <w:highlight w:val="none"/>
        </w:rPr>
        <w:t>3</w:t>
      </w:r>
      <w:r>
        <w:rPr>
          <w:rFonts w:ascii="宋体" w:hAnsi="宋体"/>
          <w:bCs/>
          <w:color w:val="auto"/>
          <w:szCs w:val="28"/>
          <w:highlight w:val="none"/>
        </w:rPr>
        <w:t xml:space="preserve"> </w:t>
      </w:r>
      <w:r>
        <w:rPr>
          <w:rFonts w:hint="eastAsia" w:ascii="宋体" w:hAnsi="宋体"/>
          <w:bCs/>
          <w:color w:val="auto"/>
          <w:szCs w:val="28"/>
          <w:highlight w:val="none"/>
          <w:lang w:eastAsia="zh-CN"/>
        </w:rPr>
        <w:t>推荐</w:t>
      </w:r>
      <w:r>
        <w:rPr>
          <w:rFonts w:hint="eastAsia" w:ascii="宋体" w:hAnsi="宋体"/>
          <w:bCs/>
          <w:color w:val="auto"/>
          <w:szCs w:val="28"/>
          <w:highlight w:val="none"/>
          <w:lang w:val="en-US" w:eastAsia="zh-CN"/>
        </w:rPr>
        <w:t>程序</w:t>
      </w:r>
      <w:r>
        <w:rPr>
          <w:rFonts w:hint="eastAsia" w:ascii="宋体" w:hAnsi="宋体"/>
          <w:color w:val="auto"/>
          <w:highlight w:val="none"/>
        </w:rPr>
        <w:t>原则</w:t>
      </w:r>
      <w:r>
        <w:rPr>
          <w:rFonts w:ascii="宋体" w:hAnsi="宋体"/>
          <w:color w:val="auto"/>
          <w:highlight w:val="none"/>
        </w:rPr>
        <w:t>上</w:t>
      </w:r>
      <w:r>
        <w:rPr>
          <w:rFonts w:hint="eastAsia" w:ascii="宋体" w:hAnsi="宋体"/>
          <w:color w:val="auto"/>
          <w:highlight w:val="none"/>
        </w:rPr>
        <w:t>与开标程序在同一天</w:t>
      </w:r>
      <w:r>
        <w:rPr>
          <w:rFonts w:hint="eastAsia" w:ascii="宋体" w:hAnsi="宋体"/>
          <w:color w:val="auto"/>
          <w:highlight w:val="none"/>
          <w:lang w:eastAsia="zh-CN"/>
        </w:rPr>
        <w:t>完成。</w:t>
      </w:r>
      <w:r>
        <w:rPr>
          <w:rFonts w:hint="eastAsia" w:ascii="宋体" w:hAnsi="宋体"/>
          <w:color w:val="auto"/>
          <w:highlight w:val="none"/>
          <w:lang w:val="en-US" w:eastAsia="zh-CN"/>
        </w:rPr>
        <w:t>被</w:t>
      </w:r>
      <w:r>
        <w:rPr>
          <w:rFonts w:hint="eastAsia" w:ascii="宋体" w:hAnsi="宋体"/>
          <w:color w:val="auto"/>
          <w:highlight w:val="none"/>
        </w:rPr>
        <w:t>推荐</w:t>
      </w:r>
      <w:r>
        <w:rPr>
          <w:rFonts w:hint="eastAsia" w:ascii="宋体" w:hAnsi="宋体"/>
          <w:color w:val="auto"/>
          <w:highlight w:val="none"/>
          <w:lang w:val="en-US" w:eastAsia="zh-CN"/>
        </w:rPr>
        <w:t>入围</w:t>
      </w:r>
      <w:r>
        <w:rPr>
          <w:rFonts w:hint="eastAsia" w:ascii="宋体" w:hAnsi="宋体"/>
          <w:color w:val="auto"/>
          <w:highlight w:val="none"/>
        </w:rPr>
        <w:t>投标人最多不超过5名</w:t>
      </w:r>
      <w:r>
        <w:rPr>
          <w:rFonts w:hint="eastAsia" w:ascii="宋体" w:hAnsi="宋体"/>
          <w:color w:val="auto"/>
          <w:highlight w:val="none"/>
          <w:lang w:eastAsia="zh-CN"/>
        </w:rPr>
        <w:t>，</w:t>
      </w:r>
      <w:r>
        <w:rPr>
          <w:rFonts w:hint="eastAsia" w:ascii="宋体" w:hAnsi="宋体"/>
          <w:bCs/>
          <w:color w:val="auto"/>
          <w:szCs w:val="28"/>
          <w:highlight w:val="none"/>
          <w:lang w:val="en-US" w:eastAsia="zh-CN"/>
        </w:rPr>
        <w:t>应选取</w:t>
      </w:r>
      <w:r>
        <w:rPr>
          <w:rFonts w:hint="eastAsia" w:ascii="宋体" w:hAnsi="宋体"/>
          <w:color w:val="auto"/>
          <w:szCs w:val="21"/>
          <w:highlight w:val="none"/>
        </w:rPr>
        <w:t>“江门市建筑</w:t>
      </w:r>
      <w:r>
        <w:rPr>
          <w:rFonts w:hint="eastAsia" w:ascii="宋体" w:hAnsi="宋体"/>
          <w:color w:val="auto"/>
          <w:szCs w:val="21"/>
          <w:highlight w:val="none"/>
          <w:lang w:val="en-US" w:eastAsia="zh-CN"/>
        </w:rPr>
        <w:t>市场</w:t>
      </w:r>
      <w:r>
        <w:rPr>
          <w:rFonts w:hint="eastAsia" w:ascii="宋体" w:hAnsi="宋体"/>
          <w:color w:val="auto"/>
          <w:szCs w:val="21"/>
          <w:highlight w:val="none"/>
        </w:rPr>
        <w:t>信用信息管理系统”</w:t>
      </w:r>
      <w:r>
        <w:rPr>
          <w:rFonts w:hint="eastAsia" w:ascii="宋体" w:hAnsi="宋体"/>
          <w:color w:val="auto"/>
          <w:szCs w:val="21"/>
          <w:highlight w:val="none"/>
          <w:lang w:eastAsia="zh-CN"/>
        </w:rPr>
        <w:t>中</w:t>
      </w:r>
      <w:r>
        <w:rPr>
          <w:rFonts w:hint="eastAsia" w:ascii="宋体" w:hAnsi="宋体"/>
          <w:bCs/>
          <w:color w:val="auto"/>
          <w:szCs w:val="28"/>
          <w:highlight w:val="none"/>
        </w:rPr>
        <w:t>B级</w:t>
      </w:r>
      <w:r>
        <w:rPr>
          <w:rFonts w:hint="eastAsia" w:ascii="宋体" w:hAnsi="宋体"/>
          <w:bCs/>
          <w:color w:val="auto"/>
          <w:szCs w:val="28"/>
          <w:highlight w:val="none"/>
          <w:lang w:eastAsia="zh-CN"/>
        </w:rPr>
        <w:t>或</w:t>
      </w:r>
      <w:r>
        <w:rPr>
          <w:rFonts w:hint="eastAsia" w:ascii="宋体" w:hAnsi="宋体"/>
          <w:bCs/>
          <w:color w:val="auto"/>
          <w:szCs w:val="28"/>
          <w:highlight w:val="none"/>
        </w:rPr>
        <w:t>以上</w:t>
      </w:r>
      <w:r>
        <w:rPr>
          <w:rFonts w:hint="eastAsia" w:ascii="宋体" w:hAnsi="宋体"/>
          <w:bCs/>
          <w:color w:val="auto"/>
          <w:szCs w:val="28"/>
          <w:highlight w:val="none"/>
          <w:lang w:val="en-US" w:eastAsia="zh-CN"/>
        </w:rPr>
        <w:t>企业</w:t>
      </w:r>
      <w:r>
        <w:rPr>
          <w:rFonts w:hint="eastAsia" w:ascii="宋体" w:hAnsi="宋体"/>
          <w:bCs/>
          <w:color w:val="auto"/>
          <w:szCs w:val="28"/>
          <w:highlight w:val="none"/>
          <w:lang w:eastAsia="zh-CN"/>
        </w:rPr>
        <w:t>，或综合实力和履约能力强的龙头种子企业</w:t>
      </w:r>
      <w:r>
        <w:rPr>
          <w:rFonts w:hint="eastAsia" w:ascii="宋体" w:hAnsi="宋体"/>
          <w:bCs/>
          <w:color w:val="auto"/>
          <w:szCs w:val="28"/>
          <w:highlight w:val="none"/>
        </w:rPr>
        <w:t>。</w:t>
      </w:r>
    </w:p>
    <w:p>
      <w:pPr>
        <w:pStyle w:val="5"/>
        <w:keepNext w:val="0"/>
        <w:keepLines w:val="0"/>
        <w:spacing w:line="276" w:lineRule="auto"/>
        <w:rPr>
          <w:rFonts w:hint="eastAsia" w:ascii="宋体" w:hAnsi="宋体"/>
          <w:color w:val="auto"/>
          <w:highlight w:val="none"/>
        </w:rPr>
      </w:pPr>
      <w:bookmarkStart w:id="19" w:name="_Toc184635076"/>
      <w:r>
        <w:rPr>
          <w:rFonts w:hint="eastAsia" w:ascii="宋体" w:hAnsi="宋体"/>
          <w:color w:val="auto"/>
          <w:highlight w:val="none"/>
        </w:rPr>
        <w:t>8.评标</w:t>
      </w:r>
      <w:bookmarkEnd w:id="19"/>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8.1 评标委员会</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8.1.1 评标由招标人依法组建的评标委员会负责。评标委员会成员人数以及技术、经济等方面专家的确定方式见本章前附表。</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8.1.2 评标委员会成员有下列情形之一的，应当回避：</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（1）招标人或投标人的主要负责人的近亲属；</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（3）与投标人有经济利益关系，可能影响公正评审的；</w:t>
      </w:r>
    </w:p>
    <w:p>
      <w:pPr>
        <w:spacing w:line="276" w:lineRule="auto"/>
        <w:ind w:left="420" w:leftChars="200"/>
        <w:rPr>
          <w:rFonts w:hint="eastAsia" w:ascii="宋体" w:hAnsi="宋体"/>
          <w:color w:val="auto"/>
          <w:szCs w:val="21"/>
          <w:highlight w:val="none"/>
        </w:rPr>
      </w:pPr>
      <w:r>
        <w:rPr>
          <w:rFonts w:hint="eastAsia" w:ascii="宋体" w:hAnsi="宋体"/>
          <w:color w:val="auto"/>
          <w:szCs w:val="21"/>
          <w:highlight w:val="none"/>
        </w:rPr>
        <w:t>（4）曾因在招标、评标及其他与招标投标有关活动中从事违法行为而受过行政处罚或刑事处罚的。</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8.2 评标原则</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8.3 评标</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 xml:space="preserve">8.3.1 </w:t>
      </w:r>
      <w:r>
        <w:rPr>
          <w:rFonts w:hint="eastAsia" w:ascii="宋体" w:hAnsi="宋体"/>
          <w:color w:val="auto"/>
          <w:highlight w:val="none"/>
          <w:lang w:eastAsia="zh-CN"/>
        </w:rPr>
        <w:t>招标人（招标代理）</w:t>
      </w:r>
      <w:r>
        <w:rPr>
          <w:rFonts w:hint="eastAsia" w:ascii="宋体" w:hAnsi="宋体"/>
          <w:color w:val="auto"/>
          <w:highlight w:val="none"/>
        </w:rPr>
        <w:t>向评标委员会移交评标需要的资料，包括开标过程</w:t>
      </w:r>
      <w:r>
        <w:rPr>
          <w:rFonts w:ascii="宋体" w:hAnsi="宋体"/>
          <w:color w:val="auto"/>
          <w:highlight w:val="none"/>
        </w:rPr>
        <w:t>资料</w:t>
      </w:r>
      <w:r>
        <w:rPr>
          <w:rFonts w:hint="eastAsia" w:ascii="宋体" w:hAnsi="宋体"/>
          <w:color w:val="auto"/>
          <w:highlight w:val="none"/>
        </w:rPr>
        <w:t>和进入评标环节投标人的投标文件（评标部分）</w:t>
      </w:r>
      <w:r>
        <w:rPr>
          <w:rFonts w:hint="eastAsia" w:ascii="宋体" w:hAnsi="宋体"/>
          <w:color w:val="auto"/>
          <w:szCs w:val="21"/>
          <w:highlight w:val="none"/>
          <w:lang w:eastAsia="zh-CN"/>
        </w:rPr>
        <w:t>，或</w:t>
      </w:r>
      <w:r>
        <w:rPr>
          <w:rFonts w:hint="eastAsia" w:ascii="宋体" w:hAnsi="宋体"/>
          <w:color w:val="auto"/>
          <w:szCs w:val="21"/>
          <w:highlight w:val="none"/>
        </w:rPr>
        <w:t>评标委员会认为必要的其他信息</w:t>
      </w:r>
      <w:r>
        <w:rPr>
          <w:rFonts w:hint="eastAsia" w:ascii="宋体" w:hAnsi="宋体"/>
          <w:color w:val="auto"/>
          <w:szCs w:val="21"/>
          <w:highlight w:val="none"/>
          <w:lang w:eastAsia="zh-CN"/>
        </w:rPr>
        <w:t>。同时</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完成评标前准备工作。</w:t>
      </w:r>
    </w:p>
    <w:p>
      <w:pPr>
        <w:spacing w:line="276" w:lineRule="auto"/>
        <w:ind w:firstLine="420" w:firstLineChars="200"/>
        <w:rPr>
          <w:rFonts w:hint="eastAsia" w:ascii="宋体" w:hAnsi="宋体"/>
          <w:color w:val="auto"/>
          <w:highlight w:val="none"/>
        </w:rPr>
      </w:pPr>
    </w:p>
    <w:p>
      <w:pPr>
        <w:spacing w:line="276" w:lineRule="auto"/>
        <w:ind w:firstLine="420" w:firstLineChars="200"/>
        <w:rPr>
          <w:rFonts w:hint="eastAsia" w:ascii="宋体" w:hAnsi="宋体"/>
          <w:color w:val="auto"/>
          <w:szCs w:val="21"/>
          <w:highlight w:val="none"/>
        </w:rPr>
      </w:pPr>
      <w:r>
        <w:rPr>
          <w:rFonts w:hint="eastAsia" w:ascii="宋体" w:hAnsi="宋体"/>
          <w:color w:val="auto"/>
          <w:highlight w:val="none"/>
        </w:rPr>
        <w:t>8.3.</w:t>
      </w:r>
      <w:r>
        <w:rPr>
          <w:rFonts w:hint="eastAsia" w:ascii="宋体" w:hAnsi="宋体"/>
          <w:color w:val="auto"/>
          <w:highlight w:val="none"/>
          <w:lang w:val="en-US" w:eastAsia="zh-CN"/>
        </w:rPr>
        <w:t>2</w:t>
      </w:r>
      <w:r>
        <w:rPr>
          <w:rFonts w:hint="eastAsia" w:ascii="宋体" w:hAnsi="宋体"/>
          <w:color w:val="auto"/>
          <w:highlight w:val="none"/>
        </w:rPr>
        <w:t xml:space="preserve"> </w:t>
      </w:r>
      <w:r>
        <w:rPr>
          <w:rFonts w:hint="eastAsia" w:ascii="宋体" w:hAnsi="宋体"/>
          <w:color w:val="auto"/>
          <w:highlight w:val="none"/>
          <w:lang w:val="en-US" w:eastAsia="zh-CN"/>
        </w:rPr>
        <w:t>根据选定的评标方法，</w:t>
      </w:r>
      <w:r>
        <w:rPr>
          <w:rFonts w:hint="eastAsia" w:ascii="宋体" w:hAnsi="宋体"/>
          <w:color w:val="auto"/>
          <w:szCs w:val="21"/>
          <w:highlight w:val="none"/>
        </w:rPr>
        <w:t>评标委员会按照规定的方法、评审因素、标准和程序</w:t>
      </w:r>
      <w:r>
        <w:rPr>
          <w:rFonts w:hint="eastAsia" w:ascii="宋体" w:hAnsi="宋体"/>
          <w:color w:val="auto"/>
          <w:szCs w:val="21"/>
          <w:highlight w:val="none"/>
          <w:lang w:eastAsia="zh-CN"/>
        </w:rPr>
        <w:t>，</w:t>
      </w:r>
      <w:r>
        <w:rPr>
          <w:rFonts w:hint="eastAsia" w:ascii="宋体" w:hAnsi="宋体"/>
          <w:color w:val="auto"/>
          <w:szCs w:val="21"/>
          <w:highlight w:val="none"/>
        </w:rPr>
        <w:t>对进入评标环节正式投标人</w:t>
      </w:r>
      <w:r>
        <w:rPr>
          <w:rFonts w:hint="eastAsia" w:ascii="宋体" w:hAnsi="宋体"/>
          <w:color w:val="auto"/>
          <w:szCs w:val="21"/>
          <w:highlight w:val="none"/>
          <w:lang w:val="en-US" w:eastAsia="zh-CN"/>
        </w:rPr>
        <w:t>的</w:t>
      </w:r>
      <w:r>
        <w:rPr>
          <w:rFonts w:hint="eastAsia" w:ascii="宋体" w:hAnsi="宋体"/>
          <w:color w:val="auto"/>
          <w:szCs w:val="21"/>
          <w:highlight w:val="none"/>
        </w:rPr>
        <w:t>投标文件（评标部分）进行评审</w:t>
      </w:r>
      <w:r>
        <w:rPr>
          <w:rFonts w:hint="eastAsia" w:ascii="宋体" w:hAnsi="宋体"/>
          <w:color w:val="auto"/>
          <w:szCs w:val="21"/>
          <w:highlight w:val="none"/>
          <w:lang w:eastAsia="zh-CN"/>
        </w:rPr>
        <w:t>，</w:t>
      </w:r>
      <w:r>
        <w:rPr>
          <w:rFonts w:hint="eastAsia" w:ascii="宋体" w:hAnsi="宋体"/>
          <w:color w:val="auto"/>
          <w:szCs w:val="21"/>
          <w:highlight w:val="none"/>
        </w:rPr>
        <w:t>没有规定的方法、评审因素和标准，不作为评标依据。</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8.4 评标完成</w:t>
      </w:r>
    </w:p>
    <w:p>
      <w:pPr>
        <w:ind w:firstLine="420" w:firstLineChars="200"/>
        <w:rPr>
          <w:rFonts w:hint="eastAsia" w:ascii="宋体" w:hAnsi="宋体"/>
          <w:color w:val="auto"/>
          <w:szCs w:val="21"/>
          <w:highlight w:val="none"/>
        </w:rPr>
      </w:pPr>
      <w:r>
        <w:rPr>
          <w:rFonts w:hint="eastAsia" w:ascii="宋体" w:hAnsi="宋体"/>
          <w:color w:val="auto"/>
          <w:szCs w:val="21"/>
          <w:highlight w:val="none"/>
        </w:rPr>
        <w:t>8.4.</w:t>
      </w:r>
      <w:r>
        <w:rPr>
          <w:rFonts w:hint="eastAsia" w:ascii="宋体" w:hAnsi="宋体"/>
          <w:color w:val="auto"/>
          <w:szCs w:val="21"/>
          <w:highlight w:val="none"/>
          <w:lang w:val="en-US" w:eastAsia="zh-CN"/>
        </w:rPr>
        <w:t>1 非评定分离项目，</w:t>
      </w:r>
      <w:r>
        <w:rPr>
          <w:rFonts w:hint="default" w:ascii="宋体" w:hAnsi="宋体" w:eastAsia="宋体" w:cs="Times New Roman"/>
          <w:color w:val="auto"/>
          <w:szCs w:val="24"/>
          <w:highlight w:val="none"/>
        </w:rPr>
        <w:t>评标委员会</w:t>
      </w:r>
      <w:r>
        <w:rPr>
          <w:rFonts w:hint="eastAsia" w:ascii="宋体" w:hAnsi="宋体"/>
          <w:color w:val="auto"/>
          <w:szCs w:val="21"/>
          <w:highlight w:val="none"/>
        </w:rPr>
        <w:t>完成评审后，</w:t>
      </w:r>
      <w:r>
        <w:rPr>
          <w:rFonts w:hint="default" w:ascii="宋体" w:hAnsi="宋体" w:eastAsia="宋体" w:cs="Times New Roman"/>
          <w:color w:val="auto"/>
          <w:szCs w:val="24"/>
          <w:highlight w:val="none"/>
        </w:rPr>
        <w:t>推荐中标候选人</w:t>
      </w:r>
      <w:r>
        <w:rPr>
          <w:rFonts w:hint="eastAsia" w:ascii="宋体" w:hAnsi="宋体" w:eastAsia="宋体" w:cs="Times New Roman"/>
          <w:color w:val="auto"/>
          <w:szCs w:val="24"/>
          <w:highlight w:val="none"/>
          <w:lang w:eastAsia="zh-CN"/>
        </w:rPr>
        <w:t>，</w:t>
      </w:r>
      <w:r>
        <w:rPr>
          <w:rFonts w:hint="eastAsia" w:ascii="宋体" w:hAnsi="宋体"/>
          <w:color w:val="auto"/>
          <w:szCs w:val="21"/>
          <w:highlight w:val="none"/>
        </w:rPr>
        <w:t>出具评标报告，</w:t>
      </w:r>
      <w:r>
        <w:rPr>
          <w:rFonts w:ascii="宋体" w:hAnsi="宋体"/>
          <w:color w:val="auto"/>
          <w:szCs w:val="21"/>
          <w:highlight w:val="none"/>
        </w:rPr>
        <w:t>评标</w:t>
      </w:r>
      <w:r>
        <w:rPr>
          <w:rFonts w:hint="eastAsia" w:ascii="宋体" w:hAnsi="宋体"/>
          <w:color w:val="auto"/>
          <w:szCs w:val="21"/>
          <w:highlight w:val="none"/>
        </w:rPr>
        <w:t>工作</w:t>
      </w:r>
      <w:r>
        <w:rPr>
          <w:rFonts w:ascii="宋体" w:hAnsi="宋体"/>
          <w:color w:val="auto"/>
          <w:szCs w:val="21"/>
          <w:highlight w:val="none"/>
        </w:rPr>
        <w:t>完成</w:t>
      </w:r>
      <w:r>
        <w:rPr>
          <w:rFonts w:hint="eastAsia" w:ascii="宋体" w:hAnsi="宋体"/>
          <w:color w:val="auto"/>
          <w:szCs w:val="21"/>
          <w:highlight w:val="none"/>
        </w:rPr>
        <w:t>。</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8.4.2 评定分离项目，评标委员会完成评审后，推荐不排序的定标候选人，</w:t>
      </w:r>
      <w:r>
        <w:rPr>
          <w:rFonts w:hint="eastAsia" w:ascii="宋体" w:hAnsi="宋体"/>
          <w:color w:val="auto"/>
          <w:szCs w:val="21"/>
          <w:highlight w:val="none"/>
        </w:rPr>
        <w:t>出具评标报告，</w:t>
      </w:r>
      <w:r>
        <w:rPr>
          <w:rFonts w:ascii="宋体" w:hAnsi="宋体"/>
          <w:color w:val="auto"/>
          <w:szCs w:val="21"/>
          <w:highlight w:val="none"/>
        </w:rPr>
        <w:t>评标</w:t>
      </w:r>
      <w:r>
        <w:rPr>
          <w:rFonts w:hint="eastAsia" w:ascii="宋体" w:hAnsi="宋体"/>
          <w:color w:val="auto"/>
          <w:szCs w:val="21"/>
          <w:highlight w:val="none"/>
        </w:rPr>
        <w:t>工作</w:t>
      </w:r>
      <w:r>
        <w:rPr>
          <w:rFonts w:ascii="宋体" w:hAnsi="宋体"/>
          <w:color w:val="auto"/>
          <w:szCs w:val="21"/>
          <w:highlight w:val="none"/>
        </w:rPr>
        <w:t>完成</w:t>
      </w:r>
      <w:r>
        <w:rPr>
          <w:rFonts w:hint="eastAsia" w:ascii="宋体" w:hAnsi="宋体"/>
          <w:color w:val="auto"/>
          <w:szCs w:val="21"/>
          <w:highlight w:val="none"/>
        </w:rPr>
        <w:t>。</w:t>
      </w:r>
    </w:p>
    <w:p>
      <w:pPr>
        <w:pStyle w:val="5"/>
        <w:keepNext w:val="0"/>
        <w:keepLines w:val="0"/>
        <w:spacing w:line="276" w:lineRule="auto"/>
        <w:rPr>
          <w:rFonts w:hint="eastAsia" w:ascii="宋体" w:hAnsi="宋体"/>
          <w:color w:val="auto"/>
          <w:highlight w:val="none"/>
        </w:rPr>
      </w:pPr>
      <w:bookmarkStart w:id="20" w:name="_Toc184635077"/>
      <w:r>
        <w:rPr>
          <w:rFonts w:hint="eastAsia" w:ascii="宋体" w:hAnsi="宋体"/>
          <w:color w:val="auto"/>
          <w:highlight w:val="none"/>
        </w:rPr>
        <w:t>9</w:t>
      </w:r>
      <w:bookmarkEnd w:id="20"/>
      <w:r>
        <w:rPr>
          <w:rFonts w:hint="eastAsia" w:ascii="宋体" w:hAnsi="宋体"/>
          <w:color w:val="auto"/>
          <w:highlight w:val="none"/>
        </w:rPr>
        <w:t>.定标</w:t>
      </w:r>
    </w:p>
    <w:p>
      <w:pPr>
        <w:pStyle w:val="6"/>
        <w:spacing w:line="276" w:lineRule="auto"/>
        <w:rPr>
          <w:rFonts w:hint="eastAsia" w:ascii="宋体" w:hAnsi="宋体" w:eastAsia="宋体" w:cs="Times New Roman"/>
          <w:color w:val="auto"/>
          <w:szCs w:val="24"/>
          <w:highlight w:val="none"/>
          <w:lang w:eastAsia="zh-CN"/>
        </w:rPr>
      </w:pPr>
      <w:r>
        <w:rPr>
          <w:rFonts w:hint="eastAsia" w:ascii="宋体" w:hAnsi="宋体" w:eastAsia="宋体" w:cs="Times New Roman"/>
          <w:color w:val="auto"/>
          <w:highlight w:val="none"/>
          <w:lang w:val="en-US" w:eastAsia="zh-CN"/>
        </w:rPr>
        <w:t>9</w:t>
      </w:r>
      <w:r>
        <w:rPr>
          <w:rFonts w:hint="default" w:ascii="宋体" w:hAnsi="宋体" w:eastAsia="宋体" w:cs="Times New Roman"/>
          <w:color w:val="auto"/>
          <w:highlight w:val="none"/>
        </w:rPr>
        <w:t>.1</w:t>
      </w:r>
      <w:r>
        <w:rPr>
          <w:rFonts w:hint="eastAsia" w:ascii="宋体" w:hAnsi="宋体" w:eastAsia="宋体" w:cs="Times New Roman"/>
          <w:color w:val="auto"/>
          <w:highlight w:val="none"/>
          <w:lang w:val="en-US" w:eastAsia="zh-CN"/>
        </w:rPr>
        <w:t xml:space="preserve"> 招标人确定</w:t>
      </w:r>
      <w:r>
        <w:rPr>
          <w:rFonts w:hint="default" w:ascii="宋体" w:hAnsi="宋体" w:eastAsia="宋体" w:cs="Times New Roman"/>
          <w:color w:val="auto"/>
          <w:szCs w:val="24"/>
          <w:highlight w:val="none"/>
        </w:rPr>
        <w:t>中标候选人</w:t>
      </w:r>
      <w:r>
        <w:rPr>
          <w:rFonts w:hint="eastAsia" w:ascii="宋体" w:hAnsi="宋体" w:eastAsia="宋体" w:cs="Times New Roman"/>
          <w:color w:val="auto"/>
          <w:szCs w:val="24"/>
          <w:highlight w:val="none"/>
          <w:lang w:eastAsia="zh-CN"/>
        </w:rPr>
        <w:t>名单（非</w:t>
      </w:r>
      <w:r>
        <w:rPr>
          <w:rFonts w:hint="eastAsia" w:ascii="宋体" w:hAnsi="宋体"/>
          <w:bCs/>
          <w:color w:val="auto"/>
          <w:szCs w:val="28"/>
          <w:highlight w:val="none"/>
          <w:lang w:eastAsia="zh-CN"/>
        </w:rPr>
        <w:t>评定分离项目</w:t>
      </w:r>
      <w:r>
        <w:rPr>
          <w:rFonts w:hint="eastAsia" w:ascii="宋体" w:hAnsi="宋体" w:eastAsia="宋体" w:cs="Times New Roman"/>
          <w:color w:val="auto"/>
          <w:szCs w:val="24"/>
          <w:highlight w:val="none"/>
          <w:lang w:eastAsia="zh-CN"/>
        </w:rPr>
        <w:t>）</w:t>
      </w:r>
    </w:p>
    <w:p>
      <w:pPr>
        <w:tabs>
          <w:tab w:val="left" w:pos="420"/>
        </w:tabs>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招标人</w:t>
      </w:r>
      <w:r>
        <w:rPr>
          <w:rFonts w:hint="eastAsia" w:ascii="宋体" w:hAnsi="宋体" w:eastAsia="宋体" w:cs="Times New Roman"/>
          <w:color w:val="auto"/>
          <w:szCs w:val="21"/>
          <w:highlight w:val="none"/>
          <w:lang w:val="en-US" w:eastAsia="zh-CN"/>
        </w:rPr>
        <w:t>根据</w:t>
      </w:r>
      <w:r>
        <w:rPr>
          <w:rFonts w:hint="eastAsia" w:ascii="宋体" w:hAnsi="宋体"/>
          <w:color w:val="auto"/>
          <w:szCs w:val="21"/>
          <w:highlight w:val="none"/>
          <w:lang w:val="en-US" w:eastAsia="zh-CN"/>
        </w:rPr>
        <w:t>评标委员会</w:t>
      </w:r>
      <w:r>
        <w:rPr>
          <w:rFonts w:hint="eastAsia" w:ascii="宋体" w:hAnsi="宋体" w:eastAsia="宋体" w:cs="Times New Roman"/>
          <w:color w:val="auto"/>
          <w:szCs w:val="21"/>
          <w:highlight w:val="none"/>
          <w:lang w:val="en-US" w:eastAsia="zh-CN"/>
        </w:rPr>
        <w:t>推荐的</w:t>
      </w:r>
      <w:r>
        <w:rPr>
          <w:rFonts w:hint="eastAsia" w:ascii="宋体" w:hAnsi="宋体"/>
          <w:color w:val="auto"/>
          <w:szCs w:val="21"/>
          <w:highlight w:val="none"/>
          <w:lang w:val="en-US" w:eastAsia="zh-CN"/>
        </w:rPr>
        <w:t>中标候选人</w:t>
      </w:r>
      <w:r>
        <w:rPr>
          <w:rFonts w:hint="eastAsia" w:ascii="宋体" w:hAnsi="宋体" w:eastAsia="宋体" w:cs="Times New Roman"/>
          <w:color w:val="auto"/>
          <w:szCs w:val="21"/>
          <w:highlight w:val="none"/>
          <w:lang w:val="en-US" w:eastAsia="zh-CN"/>
        </w:rPr>
        <w:t>确定中标候选人</w:t>
      </w:r>
      <w:r>
        <w:rPr>
          <w:rFonts w:hint="eastAsia" w:ascii="宋体" w:hAnsi="宋体"/>
          <w:color w:val="auto"/>
          <w:szCs w:val="21"/>
          <w:highlight w:val="none"/>
          <w:lang w:val="en-US" w:eastAsia="zh-CN"/>
        </w:rPr>
        <w:t>名单。</w:t>
      </w:r>
    </w:p>
    <w:p>
      <w:pPr>
        <w:pStyle w:val="6"/>
        <w:keepNext w:val="0"/>
        <w:keepLines w:val="0"/>
        <w:spacing w:line="276" w:lineRule="auto"/>
        <w:rPr>
          <w:rFonts w:hint="eastAsia" w:ascii="宋体" w:hAnsi="宋体" w:eastAsia="宋体"/>
          <w:color w:val="auto"/>
          <w:highlight w:val="none"/>
          <w:lang w:eastAsia="zh-CN"/>
        </w:rPr>
      </w:pPr>
      <w:r>
        <w:rPr>
          <w:rFonts w:hint="eastAsia" w:ascii="宋体" w:hAnsi="宋体"/>
          <w:color w:val="auto"/>
          <w:highlight w:val="none"/>
        </w:rPr>
        <w:t>9</w:t>
      </w:r>
      <w:r>
        <w:rPr>
          <w:rFonts w:ascii="宋体" w:hAnsi="宋体"/>
          <w:color w:val="auto"/>
          <w:highlight w:val="none"/>
        </w:rPr>
        <w:t>.</w:t>
      </w:r>
      <w:r>
        <w:rPr>
          <w:rFonts w:hint="eastAsia" w:ascii="宋体" w:hAnsi="宋体"/>
          <w:color w:val="auto"/>
          <w:highlight w:val="none"/>
          <w:lang w:val="en-US" w:eastAsia="zh-CN"/>
        </w:rPr>
        <w:t>2</w:t>
      </w:r>
      <w:r>
        <w:rPr>
          <w:rFonts w:ascii="宋体" w:hAnsi="宋体"/>
          <w:color w:val="auto"/>
          <w:highlight w:val="none"/>
        </w:rPr>
        <w:t xml:space="preserve"> </w:t>
      </w:r>
      <w:r>
        <w:rPr>
          <w:rFonts w:hint="eastAsia" w:ascii="宋体" w:hAnsi="宋体"/>
          <w:color w:val="auto"/>
          <w:highlight w:val="none"/>
          <w:lang w:eastAsia="zh-CN"/>
        </w:rPr>
        <w:t>定</w:t>
      </w:r>
      <w:r>
        <w:rPr>
          <w:rFonts w:hint="default" w:ascii="宋体" w:hAnsi="宋体" w:eastAsia="宋体" w:cs="Times New Roman"/>
          <w:color w:val="auto"/>
          <w:szCs w:val="24"/>
          <w:highlight w:val="none"/>
        </w:rPr>
        <w:t>标委员会推荐的</w:t>
      </w:r>
      <w:r>
        <w:rPr>
          <w:rFonts w:hint="eastAsia" w:ascii="宋体" w:hAnsi="宋体" w:eastAsia="宋体" w:cs="Times New Roman"/>
          <w:color w:val="auto"/>
          <w:szCs w:val="24"/>
          <w:highlight w:val="none"/>
          <w:lang w:eastAsia="zh-CN"/>
        </w:rPr>
        <w:t>中</w:t>
      </w:r>
      <w:r>
        <w:rPr>
          <w:rFonts w:hint="default" w:ascii="宋体" w:hAnsi="宋体" w:eastAsia="宋体" w:cs="Times New Roman"/>
          <w:color w:val="auto"/>
          <w:szCs w:val="24"/>
          <w:highlight w:val="none"/>
        </w:rPr>
        <w:t>标候选人</w:t>
      </w:r>
      <w:r>
        <w:rPr>
          <w:rFonts w:hint="eastAsia" w:ascii="宋体" w:hAnsi="宋体" w:eastAsia="宋体" w:cs="Times New Roman"/>
          <w:color w:val="auto"/>
          <w:szCs w:val="24"/>
          <w:highlight w:val="none"/>
          <w:lang w:eastAsia="zh-CN"/>
        </w:rPr>
        <w:t>（</w:t>
      </w:r>
      <w:r>
        <w:rPr>
          <w:rFonts w:hint="eastAsia" w:ascii="宋体" w:hAnsi="宋体"/>
          <w:bCs/>
          <w:color w:val="auto"/>
          <w:szCs w:val="28"/>
          <w:highlight w:val="none"/>
          <w:lang w:eastAsia="zh-CN"/>
        </w:rPr>
        <w:t>评定分离项目</w:t>
      </w:r>
      <w:r>
        <w:rPr>
          <w:rFonts w:hint="eastAsia" w:ascii="宋体" w:hAnsi="宋体" w:eastAsia="宋体" w:cs="Times New Roman"/>
          <w:color w:val="auto"/>
          <w:szCs w:val="24"/>
          <w:highlight w:val="none"/>
          <w:lang w:eastAsia="zh-CN"/>
        </w:rPr>
        <w:t>）</w:t>
      </w:r>
    </w:p>
    <w:p>
      <w:pPr>
        <w:tabs>
          <w:tab w:val="left" w:pos="420"/>
        </w:tabs>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9.2.1 定标前考察</w:t>
      </w:r>
    </w:p>
    <w:p>
      <w:pPr>
        <w:tabs>
          <w:tab w:val="left" w:pos="420"/>
        </w:tabs>
        <w:ind w:firstLine="420" w:firstLineChars="200"/>
        <w:rPr>
          <w:highlight w:val="none"/>
        </w:rPr>
      </w:pPr>
      <w:r>
        <w:rPr>
          <w:rFonts w:hint="eastAsia" w:ascii="宋体" w:hAnsi="宋体"/>
          <w:color w:val="auto"/>
          <w:szCs w:val="21"/>
          <w:highlight w:val="none"/>
          <w:lang w:eastAsia="zh-CN"/>
        </w:rPr>
        <w:t>在定标前，</w:t>
      </w:r>
      <w:r>
        <w:rPr>
          <w:rFonts w:hint="eastAsia" w:ascii="宋体" w:hAnsi="宋体"/>
          <w:color w:val="auto"/>
          <w:szCs w:val="21"/>
          <w:highlight w:val="none"/>
        </w:rPr>
        <w:t>招标人可以对定标候选人及拟派项目负责人进行考察，</w:t>
      </w:r>
      <w:r>
        <w:rPr>
          <w:rFonts w:hint="eastAsia" w:ascii="宋体" w:hAnsi="宋体"/>
          <w:color w:val="auto"/>
          <w:szCs w:val="21"/>
          <w:highlight w:val="none"/>
          <w:lang w:eastAsia="zh-CN"/>
        </w:rPr>
        <w:t>并组织考察工作小组，</w:t>
      </w:r>
      <w:r>
        <w:rPr>
          <w:rFonts w:hint="eastAsia" w:ascii="宋体" w:hAnsi="宋体"/>
          <w:color w:val="auto"/>
          <w:szCs w:val="21"/>
          <w:highlight w:val="none"/>
        </w:rPr>
        <w:t>考察过程应由招标监督小组负责监督。招标人应</w:t>
      </w:r>
      <w:r>
        <w:rPr>
          <w:rFonts w:hint="eastAsia" w:ascii="宋体" w:hAnsi="宋体"/>
          <w:color w:val="auto"/>
          <w:szCs w:val="21"/>
          <w:highlight w:val="none"/>
          <w:lang w:eastAsia="zh-CN"/>
        </w:rPr>
        <w:t>根据招标文件要求</w:t>
      </w:r>
      <w:r>
        <w:rPr>
          <w:rFonts w:hint="eastAsia" w:ascii="宋体" w:hAnsi="宋体"/>
          <w:color w:val="auto"/>
          <w:szCs w:val="21"/>
          <w:highlight w:val="none"/>
        </w:rPr>
        <w:t>如实记录</w:t>
      </w:r>
      <w:r>
        <w:rPr>
          <w:rFonts w:hint="eastAsia" w:ascii="宋体" w:hAnsi="宋体"/>
          <w:color w:val="auto"/>
          <w:szCs w:val="21"/>
          <w:highlight w:val="none"/>
          <w:lang w:eastAsia="zh-CN"/>
        </w:rPr>
        <w:t>考察情况并出具考察报告，在定标时</w:t>
      </w:r>
      <w:r>
        <w:rPr>
          <w:rFonts w:hint="eastAsia" w:ascii="宋体" w:hAnsi="宋体"/>
          <w:color w:val="auto"/>
          <w:szCs w:val="21"/>
          <w:highlight w:val="none"/>
        </w:rPr>
        <w:t>提交定标委员会参考。</w:t>
      </w:r>
    </w:p>
    <w:p>
      <w:pPr>
        <w:spacing w:line="240" w:lineRule="auto"/>
        <w:ind w:firstLine="420" w:firstLineChars="200"/>
        <w:rPr>
          <w:rFonts w:ascii="宋体" w:hAnsi="宋体"/>
          <w:color w:val="auto"/>
          <w:highlight w:val="none"/>
        </w:rPr>
      </w:pPr>
      <w:r>
        <w:rPr>
          <w:rFonts w:hint="eastAsia" w:ascii="宋体" w:hAnsi="宋体"/>
          <w:color w:val="auto"/>
          <w:highlight w:val="none"/>
        </w:rPr>
        <w:t>9</w:t>
      </w:r>
      <w:r>
        <w:rPr>
          <w:rFonts w:ascii="宋体" w:hAnsi="宋体"/>
          <w:color w:val="auto"/>
          <w:highlight w:val="none"/>
        </w:rPr>
        <w:t>.</w:t>
      </w: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lang w:val="en-US" w:eastAsia="zh-CN"/>
        </w:rPr>
        <w:t>2</w:t>
      </w:r>
      <w:r>
        <w:rPr>
          <w:rFonts w:ascii="宋体" w:hAnsi="宋体"/>
          <w:color w:val="auto"/>
          <w:highlight w:val="none"/>
        </w:rPr>
        <w:t xml:space="preserve"> </w:t>
      </w:r>
      <w:r>
        <w:rPr>
          <w:rFonts w:hint="eastAsia" w:ascii="宋体" w:hAnsi="宋体"/>
          <w:color w:val="auto"/>
          <w:highlight w:val="none"/>
        </w:rPr>
        <w:t>招标</w:t>
      </w:r>
      <w:r>
        <w:rPr>
          <w:rFonts w:ascii="宋体" w:hAnsi="宋体"/>
          <w:color w:val="auto"/>
          <w:highlight w:val="none"/>
        </w:rPr>
        <w:t>人</w:t>
      </w:r>
      <w:r>
        <w:rPr>
          <w:rFonts w:hint="eastAsia" w:ascii="宋体" w:hAnsi="宋体"/>
          <w:color w:val="auto"/>
          <w:highlight w:val="none"/>
        </w:rPr>
        <w:t>按要求在</w:t>
      </w:r>
      <w:r>
        <w:rPr>
          <w:rFonts w:ascii="宋体" w:hAnsi="宋体"/>
          <w:color w:val="auto"/>
          <w:highlight w:val="none"/>
        </w:rPr>
        <w:t>招标文件</w:t>
      </w:r>
      <w:r>
        <w:rPr>
          <w:rFonts w:hint="eastAsia" w:ascii="宋体" w:hAnsi="宋体"/>
          <w:color w:val="auto"/>
          <w:highlight w:val="none"/>
        </w:rPr>
        <w:t>前附表中</w:t>
      </w:r>
      <w:r>
        <w:rPr>
          <w:rFonts w:ascii="宋体" w:hAnsi="宋体"/>
          <w:color w:val="auto"/>
          <w:highlight w:val="none"/>
        </w:rPr>
        <w:t>确定</w:t>
      </w:r>
      <w:r>
        <w:rPr>
          <w:rFonts w:hint="eastAsia" w:ascii="宋体" w:hAnsi="宋体"/>
          <w:color w:val="auto"/>
          <w:highlight w:val="none"/>
        </w:rPr>
        <w:t>本</w:t>
      </w:r>
      <w:r>
        <w:rPr>
          <w:rFonts w:ascii="宋体" w:hAnsi="宋体"/>
          <w:color w:val="auto"/>
          <w:highlight w:val="none"/>
        </w:rPr>
        <w:t>项目</w:t>
      </w:r>
      <w:r>
        <w:rPr>
          <w:rFonts w:hint="eastAsia" w:ascii="宋体" w:hAnsi="宋体"/>
          <w:color w:val="auto"/>
          <w:highlight w:val="none"/>
        </w:rPr>
        <w:t>使用</w:t>
      </w:r>
      <w:r>
        <w:rPr>
          <w:rFonts w:ascii="宋体" w:hAnsi="宋体"/>
          <w:color w:val="auto"/>
          <w:highlight w:val="none"/>
        </w:rPr>
        <w:t>的定标</w:t>
      </w:r>
      <w:r>
        <w:rPr>
          <w:rFonts w:hint="eastAsia" w:ascii="宋体" w:hAnsi="宋体"/>
          <w:color w:val="auto"/>
          <w:highlight w:val="none"/>
        </w:rPr>
        <w:t>规则。</w:t>
      </w:r>
    </w:p>
    <w:p>
      <w:pPr>
        <w:spacing w:line="240" w:lineRule="auto"/>
        <w:ind w:firstLine="420" w:firstLineChars="200"/>
        <w:rPr>
          <w:rFonts w:hint="default" w:ascii="宋体" w:hAnsi="宋体" w:eastAsia="宋体"/>
          <w:bCs/>
          <w:color w:val="auto"/>
          <w:highlight w:val="none"/>
          <w:lang w:val="en-US" w:eastAsia="zh-CN"/>
        </w:rPr>
      </w:pPr>
      <w:r>
        <w:rPr>
          <w:rFonts w:hint="eastAsia" w:ascii="宋体" w:hAnsi="宋体"/>
          <w:color w:val="auto"/>
          <w:highlight w:val="none"/>
        </w:rPr>
        <w:t>9</w:t>
      </w:r>
      <w:r>
        <w:rPr>
          <w:rFonts w:ascii="宋体" w:hAnsi="宋体"/>
          <w:color w:val="auto"/>
          <w:highlight w:val="none"/>
        </w:rPr>
        <w:t>.</w:t>
      </w: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 xml:space="preserve"> </w:t>
      </w:r>
      <w:r>
        <w:rPr>
          <w:rFonts w:hint="eastAsia" w:ascii="宋体" w:hAnsi="宋体"/>
          <w:bCs/>
          <w:color w:val="auto"/>
          <w:highlight w:val="none"/>
        </w:rPr>
        <w:t>定标</w:t>
      </w:r>
      <w:r>
        <w:rPr>
          <w:rFonts w:ascii="宋体" w:hAnsi="宋体"/>
          <w:bCs/>
          <w:color w:val="auto"/>
          <w:highlight w:val="none"/>
        </w:rPr>
        <w:t>委员会</w:t>
      </w:r>
      <w:r>
        <w:rPr>
          <w:rFonts w:hint="eastAsia" w:ascii="宋体" w:hAnsi="宋体"/>
          <w:bCs/>
          <w:color w:val="auto"/>
          <w:highlight w:val="none"/>
          <w:lang w:val="en-US" w:eastAsia="zh-CN"/>
        </w:rPr>
        <w:t>的组建</w:t>
      </w:r>
    </w:p>
    <w:p>
      <w:pPr>
        <w:spacing w:line="276" w:lineRule="auto"/>
        <w:ind w:left="420" w:leftChars="200" w:firstLine="0"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招标人通过组建定标委员会开展定标工作，定标委员会按定标规则</w:t>
      </w:r>
      <w:r>
        <w:rPr>
          <w:rFonts w:hint="eastAsia" w:ascii="宋体" w:hAnsi="宋体" w:eastAsia="宋体" w:cs="Times New Roman"/>
          <w:color w:val="auto"/>
          <w:highlight w:val="none"/>
          <w:lang w:val="en-US" w:eastAsia="zh-CN"/>
        </w:rPr>
        <w:t>规定</w:t>
      </w:r>
      <w:r>
        <w:rPr>
          <w:rFonts w:hint="eastAsia" w:ascii="宋体" w:hAnsi="宋体" w:eastAsia="宋体" w:cs="Times New Roman"/>
          <w:color w:val="auto"/>
          <w:highlight w:val="none"/>
        </w:rPr>
        <w:t>的程序进行定标，确定中标候选人名单。</w:t>
      </w:r>
    </w:p>
    <w:p>
      <w:pPr>
        <w:spacing w:line="276" w:lineRule="auto"/>
        <w:ind w:left="399" w:leftChars="190" w:firstLine="0" w:firstLineChars="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）定标委员会实行招标人负责制，由招标人的法定代表人或者主要负责人负责组建</w:t>
      </w:r>
      <w:r>
        <w:rPr>
          <w:rFonts w:hint="eastAsia" w:ascii="宋体" w:hAnsi="宋体"/>
          <w:color w:val="auto"/>
          <w:highlight w:val="none"/>
          <w:lang w:eastAsia="zh-CN"/>
        </w:rPr>
        <w:t>并担任组长</w:t>
      </w:r>
      <w:r>
        <w:rPr>
          <w:rFonts w:hint="eastAsia" w:ascii="宋体" w:hAnsi="宋体"/>
          <w:color w:val="auto"/>
          <w:highlight w:val="none"/>
        </w:rPr>
        <w:t>。</w:t>
      </w:r>
    </w:p>
    <w:p>
      <w:pPr>
        <w:spacing w:line="276" w:lineRule="auto"/>
        <w:ind w:left="420" w:left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w:t>
      </w:r>
      <w:r>
        <w:rPr>
          <w:rFonts w:hint="eastAsia" w:ascii="仿宋_GB2312"/>
          <w:color w:val="auto"/>
          <w:szCs w:val="32"/>
          <w:highlight w:val="none"/>
        </w:rPr>
        <w:t>定标委员会组成方式和人员由招标人</w:t>
      </w:r>
      <w:r>
        <w:rPr>
          <w:rFonts w:hint="eastAsia" w:ascii="仿宋_GB2312"/>
          <w:color w:val="auto"/>
          <w:szCs w:val="32"/>
          <w:highlight w:val="none"/>
          <w:lang w:val="en-US" w:eastAsia="zh-CN"/>
        </w:rPr>
        <w:t>按照有关规定执行</w:t>
      </w:r>
      <w:r>
        <w:rPr>
          <w:rFonts w:hint="eastAsia" w:ascii="仿宋_GB2312"/>
          <w:color w:val="auto"/>
          <w:szCs w:val="32"/>
          <w:highlight w:val="none"/>
        </w:rPr>
        <w:t>，成员数量为</w:t>
      </w:r>
      <w:r>
        <w:rPr>
          <w:rFonts w:hint="eastAsia" w:ascii="仿宋_GB2312"/>
          <w:color w:val="auto"/>
          <w:szCs w:val="32"/>
          <w:highlight w:val="none"/>
          <w:lang w:val="en-US" w:eastAsia="zh-CN"/>
        </w:rPr>
        <w:t>7</w:t>
      </w:r>
      <w:r>
        <w:rPr>
          <w:rFonts w:hint="eastAsia" w:ascii="仿宋_GB2312"/>
          <w:color w:val="auto"/>
          <w:szCs w:val="32"/>
          <w:highlight w:val="none"/>
        </w:rPr>
        <w:t>人</w:t>
      </w:r>
      <w:r>
        <w:rPr>
          <w:rFonts w:hint="eastAsia" w:ascii="仿宋_GB2312"/>
          <w:color w:val="auto"/>
          <w:szCs w:val="32"/>
          <w:highlight w:val="none"/>
          <w:lang w:eastAsia="zh-CN"/>
        </w:rPr>
        <w:t>或</w:t>
      </w:r>
      <w:r>
        <w:rPr>
          <w:rFonts w:hint="eastAsia" w:ascii="仿宋_GB2312"/>
          <w:color w:val="auto"/>
          <w:szCs w:val="32"/>
          <w:highlight w:val="none"/>
        </w:rPr>
        <w:t>以上单数</w:t>
      </w:r>
      <w:r>
        <w:rPr>
          <w:rFonts w:hint="eastAsia" w:ascii="仿宋_GB2312"/>
          <w:color w:val="auto"/>
          <w:szCs w:val="32"/>
          <w:highlight w:val="none"/>
          <w:lang w:eastAsia="zh-CN"/>
        </w:rPr>
        <w:t>，</w:t>
      </w:r>
      <w:r>
        <w:rPr>
          <w:rFonts w:hint="eastAsia" w:ascii="仿宋_GB2312"/>
          <w:color w:val="auto"/>
          <w:szCs w:val="32"/>
          <w:highlight w:val="none"/>
        </w:rPr>
        <w:t>定标委员会的组建过程应当由招标监督小组见证并由招标人存档备查</w:t>
      </w:r>
      <w:r>
        <w:rPr>
          <w:rFonts w:hint="eastAsia" w:ascii="宋体" w:hAnsi="宋体"/>
          <w:color w:val="auto"/>
          <w:highlight w:val="none"/>
        </w:rPr>
        <w:t>。</w:t>
      </w:r>
    </w:p>
    <w:p>
      <w:pPr>
        <w:spacing w:line="276" w:lineRule="auto"/>
        <w:ind w:firstLine="420" w:firstLineChars="200"/>
        <w:rPr>
          <w:rFonts w:hint="eastAsia" w:ascii="宋体" w:hAnsi="宋体"/>
          <w:bCs/>
          <w:color w:val="auto"/>
          <w:highlight w:val="none"/>
        </w:rPr>
      </w:pPr>
      <w:r>
        <w:rPr>
          <w:rFonts w:hint="eastAsia" w:ascii="宋体" w:hAnsi="宋体"/>
          <w:bCs/>
          <w:color w:val="auto"/>
          <w:highlight w:val="none"/>
        </w:rPr>
        <w:t>9.</w:t>
      </w:r>
      <w:r>
        <w:rPr>
          <w:rFonts w:hint="eastAsia" w:ascii="宋体" w:hAnsi="宋体"/>
          <w:bCs/>
          <w:color w:val="auto"/>
          <w:highlight w:val="none"/>
          <w:lang w:val="en-US" w:eastAsia="zh-CN"/>
        </w:rPr>
        <w:t>2</w:t>
      </w:r>
      <w:r>
        <w:rPr>
          <w:rFonts w:ascii="宋体" w:hAnsi="宋体"/>
          <w:bCs/>
          <w:color w:val="auto"/>
          <w:highlight w:val="none"/>
        </w:rPr>
        <w:t>.</w:t>
      </w:r>
      <w:r>
        <w:rPr>
          <w:rFonts w:hint="eastAsia" w:ascii="宋体" w:hAnsi="宋体"/>
          <w:bCs/>
          <w:color w:val="auto"/>
          <w:highlight w:val="none"/>
          <w:lang w:val="en-US" w:eastAsia="zh-CN"/>
        </w:rPr>
        <w:t>4</w:t>
      </w:r>
      <w:r>
        <w:rPr>
          <w:rFonts w:hint="eastAsia" w:ascii="宋体" w:hAnsi="宋体"/>
          <w:bCs/>
          <w:color w:val="auto"/>
          <w:highlight w:val="none"/>
        </w:rPr>
        <w:t xml:space="preserve"> 定标程序</w:t>
      </w:r>
    </w:p>
    <w:p>
      <w:pPr>
        <w:spacing w:line="276" w:lineRule="auto"/>
        <w:ind w:left="420" w:leftChars="200"/>
        <w:rPr>
          <w:rFonts w:hint="eastAsia" w:ascii="宋体" w:hAnsi="宋体"/>
          <w:color w:val="auto"/>
          <w:highlight w:val="none"/>
        </w:rPr>
      </w:pPr>
      <w:r>
        <w:rPr>
          <w:rFonts w:hint="eastAsia" w:ascii="宋体" w:hAnsi="宋体"/>
          <w:color w:val="auto"/>
          <w:highlight w:val="none"/>
        </w:rPr>
        <w:t>（1）招标人将整理好的</w:t>
      </w:r>
      <w:r>
        <w:rPr>
          <w:rFonts w:hint="eastAsia" w:ascii="宋体" w:hAnsi="宋体"/>
          <w:color w:val="auto"/>
          <w:szCs w:val="21"/>
          <w:highlight w:val="none"/>
        </w:rPr>
        <w:t>定标候选</w:t>
      </w:r>
      <w:r>
        <w:rPr>
          <w:rFonts w:ascii="宋体" w:hAnsi="宋体"/>
          <w:color w:val="auto"/>
          <w:szCs w:val="21"/>
          <w:highlight w:val="none"/>
        </w:rPr>
        <w:t>人</w:t>
      </w:r>
      <w:r>
        <w:rPr>
          <w:rFonts w:hint="eastAsia" w:ascii="宋体" w:hAnsi="宋体"/>
          <w:color w:val="auto"/>
          <w:szCs w:val="21"/>
          <w:highlight w:val="none"/>
        </w:rPr>
        <w:t>情况</w:t>
      </w:r>
      <w:r>
        <w:rPr>
          <w:rFonts w:ascii="宋体" w:hAnsi="宋体"/>
          <w:color w:val="auto"/>
          <w:szCs w:val="21"/>
          <w:highlight w:val="none"/>
        </w:rPr>
        <w:t>汇总表</w:t>
      </w:r>
      <w:r>
        <w:rPr>
          <w:rFonts w:hint="eastAsia" w:ascii="宋体" w:hAnsi="宋体"/>
          <w:color w:val="auto"/>
          <w:szCs w:val="21"/>
          <w:highlight w:val="none"/>
        </w:rPr>
        <w:t>及投标文件</w:t>
      </w:r>
      <w:r>
        <w:rPr>
          <w:rFonts w:ascii="宋体" w:hAnsi="宋体"/>
          <w:color w:val="auto"/>
          <w:highlight w:val="none"/>
        </w:rPr>
        <w:t>、</w:t>
      </w:r>
      <w:r>
        <w:rPr>
          <w:rFonts w:hint="eastAsia" w:ascii="宋体" w:hAnsi="宋体"/>
          <w:color w:val="auto"/>
          <w:highlight w:val="none"/>
        </w:rPr>
        <w:t>考察报告（如有）一并提交定标委员会。</w:t>
      </w:r>
    </w:p>
    <w:p>
      <w:pPr>
        <w:spacing w:line="276" w:lineRule="auto"/>
        <w:ind w:left="420" w:leftChars="200"/>
        <w:rPr>
          <w:rFonts w:hint="eastAsia" w:ascii="宋体" w:hAnsi="宋体"/>
          <w:color w:val="auto"/>
          <w:szCs w:val="21"/>
          <w:highlight w:val="none"/>
        </w:rPr>
      </w:pPr>
      <w:r>
        <w:rPr>
          <w:rFonts w:hint="eastAsia" w:ascii="宋体" w:hAnsi="宋体"/>
          <w:color w:val="auto"/>
          <w:highlight w:val="none"/>
        </w:rPr>
        <w:t>（2）定标委员会按</w:t>
      </w:r>
      <w:r>
        <w:rPr>
          <w:rFonts w:ascii="宋体" w:hAnsi="宋体"/>
          <w:color w:val="auto"/>
          <w:highlight w:val="none"/>
        </w:rPr>
        <w:t>照“</w:t>
      </w:r>
      <w:r>
        <w:rPr>
          <w:rFonts w:hint="eastAsia" w:ascii="宋体" w:hAnsi="宋体"/>
          <w:color w:val="auto"/>
          <w:highlight w:val="none"/>
        </w:rPr>
        <w:t>定</w:t>
      </w:r>
      <w:r>
        <w:rPr>
          <w:rFonts w:ascii="宋体" w:hAnsi="宋体"/>
          <w:color w:val="auto"/>
          <w:highlight w:val="none"/>
        </w:rPr>
        <w:t>标方法”</w:t>
      </w:r>
      <w:r>
        <w:rPr>
          <w:rFonts w:hint="eastAsia" w:ascii="宋体" w:hAnsi="宋体"/>
          <w:color w:val="auto"/>
          <w:highlight w:val="none"/>
        </w:rPr>
        <w:t>对</w:t>
      </w:r>
      <w:r>
        <w:rPr>
          <w:rFonts w:ascii="宋体" w:hAnsi="宋体"/>
          <w:color w:val="auto"/>
          <w:highlight w:val="none"/>
        </w:rPr>
        <w:t>应的规则</w:t>
      </w:r>
      <w:r>
        <w:rPr>
          <w:rFonts w:hint="eastAsia" w:ascii="宋体" w:hAnsi="宋体"/>
          <w:color w:val="auto"/>
          <w:highlight w:val="none"/>
        </w:rPr>
        <w:t>确定中标候选人名单和中标候选人优先顺序，并出具定标报告</w:t>
      </w:r>
      <w:r>
        <w:rPr>
          <w:rFonts w:hint="eastAsia" w:ascii="宋体" w:hAnsi="宋体"/>
          <w:color w:val="auto"/>
          <w:szCs w:val="21"/>
          <w:highlight w:val="none"/>
        </w:rPr>
        <w:t>。</w:t>
      </w:r>
    </w:p>
    <w:p>
      <w:pPr>
        <w:ind w:firstLine="420" w:firstLineChars="200"/>
        <w:rPr>
          <w:rFonts w:hint="eastAsia" w:ascii="宋体" w:hAnsi="宋体" w:eastAsia="宋体" w:cs="Times New Roman"/>
          <w:bCs/>
          <w:color w:val="auto"/>
          <w:highlight w:val="none"/>
        </w:rPr>
      </w:pPr>
      <w:r>
        <w:rPr>
          <w:rFonts w:hint="eastAsia" w:ascii="宋体" w:hAnsi="宋体" w:eastAsia="宋体" w:cs="Times New Roman"/>
          <w:bCs/>
          <w:color w:val="auto"/>
          <w:highlight w:val="none"/>
          <w:lang w:val="en-US" w:eastAsia="zh-CN"/>
        </w:rPr>
        <w:t>9.2.5</w:t>
      </w:r>
      <w:r>
        <w:rPr>
          <w:rFonts w:hint="eastAsia" w:ascii="宋体" w:hAnsi="宋体" w:eastAsia="宋体" w:cs="Times New Roman"/>
          <w:bCs/>
          <w:color w:val="auto"/>
          <w:highlight w:val="none"/>
        </w:rPr>
        <w:t xml:space="preserve"> 注意事项</w:t>
      </w:r>
    </w:p>
    <w:p>
      <w:pPr>
        <w:spacing w:line="276" w:lineRule="auto"/>
        <w:ind w:left="420" w:leftChars="200"/>
        <w:rPr>
          <w:rFonts w:ascii="宋体" w:hAnsi="宋体"/>
          <w:color w:val="auto"/>
          <w:highlight w:val="none"/>
        </w:rPr>
      </w:pPr>
      <w:r>
        <w:rPr>
          <w:rFonts w:hint="eastAsia" w:ascii="宋体" w:hAnsi="宋体"/>
          <w:color w:val="auto"/>
          <w:highlight w:val="none"/>
        </w:rPr>
        <w:t>（1）原则上定标工作应在评标结束</w:t>
      </w:r>
      <w:r>
        <w:rPr>
          <w:rFonts w:hint="eastAsia" w:ascii="宋体" w:hAnsi="宋体"/>
          <w:color w:val="auto"/>
          <w:highlight w:val="none"/>
          <w:lang w:eastAsia="zh-CN"/>
        </w:rPr>
        <w:t>之日起</w:t>
      </w:r>
      <w:r>
        <w:rPr>
          <w:rFonts w:ascii="宋体" w:hAnsi="宋体"/>
          <w:color w:val="auto"/>
          <w:highlight w:val="none"/>
        </w:rPr>
        <w:t>2</w:t>
      </w:r>
      <w:r>
        <w:rPr>
          <w:rFonts w:hint="eastAsia" w:ascii="宋体" w:hAnsi="宋体"/>
          <w:color w:val="auto"/>
          <w:highlight w:val="none"/>
        </w:rPr>
        <w:t>个工作日内进</w:t>
      </w:r>
      <w:r>
        <w:rPr>
          <w:rFonts w:hint="eastAsia" w:ascii="宋体" w:hAnsi="宋体"/>
          <w:color w:val="auto"/>
          <w:highlight w:val="none"/>
          <w:lang w:eastAsia="zh-CN"/>
        </w:rPr>
        <w:t>入公共资源交易机构召开</w:t>
      </w:r>
      <w:r>
        <w:rPr>
          <w:rFonts w:hint="eastAsia" w:ascii="宋体" w:hAnsi="宋体"/>
          <w:color w:val="auto"/>
          <w:highlight w:val="none"/>
        </w:rPr>
        <w:t>。如招标人需要对定标候选人或拟派项目负责人进行考察而需延期进行的，应当在评标结束</w:t>
      </w:r>
      <w:r>
        <w:rPr>
          <w:rFonts w:hint="eastAsia" w:ascii="宋体" w:hAnsi="宋体"/>
          <w:color w:val="auto"/>
          <w:highlight w:val="none"/>
          <w:lang w:eastAsia="zh-CN"/>
        </w:rPr>
        <w:t>之日起</w:t>
      </w:r>
      <w:r>
        <w:rPr>
          <w:rFonts w:hint="eastAsia" w:ascii="宋体" w:hAnsi="宋体"/>
          <w:color w:val="auto"/>
          <w:highlight w:val="none"/>
          <w:lang w:val="en-US" w:eastAsia="zh-CN"/>
        </w:rPr>
        <w:t>5</w:t>
      </w:r>
      <w:r>
        <w:rPr>
          <w:rFonts w:hint="eastAsia" w:ascii="宋体" w:hAnsi="宋体"/>
          <w:color w:val="auto"/>
          <w:highlight w:val="none"/>
        </w:rPr>
        <w:t>个工作日内召开；</w:t>
      </w:r>
    </w:p>
    <w:p>
      <w:pPr>
        <w:spacing w:line="276" w:lineRule="auto"/>
        <w:ind w:left="420" w:left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）定标委员会成员应当遵循择优与价格竞争的原则，依据定标规则的要求，独立行使评审权或投票权，并记录评审或投票理由，以便追溯时查询；</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（3）招标人在定标会上可以介绍项目情况，定标委员会成员有疑问的，可以向招标人提出；</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（4）定标资料中可以列摆事实，不应加以评论、转化分级；</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（5）定标会上定标委员会成员不宜发表任何有关投标人正面或负面的评论；</w:t>
      </w:r>
    </w:p>
    <w:p>
      <w:pPr>
        <w:spacing w:line="276" w:lineRule="auto"/>
        <w:ind w:left="420" w:leftChars="200" w:firstLine="0" w:firstLineChars="0"/>
        <w:rPr>
          <w:rFonts w:hint="eastAsia" w:ascii="宋体" w:hAnsi="宋体"/>
          <w:color w:val="auto"/>
          <w:highlight w:val="none"/>
        </w:rPr>
      </w:pPr>
      <w:r>
        <w:rPr>
          <w:rFonts w:hint="eastAsia" w:ascii="宋体" w:hAnsi="宋体"/>
          <w:color w:val="auto"/>
          <w:highlight w:val="none"/>
        </w:rPr>
        <w:t>（6）招标监督小组按照定标规则对定标委员的评审或投票行为进行监督，评估是否符合内控机制及价值取向，确保定标委员公平、公正用权。</w:t>
      </w:r>
    </w:p>
    <w:p>
      <w:pPr>
        <w:pStyle w:val="5"/>
        <w:keepNext w:val="0"/>
        <w:keepLines w:val="0"/>
        <w:spacing w:line="276" w:lineRule="auto"/>
        <w:rPr>
          <w:rFonts w:hint="eastAsia" w:ascii="宋体" w:hAnsi="宋体"/>
          <w:color w:val="auto"/>
          <w:highlight w:val="none"/>
        </w:rPr>
      </w:pPr>
      <w:r>
        <w:rPr>
          <w:rFonts w:hint="eastAsia" w:ascii="宋体" w:hAnsi="宋体"/>
          <w:color w:val="auto"/>
          <w:highlight w:val="none"/>
        </w:rPr>
        <w:t>10.中标</w:t>
      </w:r>
    </w:p>
    <w:p>
      <w:pPr>
        <w:pStyle w:val="6"/>
        <w:keepNext w:val="0"/>
        <w:keepLines w:val="0"/>
        <w:spacing w:line="276" w:lineRule="auto"/>
        <w:rPr>
          <w:rFonts w:hint="eastAsia"/>
          <w:color w:val="auto"/>
          <w:highlight w:val="none"/>
        </w:rPr>
      </w:pPr>
      <w:r>
        <w:rPr>
          <w:rFonts w:hint="eastAsia" w:ascii="宋体" w:hAnsi="宋体"/>
          <w:color w:val="auto"/>
          <w:highlight w:val="none"/>
        </w:rPr>
        <w:t xml:space="preserve">10.1 </w:t>
      </w:r>
      <w:r>
        <w:rPr>
          <w:rFonts w:hint="eastAsia"/>
          <w:color w:val="auto"/>
          <w:highlight w:val="none"/>
        </w:rPr>
        <w:t>公示</w:t>
      </w:r>
    </w:p>
    <w:p>
      <w:pPr>
        <w:ind w:firstLine="420" w:firstLineChars="200"/>
        <w:rPr>
          <w:rFonts w:hint="eastAsia" w:ascii="宋体" w:hAnsi="宋体"/>
          <w:color w:val="auto"/>
          <w:highlight w:val="none"/>
        </w:rPr>
      </w:pPr>
      <w:r>
        <w:rPr>
          <w:rFonts w:hint="eastAsia" w:ascii="宋体" w:hAnsi="宋体"/>
          <w:color w:val="auto"/>
          <w:highlight w:val="none"/>
        </w:rPr>
        <w:t>10.1.1</w:t>
      </w:r>
      <w:r>
        <w:rPr>
          <w:rFonts w:hint="eastAsia" w:ascii="宋体" w:hAnsi="宋体"/>
          <w:color w:val="auto"/>
          <w:szCs w:val="21"/>
          <w:highlight w:val="none"/>
        </w:rPr>
        <w:t>中标候选人产生后，招标人应按规定对中标候选人的投标内容进行公示，公示内容见本章前附表。</w:t>
      </w:r>
    </w:p>
    <w:p>
      <w:pPr>
        <w:autoSpaceDE w:val="0"/>
        <w:autoSpaceDN w:val="0"/>
        <w:adjustRightInd w:val="0"/>
        <w:ind w:firstLine="420" w:firstLineChars="200"/>
        <w:jc w:val="left"/>
        <w:rPr>
          <w:rFonts w:hint="eastAsia" w:ascii="宋体" w:hAnsi="宋体"/>
          <w:color w:val="auto"/>
          <w:highlight w:val="none"/>
        </w:rPr>
      </w:pPr>
      <w:r>
        <w:rPr>
          <w:rFonts w:hint="eastAsia" w:ascii="宋体" w:hAnsi="宋体"/>
          <w:color w:val="auto"/>
          <w:highlight w:val="none"/>
        </w:rPr>
        <w:t>10.1.2 投标人或者其他利害关系人对评标结果有异议的，应当在中标候选人公示期间提出。招标人将在收到异议之日起3日内作出答复；作出答复前，将暂停招标投标活动。</w:t>
      </w:r>
    </w:p>
    <w:p>
      <w:pPr>
        <w:pStyle w:val="6"/>
        <w:keepNext w:val="0"/>
        <w:keepLines w:val="0"/>
        <w:spacing w:line="276" w:lineRule="auto"/>
        <w:rPr>
          <w:rFonts w:hint="eastAsia" w:ascii="宋体" w:hAnsi="宋体" w:eastAsia="宋体"/>
          <w:color w:val="auto"/>
          <w:highlight w:val="none"/>
          <w:lang w:val="en-US" w:eastAsia="zh-CN"/>
        </w:rPr>
      </w:pPr>
      <w:r>
        <w:rPr>
          <w:rFonts w:hint="eastAsia" w:ascii="宋体" w:hAnsi="宋体"/>
          <w:color w:val="auto"/>
          <w:highlight w:val="none"/>
        </w:rPr>
        <w:t xml:space="preserve">10.2 </w:t>
      </w:r>
      <w:r>
        <w:rPr>
          <w:rFonts w:hint="eastAsia" w:ascii="宋体" w:hAnsi="宋体"/>
          <w:color w:val="auto"/>
          <w:highlight w:val="none"/>
          <w:lang w:val="en-US" w:eastAsia="zh-CN"/>
        </w:rPr>
        <w:t>确定</w:t>
      </w:r>
      <w:r>
        <w:rPr>
          <w:rFonts w:hint="eastAsia" w:ascii="宋体" w:hAnsi="宋体"/>
          <w:color w:val="auto"/>
          <w:highlight w:val="none"/>
        </w:rPr>
        <w:t>中标</w:t>
      </w:r>
      <w:r>
        <w:rPr>
          <w:rFonts w:hint="eastAsia" w:ascii="宋体" w:hAnsi="宋体"/>
          <w:color w:val="auto"/>
          <w:highlight w:val="none"/>
          <w:lang w:val="en-US" w:eastAsia="zh-CN"/>
        </w:rPr>
        <w:t>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10.2.1 中标候选人公示期满，招标人应当确定排名第一的中标候选人为中标人。</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10.2.2 在投标有效期内，招标向中标人发出中标通知书，同时将中标结果通知未中标的投标人。</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10.3 履约担保</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10.3.1 在签订合同前，中标人应按本章前附表规定的金额、担保形式和“合同条款及格式”规定的履约担保格式向招标人提交履约担保。联合体中标的，其履约担保由牵头人递交。</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10.3.2 中标人不能按</w:t>
      </w:r>
      <w:r>
        <w:rPr>
          <w:rFonts w:hint="eastAsia" w:ascii="宋体" w:hAnsi="宋体"/>
          <w:color w:val="auto"/>
          <w:szCs w:val="21"/>
          <w:highlight w:val="none"/>
          <w:lang w:eastAsia="zh-CN"/>
        </w:rPr>
        <w:t>前</w:t>
      </w:r>
      <w:r>
        <w:rPr>
          <w:rFonts w:hint="eastAsia" w:ascii="宋体" w:hAnsi="宋体"/>
          <w:color w:val="auto"/>
          <w:szCs w:val="21"/>
          <w:highlight w:val="none"/>
        </w:rPr>
        <w:t>款要求提交履约担保的，视为放弃中标，其投标保证金不予退还，给招标人造成的损失超过投标保证金数额的，中标人还应当对超过部分予以赔偿。</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10.4 签订合同</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10.4.1 招标人和中标人应当自中标通知书发出之日起30 天内，根据招标文件和中标人的投标文件订立书面合同</w:t>
      </w:r>
      <w:r>
        <w:rPr>
          <w:rFonts w:hint="eastAsia" w:ascii="宋体" w:hAnsi="宋体"/>
          <w:color w:val="auto"/>
          <w:szCs w:val="21"/>
          <w:highlight w:val="none"/>
          <w:lang w:eastAsia="zh-CN"/>
        </w:rPr>
        <w:t>，并按信息公开要求上传通用合同至交易平台</w:t>
      </w:r>
      <w:r>
        <w:rPr>
          <w:rFonts w:hint="eastAsia" w:ascii="宋体" w:hAnsi="宋体"/>
          <w:color w:val="auto"/>
          <w:szCs w:val="21"/>
          <w:highlight w:val="none"/>
        </w:rPr>
        <w:t>。中标人无正当理由拒签合同的，招标人取消其中标资格，其投标保证金不予退还；给招标人造成的损失超过投标保证金数额的，中标人还应当对超过部分予以赔偿。</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10.4.2 发出中标通知书后，招标人无正当理由拒签合同的，招标人向中标人退还投标保证金；给中标人造成损失的，还应当赔偿损失。</w:t>
      </w:r>
    </w:p>
    <w:p>
      <w:pPr>
        <w:pStyle w:val="5"/>
        <w:keepNext w:val="0"/>
        <w:keepLines w:val="0"/>
        <w:spacing w:line="276" w:lineRule="auto"/>
        <w:rPr>
          <w:rFonts w:hint="eastAsia" w:ascii="宋体" w:hAnsi="宋体"/>
          <w:color w:val="auto"/>
          <w:highlight w:val="none"/>
        </w:rPr>
      </w:pPr>
      <w:bookmarkStart w:id="21" w:name="_Toc184635078"/>
      <w:r>
        <w:rPr>
          <w:rFonts w:hint="eastAsia" w:ascii="宋体" w:hAnsi="宋体"/>
          <w:color w:val="auto"/>
          <w:highlight w:val="none"/>
        </w:rPr>
        <w:t>11.重新招标和不再招标</w:t>
      </w:r>
      <w:bookmarkEnd w:id="21"/>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11.1 重新招标</w:t>
      </w:r>
    </w:p>
    <w:p>
      <w:pPr>
        <w:spacing w:line="276" w:lineRule="auto"/>
        <w:ind w:firstLine="420" w:firstLineChars="200"/>
        <w:rPr>
          <w:rFonts w:ascii="宋体" w:hAnsi="宋体"/>
          <w:color w:val="auto"/>
          <w:highlight w:val="none"/>
        </w:rPr>
      </w:pPr>
      <w:r>
        <w:rPr>
          <w:rFonts w:hint="eastAsia" w:ascii="宋体" w:hAnsi="宋体"/>
          <w:color w:val="auto"/>
          <w:highlight w:val="none"/>
        </w:rPr>
        <w:t>11</w:t>
      </w:r>
      <w:r>
        <w:rPr>
          <w:rFonts w:ascii="宋体" w:hAnsi="宋体"/>
          <w:color w:val="auto"/>
          <w:highlight w:val="none"/>
        </w:rPr>
        <w:t xml:space="preserve">.1.1 </w:t>
      </w:r>
      <w:r>
        <w:rPr>
          <w:rFonts w:hint="eastAsia" w:ascii="宋体" w:hAnsi="宋体"/>
          <w:color w:val="auto"/>
          <w:highlight w:val="none"/>
        </w:rPr>
        <w:t>有下列情形之一的，招标人将重新招标：</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通过资格审查的公开招标的投标人</w:t>
      </w:r>
      <w:r>
        <w:rPr>
          <w:rFonts w:hint="eastAsia" w:ascii="宋体" w:hAnsi="宋体"/>
          <w:color w:val="auto"/>
          <w:highlight w:val="none"/>
        </w:rPr>
        <w:t>少于三个</w:t>
      </w:r>
      <w:r>
        <w:rPr>
          <w:rFonts w:ascii="宋体" w:hAnsi="宋体"/>
          <w:color w:val="auto"/>
          <w:highlight w:val="none"/>
        </w:rPr>
        <w:t>，</w:t>
      </w:r>
      <w:r>
        <w:rPr>
          <w:rFonts w:hint="eastAsia" w:ascii="宋体" w:hAnsi="宋体"/>
          <w:color w:val="auto"/>
          <w:highlight w:val="none"/>
        </w:rPr>
        <w:t>或</w:t>
      </w:r>
      <w:r>
        <w:rPr>
          <w:rFonts w:ascii="宋体" w:hAnsi="宋体"/>
          <w:color w:val="auto"/>
          <w:highlight w:val="none"/>
        </w:rPr>
        <w:t>邀请招标的投标人</w:t>
      </w:r>
      <w:r>
        <w:rPr>
          <w:rFonts w:hint="eastAsia" w:ascii="宋体" w:hAnsi="宋体"/>
          <w:color w:val="auto"/>
          <w:highlight w:val="none"/>
        </w:rPr>
        <w:t>少于三个的；</w:t>
      </w:r>
    </w:p>
    <w:p>
      <w:pPr>
        <w:spacing w:line="276"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）依法可以重新招标的其他情形。</w:t>
      </w:r>
    </w:p>
    <w:p>
      <w:pPr>
        <w:spacing w:line="276" w:lineRule="auto"/>
        <w:ind w:firstLine="420" w:firstLineChars="200"/>
        <w:rPr>
          <w:rFonts w:hint="eastAsia" w:ascii="宋体" w:hAnsi="宋体"/>
          <w:color w:val="auto"/>
          <w:highlight w:val="none"/>
        </w:rPr>
      </w:pPr>
      <w:r>
        <w:rPr>
          <w:rFonts w:hint="eastAsia" w:ascii="宋体" w:hAnsi="宋体"/>
          <w:color w:val="auto"/>
          <w:highlight w:val="none"/>
        </w:rPr>
        <w:t>11.1.2</w:t>
      </w:r>
      <w:r>
        <w:rPr>
          <w:rFonts w:ascii="宋体" w:hAnsi="宋体"/>
          <w:color w:val="auto"/>
          <w:highlight w:val="none"/>
        </w:rPr>
        <w:t xml:space="preserve"> 两次公开招标失败后，</w:t>
      </w:r>
      <w:r>
        <w:rPr>
          <w:rFonts w:hint="eastAsia" w:ascii="宋体" w:hAnsi="宋体"/>
          <w:color w:val="auto"/>
          <w:highlight w:val="none"/>
          <w:lang w:eastAsia="zh-CN"/>
        </w:rPr>
        <w:t>属于依法必须招标的项目，</w:t>
      </w:r>
      <w:r>
        <w:rPr>
          <w:rFonts w:hint="eastAsia" w:ascii="宋体" w:hAnsi="宋体"/>
          <w:color w:val="auto"/>
          <w:highlight w:val="none"/>
        </w:rPr>
        <w:t>招标人须调整招标方式的向原审批部门提出申请。</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11.2 不再招标</w:t>
      </w:r>
    </w:p>
    <w:p>
      <w:pPr>
        <w:spacing w:line="276" w:lineRule="auto"/>
        <w:ind w:firstLine="420" w:firstLineChars="200"/>
        <w:rPr>
          <w:rFonts w:hint="eastAsia" w:ascii="宋体" w:hAnsi="宋体"/>
          <w:color w:val="auto"/>
          <w:szCs w:val="21"/>
          <w:highlight w:val="none"/>
        </w:rPr>
      </w:pPr>
      <w:bookmarkStart w:id="22" w:name="_Toc184635079"/>
      <w:r>
        <w:rPr>
          <w:rFonts w:hint="eastAsia" w:ascii="宋体" w:hAnsi="宋体"/>
          <w:color w:val="auto"/>
          <w:szCs w:val="21"/>
          <w:highlight w:val="none"/>
        </w:rPr>
        <w:t>根据《工程建设项目施工招标投标办法》第三十八条，重新招标后</w:t>
      </w:r>
      <w:r>
        <w:rPr>
          <w:rFonts w:hint="eastAsia" w:ascii="宋体" w:hAnsi="宋体"/>
          <w:color w:val="auto"/>
          <w:szCs w:val="21"/>
          <w:highlight w:val="none"/>
          <w:lang w:val="en-US" w:eastAsia="zh-CN"/>
        </w:rPr>
        <w:t>，</w:t>
      </w:r>
      <w:r>
        <w:rPr>
          <w:rFonts w:hint="eastAsia" w:ascii="宋体" w:hAnsi="宋体"/>
          <w:color w:val="auto"/>
          <w:szCs w:val="21"/>
          <w:highlight w:val="none"/>
        </w:rPr>
        <w:t>依法必须招标的项目提交投标文件的投标人仍少于三个的，属于必须审批、核准的工程建设项目，报经原审批部门审批后可以不再进行招标。</w:t>
      </w:r>
    </w:p>
    <w:p>
      <w:pPr>
        <w:pStyle w:val="5"/>
        <w:keepNext w:val="0"/>
        <w:keepLines w:val="0"/>
        <w:spacing w:line="276" w:lineRule="auto"/>
        <w:rPr>
          <w:rFonts w:hint="eastAsia" w:ascii="宋体" w:hAnsi="宋体"/>
          <w:color w:val="auto"/>
          <w:highlight w:val="none"/>
        </w:rPr>
      </w:pPr>
      <w:r>
        <w:rPr>
          <w:rFonts w:hint="eastAsia" w:ascii="宋体" w:hAnsi="宋体"/>
          <w:color w:val="auto"/>
          <w:highlight w:val="none"/>
        </w:rPr>
        <w:t>12.纪律和监督</w:t>
      </w:r>
      <w:bookmarkEnd w:id="22"/>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12.1 对招标人的纪律要求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w:t>
      </w:r>
      <w:r>
        <w:rPr>
          <w:rFonts w:hint="eastAsia" w:ascii="宋体" w:hAnsi="宋体"/>
          <w:color w:val="auto"/>
          <w:szCs w:val="21"/>
          <w:highlight w:val="none"/>
          <w:lang w:eastAsia="zh-CN"/>
        </w:rPr>
        <w:t>不得泄露</w:t>
      </w:r>
      <w:r>
        <w:rPr>
          <w:rFonts w:hint="eastAsia" w:ascii="宋体" w:hAnsi="宋体"/>
          <w:color w:val="auto"/>
          <w:szCs w:val="21"/>
          <w:highlight w:val="none"/>
        </w:rPr>
        <w:t>招标投标活动中应当保密的情况和资料，不得与投标人串通损害国家利益、社会公共利益或者他人合法权益。</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2</w:t>
      </w:r>
      <w:r>
        <w:rPr>
          <w:rFonts w:hint="eastAsia" w:ascii="宋体" w:hAnsi="宋体"/>
          <w:color w:val="auto"/>
          <w:highlight w:val="none"/>
        </w:rPr>
        <w:t xml:space="preserve"> 对招标人监督小组成员的纪律要求</w:t>
      </w:r>
    </w:p>
    <w:p>
      <w:pPr>
        <w:spacing w:line="276" w:lineRule="auto"/>
        <w:ind w:firstLine="420" w:firstLineChars="200"/>
        <w:rPr>
          <w:rFonts w:hint="eastAsia" w:ascii="宋体" w:hAnsi="宋体"/>
          <w:color w:val="auto"/>
          <w:highlight w:val="none"/>
        </w:rPr>
      </w:pPr>
      <w:r>
        <w:rPr>
          <w:rFonts w:hint="eastAsia" w:ascii="宋体" w:hAnsi="宋体"/>
          <w:color w:val="auto"/>
          <w:szCs w:val="21"/>
          <w:highlight w:val="none"/>
        </w:rPr>
        <w:t>招标人监督小组成员不得收受他人的财物或者其他好处，不得向他人</w:t>
      </w:r>
      <w:r>
        <w:rPr>
          <w:rFonts w:hint="eastAsia" w:ascii="宋体" w:hAnsi="宋体"/>
          <w:color w:val="auto"/>
          <w:szCs w:val="21"/>
          <w:highlight w:val="none"/>
          <w:lang w:eastAsia="zh-CN"/>
        </w:rPr>
        <w:t>透露</w:t>
      </w:r>
      <w:r>
        <w:rPr>
          <w:rFonts w:hint="eastAsia" w:ascii="宋体" w:hAnsi="宋体"/>
          <w:color w:val="auto"/>
          <w:szCs w:val="21"/>
          <w:highlight w:val="none"/>
        </w:rPr>
        <w:t>招投标相关信息，不得包庇隐瞒监督过程中发现的异常情况和违法违规行为。</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3</w:t>
      </w:r>
      <w:r>
        <w:rPr>
          <w:rFonts w:hint="eastAsia" w:ascii="宋体" w:hAnsi="宋体"/>
          <w:color w:val="auto"/>
          <w:highlight w:val="none"/>
        </w:rPr>
        <w:t xml:space="preserve"> 对推荐入围委员会成员的纪律要求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推荐入围委员会成员不得收受他人的财物或者其他好处，不得向他人</w:t>
      </w:r>
      <w:r>
        <w:rPr>
          <w:rFonts w:hint="eastAsia" w:ascii="宋体" w:hAnsi="宋体"/>
          <w:color w:val="auto"/>
          <w:szCs w:val="21"/>
          <w:highlight w:val="none"/>
          <w:lang w:eastAsia="zh-CN"/>
        </w:rPr>
        <w:t>透露</w:t>
      </w:r>
      <w:r>
        <w:rPr>
          <w:rFonts w:hint="eastAsia" w:ascii="宋体" w:hAnsi="宋体"/>
          <w:color w:val="auto"/>
          <w:szCs w:val="21"/>
          <w:highlight w:val="none"/>
        </w:rPr>
        <w:t>推荐入围环节的情况以及推荐有关的其他情况。</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4</w:t>
      </w:r>
      <w:r>
        <w:rPr>
          <w:rFonts w:hint="eastAsia" w:ascii="宋体" w:hAnsi="宋体"/>
          <w:color w:val="auto"/>
          <w:highlight w:val="none"/>
        </w:rPr>
        <w:t xml:space="preserve"> 对投标人的纪律要求</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5</w:t>
      </w:r>
      <w:r>
        <w:rPr>
          <w:rFonts w:hint="eastAsia" w:ascii="宋体" w:hAnsi="宋体"/>
          <w:color w:val="auto"/>
          <w:highlight w:val="none"/>
        </w:rPr>
        <w:t xml:space="preserve"> 对评标委员会成员的纪律要求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w:t>
      </w:r>
      <w:r>
        <w:rPr>
          <w:rFonts w:hint="eastAsia" w:ascii="宋体" w:hAnsi="宋体"/>
          <w:color w:val="auto"/>
          <w:szCs w:val="21"/>
          <w:highlight w:val="none"/>
          <w:lang w:eastAsia="zh-CN"/>
        </w:rPr>
        <w:t>透露</w:t>
      </w:r>
      <w:r>
        <w:rPr>
          <w:rFonts w:hint="eastAsia" w:ascii="宋体" w:hAnsi="宋体"/>
          <w:color w:val="auto"/>
          <w:szCs w:val="21"/>
          <w:highlight w:val="none"/>
        </w:rPr>
        <w:t>对投标文件的评审和比较、进入定标环节正式投标人的推荐情况以及评标有关的其他情况。在评标活动中，评标委员会成员不得擅离职守，影响评标程序正常进行，不得使用“评标办法”没有规定的评审因素和标准进行评标。评标委员会各成员在评标前须签署“评标专家承诺书”。</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6</w:t>
      </w:r>
      <w:r>
        <w:rPr>
          <w:rFonts w:hint="eastAsia" w:ascii="宋体" w:hAnsi="宋体"/>
          <w:color w:val="auto"/>
          <w:highlight w:val="none"/>
        </w:rPr>
        <w:t xml:space="preserve"> 对定标委员会成员的纪律要求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定标委员会成员不得收受他人的财物或者其他好处，不得向他人</w:t>
      </w:r>
      <w:r>
        <w:rPr>
          <w:rFonts w:hint="eastAsia" w:ascii="宋体" w:hAnsi="宋体"/>
          <w:color w:val="auto"/>
          <w:szCs w:val="21"/>
          <w:highlight w:val="none"/>
          <w:lang w:eastAsia="zh-CN"/>
        </w:rPr>
        <w:t>透露</w:t>
      </w:r>
      <w:r>
        <w:rPr>
          <w:rFonts w:hint="eastAsia" w:ascii="宋体" w:hAnsi="宋体"/>
          <w:color w:val="auto"/>
          <w:szCs w:val="21"/>
          <w:highlight w:val="none"/>
        </w:rPr>
        <w:t>定标过程</w:t>
      </w:r>
      <w:r>
        <w:rPr>
          <w:rFonts w:ascii="宋体" w:hAnsi="宋体"/>
          <w:color w:val="auto"/>
          <w:szCs w:val="21"/>
          <w:highlight w:val="none"/>
        </w:rPr>
        <w:t>和</w:t>
      </w:r>
      <w:r>
        <w:rPr>
          <w:rFonts w:hint="eastAsia" w:ascii="宋体" w:hAnsi="宋体"/>
          <w:color w:val="auto"/>
          <w:szCs w:val="21"/>
          <w:highlight w:val="none"/>
        </w:rPr>
        <w:t>中标候选人的推荐情况以及定标有关的其他情况。</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7</w:t>
      </w:r>
      <w:r>
        <w:rPr>
          <w:rFonts w:hint="eastAsia" w:ascii="宋体" w:hAnsi="宋体"/>
          <w:color w:val="auto"/>
          <w:highlight w:val="none"/>
        </w:rPr>
        <w:t xml:space="preserve"> 对与招标活动有关的工作人员的纪律要求</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与招标活动有关的工作人员不得收受他人的财物或者其他好处，不得向他人</w:t>
      </w:r>
      <w:r>
        <w:rPr>
          <w:rFonts w:hint="eastAsia" w:ascii="宋体" w:hAnsi="宋体"/>
          <w:color w:val="auto"/>
          <w:szCs w:val="21"/>
          <w:highlight w:val="none"/>
          <w:lang w:eastAsia="zh-CN"/>
        </w:rPr>
        <w:t>透露</w:t>
      </w:r>
      <w:r>
        <w:rPr>
          <w:rFonts w:hint="eastAsia" w:ascii="宋体" w:hAnsi="宋体"/>
          <w:color w:val="auto"/>
          <w:szCs w:val="21"/>
          <w:highlight w:val="none"/>
        </w:rPr>
        <w:t>关于推荐</w:t>
      </w:r>
      <w:r>
        <w:rPr>
          <w:rFonts w:ascii="宋体" w:hAnsi="宋体"/>
          <w:color w:val="auto"/>
          <w:szCs w:val="21"/>
          <w:highlight w:val="none"/>
        </w:rPr>
        <w:t>入围、评标、定标等环节的情况</w:t>
      </w:r>
      <w:r>
        <w:rPr>
          <w:rFonts w:hint="eastAsia" w:ascii="宋体" w:hAnsi="宋体"/>
          <w:color w:val="auto"/>
          <w:szCs w:val="21"/>
          <w:highlight w:val="none"/>
        </w:rPr>
        <w:t>。在评标、</w:t>
      </w:r>
      <w:r>
        <w:rPr>
          <w:rFonts w:ascii="宋体" w:hAnsi="宋体"/>
          <w:color w:val="auto"/>
          <w:szCs w:val="21"/>
          <w:highlight w:val="none"/>
        </w:rPr>
        <w:t>定标</w:t>
      </w:r>
      <w:r>
        <w:rPr>
          <w:rFonts w:hint="eastAsia" w:ascii="宋体" w:hAnsi="宋体"/>
          <w:color w:val="auto"/>
          <w:szCs w:val="21"/>
          <w:highlight w:val="none"/>
        </w:rPr>
        <w:t>活动中，有关的工作人员不得擅离职守，影响程序正常进行。</w:t>
      </w:r>
    </w:p>
    <w:p>
      <w:pPr>
        <w:pStyle w:val="6"/>
        <w:keepNext w:val="0"/>
        <w:keepLines w:val="0"/>
        <w:spacing w:line="276" w:lineRule="auto"/>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8</w:t>
      </w:r>
      <w:r>
        <w:rPr>
          <w:rFonts w:hint="eastAsia" w:ascii="宋体" w:hAnsi="宋体"/>
          <w:color w:val="auto"/>
          <w:highlight w:val="none"/>
        </w:rPr>
        <w:t xml:space="preserve"> 投诉</w:t>
      </w:r>
    </w:p>
    <w:p>
      <w:pPr>
        <w:spacing w:line="276" w:lineRule="auto"/>
        <w:ind w:firstLine="420" w:firstLineChars="200"/>
        <w:rPr>
          <w:rFonts w:hint="eastAsia" w:ascii="宋体" w:hAnsi="宋体"/>
          <w:color w:val="auto"/>
          <w:szCs w:val="21"/>
          <w:highlight w:val="none"/>
        </w:rPr>
      </w:pPr>
      <w:bookmarkStart w:id="23" w:name="_Toc184635080"/>
      <w:r>
        <w:rPr>
          <w:rFonts w:hint="eastAsia" w:ascii="宋体" w:hAnsi="宋体"/>
          <w:color w:val="auto"/>
          <w:szCs w:val="21"/>
          <w:highlight w:val="none"/>
        </w:rPr>
        <w:t>投标人和其他利害关系人认为本次招标活动违反法律、法规和规章规定的，应</w:t>
      </w:r>
      <w:r>
        <w:rPr>
          <w:rFonts w:hint="eastAsia" w:ascii="宋体" w:hAnsi="宋体"/>
          <w:color w:val="auto"/>
          <w:szCs w:val="21"/>
          <w:highlight w:val="none"/>
          <w:lang w:eastAsia="zh-CN"/>
        </w:rPr>
        <w:t>按照</w:t>
      </w:r>
      <w:r>
        <w:rPr>
          <w:rFonts w:hint="eastAsia" w:ascii="宋体" w:hAnsi="宋体"/>
          <w:color w:val="auto"/>
          <w:szCs w:val="21"/>
          <w:highlight w:val="none"/>
        </w:rPr>
        <w:t>《中华人民共和国招标投标法实施条例》第六十条的规定向有关行政监督部门投诉。</w:t>
      </w:r>
    </w:p>
    <w:p>
      <w:pPr>
        <w:pStyle w:val="5"/>
        <w:keepNext w:val="0"/>
        <w:keepLines w:val="0"/>
        <w:spacing w:line="276" w:lineRule="auto"/>
        <w:rPr>
          <w:rFonts w:hint="eastAsia" w:ascii="宋体" w:hAnsi="宋体"/>
          <w:color w:val="auto"/>
          <w:highlight w:val="none"/>
        </w:rPr>
      </w:pPr>
      <w:r>
        <w:rPr>
          <w:rFonts w:hint="eastAsia" w:ascii="宋体" w:hAnsi="宋体"/>
          <w:color w:val="auto"/>
          <w:highlight w:val="none"/>
        </w:rPr>
        <w:t>13.</w:t>
      </w:r>
      <w:r>
        <w:rPr>
          <w:rFonts w:hint="eastAsia" w:ascii="宋体" w:hAnsi="宋体"/>
          <w:color w:val="auto"/>
          <w:szCs w:val="24"/>
          <w:highlight w:val="none"/>
        </w:rPr>
        <w:t>需要补充的其他内容</w:t>
      </w:r>
      <w:bookmarkEnd w:id="23"/>
    </w:p>
    <w:p>
      <w:pPr>
        <w:spacing w:line="276" w:lineRule="auto"/>
        <w:ind w:firstLine="420" w:firstLineChars="200"/>
        <w:rPr>
          <w:rFonts w:ascii="宋体" w:hAnsi="宋体"/>
          <w:color w:val="auto"/>
          <w:highlight w:val="none"/>
        </w:rPr>
      </w:pPr>
      <w:r>
        <w:rPr>
          <w:rFonts w:hint="eastAsia" w:ascii="宋体" w:hAnsi="宋体"/>
          <w:color w:val="auto"/>
          <w:szCs w:val="21"/>
          <w:highlight w:val="none"/>
        </w:rPr>
        <w:t>需要补充的其他内容：见本章前附表。</w:t>
      </w:r>
    </w:p>
    <w:p>
      <w:pPr>
        <w:spacing w:line="360" w:lineRule="auto"/>
        <w:rPr>
          <w:rFonts w:hint="eastAsia" w:ascii="黑体" w:eastAsia="黑体"/>
          <w:color w:val="auto"/>
          <w:sz w:val="24"/>
          <w:highlight w:val="none"/>
          <w:lang w:eastAsia="zh-CN"/>
        </w:rPr>
      </w:pPr>
      <w:r>
        <w:rPr>
          <w:color w:val="auto"/>
          <w:sz w:val="24"/>
          <w:highlight w:val="none"/>
        </w:rPr>
        <w:br w:type="page"/>
      </w:r>
      <w:r>
        <w:rPr>
          <w:rFonts w:hint="eastAsia" w:ascii="黑体" w:eastAsia="黑体"/>
          <w:color w:val="auto"/>
          <w:sz w:val="24"/>
          <w:highlight w:val="none"/>
        </w:rPr>
        <w:t>附表一：开、评、定标记录表</w:t>
      </w:r>
      <w:r>
        <w:rPr>
          <w:rFonts w:hint="eastAsia" w:ascii="黑体" w:eastAsia="黑体"/>
          <w:color w:val="auto"/>
          <w:sz w:val="24"/>
          <w:highlight w:val="none"/>
          <w:lang w:eastAsia="zh-CN"/>
        </w:rPr>
        <w:t>（参考格式）</w:t>
      </w:r>
    </w:p>
    <w:p>
      <w:pPr>
        <w:spacing w:line="400" w:lineRule="exact"/>
        <w:ind w:firstLine="105" w:firstLineChars="50"/>
        <w:rPr>
          <w:rFonts w:hint="eastAsia" w:ascii="黑体" w:eastAsia="黑体"/>
          <w:color w:val="auto"/>
          <w:highlight w:val="none"/>
        </w:rPr>
      </w:pPr>
    </w:p>
    <w:p>
      <w:pPr>
        <w:ind w:left="1702" w:right="-353" w:rightChars="-168" w:hanging="1702" w:hangingChars="471"/>
        <w:rPr>
          <w:rFonts w:hint="eastAsia"/>
          <w:b/>
          <w:color w:val="auto"/>
          <w:spacing w:val="120"/>
          <w:sz w:val="40"/>
          <w:highlight w:val="none"/>
        </w:rPr>
      </w:pPr>
      <w:r>
        <w:rPr>
          <w:rFonts w:hint="eastAsia"/>
          <w:b/>
          <w:color w:val="auto"/>
          <w:sz w:val="36"/>
          <w:szCs w:val="36"/>
          <w:highlight w:val="none"/>
        </w:rPr>
        <w:t>项目称：</w:t>
      </w:r>
      <w:r>
        <w:rPr>
          <w:rFonts w:hint="eastAsia"/>
          <w:b/>
          <w:color w:val="auto"/>
          <w:sz w:val="36"/>
          <w:szCs w:val="36"/>
          <w:highlight w:val="none"/>
          <w:u w:val="single"/>
        </w:rPr>
        <w:t xml:space="preserve">                   </w:t>
      </w:r>
      <w:r>
        <w:rPr>
          <w:b/>
          <w:color w:val="auto"/>
          <w:sz w:val="36"/>
          <w:szCs w:val="36"/>
          <w:highlight w:val="none"/>
          <w:u w:val="single"/>
        </w:rPr>
        <w:t xml:space="preserve">                        </w:t>
      </w:r>
      <w:r>
        <w:rPr>
          <w:rFonts w:hint="eastAsia"/>
          <w:b/>
          <w:color w:val="auto"/>
          <w:sz w:val="36"/>
          <w:szCs w:val="36"/>
          <w:highlight w:val="none"/>
          <w:u w:val="single"/>
        </w:rPr>
        <w:t xml:space="preserve"> </w:t>
      </w:r>
      <w:r>
        <w:rPr>
          <w:rFonts w:hint="eastAsia"/>
          <w:b/>
          <w:color w:val="auto"/>
          <w:spacing w:val="120"/>
          <w:sz w:val="40"/>
          <w:highlight w:val="none"/>
        </w:rPr>
        <w:t xml:space="preserve">                  </w:t>
      </w:r>
    </w:p>
    <w:p>
      <w:pPr>
        <w:jc w:val="center"/>
        <w:rPr>
          <w:b/>
          <w:color w:val="auto"/>
          <w:spacing w:val="120"/>
          <w:sz w:val="40"/>
          <w:highlight w:val="none"/>
        </w:rPr>
      </w:pPr>
    </w:p>
    <w:p>
      <w:pPr>
        <w:pStyle w:val="41"/>
        <w:ind w:firstLine="528"/>
        <w:rPr>
          <w:color w:val="auto"/>
          <w:highlight w:val="none"/>
        </w:rPr>
      </w:pPr>
    </w:p>
    <w:p>
      <w:pPr>
        <w:pStyle w:val="41"/>
        <w:ind w:firstLine="528"/>
        <w:rPr>
          <w:rFonts w:hint="eastAsia"/>
          <w:color w:val="auto"/>
          <w:highlight w:val="none"/>
        </w:rPr>
      </w:pPr>
    </w:p>
    <w:p>
      <w:pPr>
        <w:jc w:val="center"/>
        <w:rPr>
          <w:rFonts w:hint="eastAsia"/>
          <w:b/>
          <w:color w:val="auto"/>
          <w:spacing w:val="120"/>
          <w:sz w:val="40"/>
          <w:highlight w:val="none"/>
        </w:rPr>
      </w:pPr>
    </w:p>
    <w:p>
      <w:pPr>
        <w:jc w:val="center"/>
        <w:rPr>
          <w:rFonts w:hint="eastAsia"/>
          <w:b/>
          <w:color w:val="auto"/>
          <w:spacing w:val="120"/>
          <w:sz w:val="40"/>
          <w:highlight w:val="none"/>
        </w:rPr>
      </w:pPr>
    </w:p>
    <w:p>
      <w:pPr>
        <w:jc w:val="center"/>
        <w:rPr>
          <w:rFonts w:hint="eastAsia"/>
          <w:b/>
          <w:color w:val="auto"/>
          <w:spacing w:val="120"/>
          <w:sz w:val="40"/>
          <w:highlight w:val="none"/>
        </w:rPr>
      </w:pPr>
    </w:p>
    <w:p>
      <w:pPr>
        <w:jc w:val="center"/>
        <w:rPr>
          <w:rFonts w:hint="eastAsia"/>
          <w:b/>
          <w:color w:val="auto"/>
          <w:spacing w:val="120"/>
          <w:sz w:val="40"/>
          <w:highlight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黑体" w:eastAsia="黑体"/>
          <w:b/>
          <w:color w:val="auto"/>
          <w:sz w:val="72"/>
          <w:highlight w:val="none"/>
        </w:rPr>
      </w:pPr>
      <w:r>
        <w:rPr>
          <w:rFonts w:hint="eastAsia" w:ascii="黑体" w:eastAsia="黑体"/>
          <w:b/>
          <w:color w:val="auto"/>
          <w:sz w:val="72"/>
          <w:highlight w:val="none"/>
        </w:rPr>
        <w:t>开标记录</w:t>
      </w:r>
    </w:p>
    <w:p>
      <w:pPr>
        <w:pStyle w:val="41"/>
        <w:ind w:left="0" w:leftChars="0" w:firstLine="0" w:firstLineChars="0"/>
        <w:jc w:val="center"/>
        <w:rPr>
          <w:rFonts w:hint="eastAsia" w:ascii="Times New Roman" w:hAnsi="Times New Roman" w:eastAsia="宋体" w:cs="Times New Roman"/>
          <w:color w:val="auto"/>
          <w:kern w:val="2"/>
          <w:sz w:val="36"/>
          <w:szCs w:val="24"/>
          <w:highlight w:val="none"/>
          <w:lang w:val="en-US" w:eastAsia="zh-CN" w:bidi="ar-SA"/>
        </w:rPr>
      </w:pPr>
      <w:r>
        <w:rPr>
          <w:rFonts w:hint="eastAsia" w:ascii="Times New Roman" w:hAnsi="Times New Roman" w:eastAsia="宋体" w:cs="Times New Roman"/>
          <w:color w:val="auto"/>
          <w:kern w:val="2"/>
          <w:sz w:val="36"/>
          <w:szCs w:val="24"/>
          <w:highlight w:val="none"/>
          <w:lang w:val="en-US" w:eastAsia="zh-CN" w:bidi="ar-SA"/>
        </w:rPr>
        <w:t>（参考格式）</w:t>
      </w:r>
    </w:p>
    <w:p>
      <w:pPr>
        <w:jc w:val="cente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rPr>
          <w:rFonts w:hint="eastAsia"/>
          <w:b/>
          <w:color w:val="auto"/>
          <w:spacing w:val="120"/>
          <w:sz w:val="24"/>
          <w:highlight w:val="none"/>
        </w:rPr>
      </w:pPr>
    </w:p>
    <w:p>
      <w:pPr>
        <w:spacing w:line="360" w:lineRule="auto"/>
        <w:rPr>
          <w:rFonts w:hint="eastAsia"/>
          <w:b/>
          <w:color w:val="auto"/>
          <w:spacing w:val="120"/>
          <w:sz w:val="24"/>
          <w:highlight w:val="none"/>
        </w:rPr>
      </w:pPr>
    </w:p>
    <w:p>
      <w:pPr>
        <w:spacing w:line="360" w:lineRule="auto"/>
        <w:rPr>
          <w:rFonts w:hint="eastAsia"/>
          <w:b/>
          <w:color w:val="auto"/>
          <w:spacing w:val="120"/>
          <w:sz w:val="24"/>
          <w:highlight w:val="none"/>
        </w:rPr>
      </w:pPr>
    </w:p>
    <w:p>
      <w:pPr>
        <w:spacing w:line="360" w:lineRule="auto"/>
        <w:rPr>
          <w:rFonts w:hint="eastAsia"/>
          <w:b/>
          <w:color w:val="auto"/>
          <w:spacing w:val="120"/>
          <w:sz w:val="24"/>
          <w:highlight w:val="none"/>
        </w:rPr>
      </w:pPr>
    </w:p>
    <w:p>
      <w:pPr>
        <w:spacing w:line="360" w:lineRule="auto"/>
        <w:rPr>
          <w:rFonts w:hint="eastAsia"/>
          <w:b/>
          <w:color w:val="auto"/>
          <w:spacing w:val="120"/>
          <w:sz w:val="24"/>
          <w:highlight w:val="none"/>
        </w:rPr>
      </w:pPr>
    </w:p>
    <w:p>
      <w:pPr>
        <w:spacing w:line="360" w:lineRule="auto"/>
        <w:rPr>
          <w:rFonts w:hint="eastAsia"/>
          <w:b/>
          <w:color w:val="auto"/>
          <w:spacing w:val="120"/>
          <w:sz w:val="24"/>
          <w:highlight w:val="none"/>
        </w:rPr>
      </w:pPr>
    </w:p>
    <w:p>
      <w:pPr>
        <w:spacing w:line="360" w:lineRule="auto"/>
        <w:jc w:val="center"/>
        <w:rPr>
          <w:rFonts w:hint="eastAsia"/>
          <w:b/>
          <w:color w:val="auto"/>
          <w:spacing w:val="120"/>
          <w:sz w:val="24"/>
          <w:highlight w:val="none"/>
        </w:rPr>
      </w:pPr>
    </w:p>
    <w:p>
      <w:pPr>
        <w:spacing w:line="360" w:lineRule="auto"/>
        <w:ind w:firstLine="2211" w:firstLineChars="1005"/>
        <w:rPr>
          <w:rFonts w:hint="eastAsia"/>
          <w:color w:val="auto"/>
          <w:sz w:val="22"/>
          <w:szCs w:val="28"/>
          <w:highlight w:val="none"/>
          <w:u w:val="single"/>
        </w:rPr>
      </w:pPr>
      <w:r>
        <w:rPr>
          <w:rFonts w:hint="eastAsia"/>
          <w:color w:val="auto"/>
          <w:sz w:val="22"/>
          <w:szCs w:val="28"/>
          <w:highlight w:val="none"/>
        </w:rPr>
        <w:t>记录人（签</w:t>
      </w:r>
      <w:r>
        <w:rPr>
          <w:rFonts w:hint="eastAsia"/>
          <w:color w:val="auto"/>
          <w:sz w:val="22"/>
          <w:szCs w:val="28"/>
          <w:highlight w:val="none"/>
          <w:lang w:eastAsia="zh-CN"/>
        </w:rPr>
        <w:t>名</w:t>
      </w:r>
      <w:r>
        <w:rPr>
          <w:rFonts w:hint="eastAsia"/>
          <w:color w:val="auto"/>
          <w:sz w:val="22"/>
          <w:szCs w:val="28"/>
          <w:highlight w:val="none"/>
        </w:rPr>
        <w:t>）：</w:t>
      </w:r>
      <w:r>
        <w:rPr>
          <w:rFonts w:hint="eastAsia"/>
          <w:color w:val="auto"/>
          <w:sz w:val="22"/>
          <w:szCs w:val="28"/>
          <w:highlight w:val="none"/>
          <w:u w:val="single"/>
        </w:rPr>
        <w:t xml:space="preserve">                              </w:t>
      </w:r>
    </w:p>
    <w:p>
      <w:pPr>
        <w:spacing w:line="360" w:lineRule="auto"/>
        <w:ind w:firstLine="2222" w:firstLineChars="1010"/>
        <w:rPr>
          <w:rFonts w:hint="eastAsia"/>
          <w:bCs/>
          <w:color w:val="auto"/>
          <w:sz w:val="22"/>
          <w:szCs w:val="28"/>
          <w:highlight w:val="none"/>
          <w:u w:val="single"/>
        </w:rPr>
      </w:pPr>
      <w:r>
        <w:rPr>
          <w:rFonts w:hint="eastAsia"/>
          <w:bCs/>
          <w:color w:val="auto"/>
          <w:sz w:val="22"/>
          <w:szCs w:val="28"/>
          <w:highlight w:val="none"/>
        </w:rPr>
        <w:t>单位：</w:t>
      </w:r>
      <w:r>
        <w:rPr>
          <w:rFonts w:hint="eastAsia"/>
          <w:bCs/>
          <w:color w:val="auto"/>
          <w:sz w:val="22"/>
          <w:szCs w:val="28"/>
          <w:highlight w:val="none"/>
          <w:u w:val="single"/>
        </w:rPr>
        <w:t xml:space="preserve">                                       </w:t>
      </w:r>
    </w:p>
    <w:p>
      <w:pPr>
        <w:spacing w:line="360" w:lineRule="auto"/>
        <w:ind w:firstLine="2200" w:firstLineChars="1000"/>
        <w:rPr>
          <w:rFonts w:hint="eastAsia"/>
          <w:color w:val="auto"/>
          <w:sz w:val="22"/>
          <w:szCs w:val="28"/>
          <w:highlight w:val="none"/>
        </w:rPr>
      </w:pPr>
      <w:r>
        <w:rPr>
          <w:rFonts w:hint="eastAsia"/>
          <w:color w:val="auto"/>
          <w:sz w:val="22"/>
          <w:szCs w:val="28"/>
          <w:highlight w:val="none"/>
        </w:rPr>
        <w:t>日期：</w:t>
      </w:r>
      <w:r>
        <w:rPr>
          <w:rFonts w:hint="eastAsia"/>
          <w:color w:val="auto"/>
          <w:sz w:val="22"/>
          <w:szCs w:val="28"/>
          <w:highlight w:val="none"/>
          <w:u w:val="single"/>
        </w:rPr>
        <w:t xml:space="preserve">           </w:t>
      </w:r>
      <w:r>
        <w:rPr>
          <w:color w:val="auto"/>
          <w:sz w:val="22"/>
          <w:szCs w:val="28"/>
          <w:highlight w:val="none"/>
          <w:u w:val="single"/>
        </w:rPr>
        <w:t xml:space="preserve">  </w:t>
      </w:r>
      <w:r>
        <w:rPr>
          <w:rFonts w:hint="eastAsia"/>
          <w:color w:val="auto"/>
          <w:sz w:val="22"/>
          <w:szCs w:val="28"/>
          <w:highlight w:val="none"/>
        </w:rPr>
        <w:t>年</w:t>
      </w:r>
      <w:r>
        <w:rPr>
          <w:rFonts w:hint="eastAsia"/>
          <w:color w:val="auto"/>
          <w:sz w:val="22"/>
          <w:szCs w:val="28"/>
          <w:highlight w:val="none"/>
          <w:u w:val="single"/>
        </w:rPr>
        <w:t xml:space="preserve">          </w:t>
      </w:r>
      <w:r>
        <w:rPr>
          <w:color w:val="auto"/>
          <w:sz w:val="22"/>
          <w:szCs w:val="28"/>
          <w:highlight w:val="none"/>
          <w:u w:val="single"/>
        </w:rPr>
        <w:t xml:space="preserve"> </w:t>
      </w:r>
      <w:r>
        <w:rPr>
          <w:rFonts w:hint="eastAsia"/>
          <w:color w:val="auto"/>
          <w:sz w:val="22"/>
          <w:szCs w:val="28"/>
          <w:highlight w:val="none"/>
        </w:rPr>
        <w:t>月</w:t>
      </w:r>
      <w:r>
        <w:rPr>
          <w:rFonts w:hint="eastAsia"/>
          <w:color w:val="auto"/>
          <w:sz w:val="22"/>
          <w:szCs w:val="28"/>
          <w:highlight w:val="none"/>
          <w:u w:val="single"/>
        </w:rPr>
        <w:t xml:space="preserve">        </w:t>
      </w:r>
      <w:r>
        <w:rPr>
          <w:color w:val="auto"/>
          <w:sz w:val="22"/>
          <w:szCs w:val="28"/>
          <w:highlight w:val="none"/>
          <w:u w:val="single"/>
        </w:rPr>
        <w:t xml:space="preserve"> </w:t>
      </w:r>
      <w:r>
        <w:rPr>
          <w:rFonts w:hint="eastAsia"/>
          <w:color w:val="auto"/>
          <w:sz w:val="22"/>
          <w:szCs w:val="28"/>
          <w:highlight w:val="none"/>
        </w:rPr>
        <w:t>日</w:t>
      </w:r>
    </w:p>
    <w:p>
      <w:pPr>
        <w:ind w:firstLine="531" w:firstLineChars="253"/>
        <w:jc w:val="left"/>
        <w:rPr>
          <w:rFonts w:hint="eastAsia" w:ascii="宋体" w:hAnsi="宋体"/>
          <w:color w:val="auto"/>
          <w:highlight w:val="none"/>
        </w:rPr>
      </w:pPr>
      <w:r>
        <w:rPr>
          <w:rFonts w:hint="eastAsia" w:ascii="宋体" w:hAnsi="宋体"/>
          <w:bCs/>
          <w:color w:val="auto"/>
          <w:szCs w:val="28"/>
          <w:highlight w:val="none"/>
          <w:u w:val="single"/>
        </w:rPr>
        <w:br w:type="page"/>
      </w:r>
      <w:r>
        <w:rPr>
          <w:rFonts w:hint="eastAsia" w:ascii="宋体" w:hAnsi="宋体"/>
          <w:bCs/>
          <w:color w:val="auto"/>
          <w:szCs w:val="28"/>
          <w:highlight w:val="none"/>
          <w:u w:val="single"/>
        </w:rPr>
        <w:t xml:space="preserve">               （招标人名称）</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b/>
          <w:color w:val="auto"/>
          <w:szCs w:val="28"/>
          <w:highlight w:val="none"/>
          <w:u w:val="single"/>
        </w:rPr>
        <w:t xml:space="preserve">                </w:t>
      </w:r>
      <w:r>
        <w:rPr>
          <w:rFonts w:hint="eastAsia" w:ascii="宋体" w:hAnsi="宋体"/>
          <w:bCs/>
          <w:color w:val="auto"/>
          <w:szCs w:val="28"/>
          <w:highlight w:val="none"/>
          <w:u w:val="single"/>
        </w:rPr>
        <w:t>（项目名称）</w:t>
      </w:r>
      <w:r>
        <w:rPr>
          <w:rFonts w:hint="eastAsia" w:ascii="宋体" w:hAnsi="宋体"/>
          <w:b/>
          <w:color w:val="auto"/>
          <w:szCs w:val="28"/>
          <w:highlight w:val="none"/>
          <w:u w:val="single"/>
        </w:rPr>
        <w:t xml:space="preserve">  </w:t>
      </w:r>
      <w:r>
        <w:rPr>
          <w:rFonts w:hint="eastAsia" w:ascii="宋体" w:hAnsi="宋体"/>
          <w:color w:val="auto"/>
          <w:highlight w:val="none"/>
        </w:rPr>
        <w:t>项目，按照法定程序，目前招标工作进入开标阶段，并邀请了有关监督人员及有关工作人员参加会议，现将开标过程摘要记录如下：</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宋体" w:hAnsi="宋体"/>
          <w:b/>
          <w:color w:val="auto"/>
          <w:sz w:val="22"/>
          <w:highlight w:val="none"/>
        </w:rPr>
      </w:pPr>
      <w:r>
        <w:rPr>
          <w:rFonts w:hint="eastAsia" w:ascii="宋体" w:hAnsi="宋体"/>
          <w:b/>
          <w:color w:val="auto"/>
          <w:sz w:val="22"/>
          <w:highlight w:val="none"/>
        </w:rPr>
        <w:t>开标前的前期工作基本情况</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招标人名称：</w:t>
      </w:r>
      <w:r>
        <w:rPr>
          <w:rFonts w:hint="eastAsia" w:ascii="宋体" w:hAnsi="宋体"/>
          <w:color w:val="auto"/>
          <w:szCs w:val="28"/>
          <w:highlight w:val="none"/>
          <w:u w:val="singl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招标代理机构名称：</w:t>
      </w:r>
      <w:r>
        <w:rPr>
          <w:rFonts w:hint="eastAsia" w:ascii="宋体" w:hAnsi="宋体"/>
          <w:bCs/>
          <w:color w:val="auto"/>
          <w:szCs w:val="28"/>
          <w:highlight w:val="none"/>
          <w:u w:val="singl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right="-231" w:rightChars="-110"/>
        <w:textAlignment w:val="auto"/>
        <w:rPr>
          <w:rFonts w:hint="eastAsia" w:ascii="宋体" w:hAnsi="宋体"/>
          <w:color w:val="auto"/>
          <w:highlight w:val="none"/>
        </w:rPr>
      </w:pPr>
      <w:r>
        <w:rPr>
          <w:rFonts w:hint="eastAsia" w:ascii="宋体" w:hAnsi="宋体"/>
          <w:color w:val="auto"/>
          <w:highlight w:val="none"/>
        </w:rPr>
        <w:t>招标项目名称：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招标范围</w:t>
      </w:r>
      <w:r>
        <w:rPr>
          <w:rFonts w:hint="eastAsia" w:ascii="宋体" w:hAnsi="宋体"/>
          <w:color w:val="auto"/>
          <w:highlight w:val="none"/>
          <w:lang w:eastAsia="zh-CN"/>
        </w:rPr>
        <w:t>：</w:t>
      </w:r>
      <w:r>
        <w:rPr>
          <w:rFonts w:hint="eastAsia" w:ascii="宋体" w:hAnsi="宋体"/>
          <w:color w:val="auto"/>
          <w:highlight w:val="none"/>
        </w:rPr>
        <w:t>包括</w:t>
      </w:r>
      <w:r>
        <w:rPr>
          <w:rFonts w:hint="eastAsia" w:ascii="宋体" w:hAnsi="宋体"/>
          <w:color w:val="auto"/>
          <w:highlight w:val="none"/>
          <w:u w:val="single"/>
        </w:rPr>
        <w:t xml:space="preserve">                                       </w:t>
      </w:r>
      <w:r>
        <w:rPr>
          <w:rFonts w:hint="eastAsia" w:ascii="宋体" w:hAnsi="宋体"/>
          <w:color w:val="auto"/>
          <w:highlight w:val="none"/>
        </w:rPr>
        <w:t>内容全部招标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招标方式</w:t>
      </w:r>
      <w:r>
        <w:rPr>
          <w:rFonts w:hint="eastAsia" w:ascii="宋体" w:hAnsi="宋体"/>
          <w:color w:val="auto"/>
          <w:highlight w:val="none"/>
          <w:lang w:eastAsia="zh-CN"/>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（公开或邀请）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招标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招标组织形式</w:t>
      </w:r>
      <w:r>
        <w:rPr>
          <w:rFonts w:hint="eastAsia" w:ascii="宋体" w:hAnsi="宋体"/>
          <w:color w:val="auto"/>
          <w:highlight w:val="none"/>
          <w:lang w:eastAsia="zh-CN"/>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（委托或自行） </w:t>
      </w:r>
      <w:r>
        <w:rPr>
          <w:rFonts w:hint="eastAsia" w:ascii="宋体" w:hAnsi="宋体"/>
          <w:color w:val="auto"/>
          <w:highlight w:val="none"/>
        </w:rPr>
        <w:t>招标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发（送）招标公告（投标邀请书）时间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keepNext w:val="0"/>
        <w:keepLines w:val="0"/>
        <w:pageBreakBefore w:val="0"/>
        <w:widowControl w:val="0"/>
        <w:numPr>
          <w:ilvl w:val="0"/>
          <w:numId w:val="2"/>
        </w:numPr>
        <w:tabs>
          <w:tab w:val="left" w:pos="420"/>
          <w:tab w:val="left" w:pos="567"/>
        </w:tabs>
        <w:kinsoku/>
        <w:wordWrap/>
        <w:overflowPunct/>
        <w:topLinePunct w:val="0"/>
        <w:autoSpaceDE/>
        <w:autoSpaceDN/>
        <w:bidi w:val="0"/>
        <w:adjustRightInd/>
        <w:snapToGrid/>
        <w:spacing w:line="300" w:lineRule="exact"/>
        <w:jc w:val="left"/>
        <w:textAlignment w:val="auto"/>
        <w:rPr>
          <w:rFonts w:hint="eastAsia" w:ascii="宋体" w:hAnsi="宋体"/>
          <w:color w:val="auto"/>
          <w:highlight w:val="none"/>
        </w:rPr>
      </w:pPr>
      <w:r>
        <w:rPr>
          <w:rFonts w:hint="eastAsia" w:ascii="宋体" w:hAnsi="宋体"/>
          <w:color w:val="auto"/>
          <w:highlight w:val="none"/>
        </w:rPr>
        <w:t>发布招标文件时间：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时。（节假日除外）</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b/>
          <w:color w:val="auto"/>
          <w:sz w:val="22"/>
          <w:highlight w:val="none"/>
        </w:rPr>
      </w:pPr>
      <w:r>
        <w:rPr>
          <w:rFonts w:hint="eastAsia" w:ascii="宋体" w:hAnsi="宋体"/>
          <w:b/>
          <w:color w:val="auto"/>
          <w:sz w:val="22"/>
          <w:highlight w:val="none"/>
        </w:rPr>
        <w:t>二、开标情况</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开标地点：江门市公共资源交易中心</w:t>
      </w:r>
      <w:r>
        <w:rPr>
          <w:rFonts w:hint="eastAsia" w:ascii="宋体" w:hAnsi="宋体"/>
          <w:color w:val="auto"/>
          <w:highlight w:val="none"/>
          <w:u w:val="single"/>
        </w:rPr>
        <w:t xml:space="preserve">            </w:t>
      </w:r>
      <w:r>
        <w:rPr>
          <w:rFonts w:hint="eastAsia" w:ascii="宋体" w:hAnsi="宋体"/>
          <w:color w:val="auto"/>
          <w:highlight w:val="none"/>
        </w:rPr>
        <w:t>室。</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开标主持人姓名：</w:t>
      </w:r>
      <w:r>
        <w:rPr>
          <w:rFonts w:hint="eastAsia" w:ascii="宋体" w:hAnsi="宋体"/>
          <w:color w:val="auto"/>
          <w:highlight w:val="none"/>
          <w:u w:val="single"/>
        </w:rPr>
        <w:t xml:space="preserve">             </w:t>
      </w:r>
      <w:r>
        <w:rPr>
          <w:rFonts w:hint="eastAsia" w:ascii="宋体" w:hAnsi="宋体"/>
          <w:color w:val="auto"/>
          <w:highlight w:val="none"/>
        </w:rPr>
        <w:t>单位：</w:t>
      </w:r>
      <w:r>
        <w:rPr>
          <w:rFonts w:hint="eastAsia" w:ascii="宋体" w:hAnsi="宋体"/>
          <w:color w:val="auto"/>
          <w:highlight w:val="none"/>
          <w:u w:val="single"/>
        </w:rPr>
        <w:t xml:space="preserve">                              </w:t>
      </w:r>
      <w:r>
        <w:rPr>
          <w:rFonts w:hint="eastAsia" w:ascii="宋体" w:hAnsi="宋体"/>
          <w:color w:val="auto"/>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开标记录人姓名：</w:t>
      </w:r>
      <w:r>
        <w:rPr>
          <w:rFonts w:hint="eastAsia" w:ascii="宋体" w:hAnsi="宋体"/>
          <w:color w:val="auto"/>
          <w:highlight w:val="none"/>
          <w:u w:val="single"/>
        </w:rPr>
        <w:t xml:space="preserve">             </w:t>
      </w:r>
      <w:r>
        <w:rPr>
          <w:rFonts w:hint="eastAsia" w:ascii="宋体" w:hAnsi="宋体"/>
          <w:color w:val="auto"/>
          <w:highlight w:val="none"/>
        </w:rPr>
        <w:t>单位：</w:t>
      </w:r>
      <w:r>
        <w:rPr>
          <w:rFonts w:hint="eastAsia" w:ascii="宋体" w:hAnsi="宋体"/>
          <w:color w:val="auto"/>
          <w:highlight w:val="none"/>
          <w:u w:val="single"/>
        </w:rPr>
        <w:t xml:space="preserve">                              </w:t>
      </w:r>
      <w:r>
        <w:rPr>
          <w:rFonts w:hint="eastAsia" w:ascii="宋体" w:hAnsi="宋体"/>
          <w:color w:val="auto"/>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参加开标的投标人签</w:t>
      </w:r>
      <w:r>
        <w:rPr>
          <w:rFonts w:hint="eastAsia" w:ascii="宋体" w:hAnsi="宋体"/>
          <w:color w:val="auto"/>
          <w:highlight w:val="none"/>
          <w:lang w:eastAsia="zh-CN"/>
        </w:rPr>
        <w:t>名</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4116"/>
        <w:gridCol w:w="1785"/>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序号</w:t>
            </w:r>
          </w:p>
        </w:tc>
        <w:tc>
          <w:tcPr>
            <w:tcW w:w="41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工作单位</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姓名（签</w:t>
            </w:r>
            <w:r>
              <w:rPr>
                <w:rFonts w:hint="eastAsia" w:ascii="宋体" w:hAnsi="宋体"/>
                <w:color w:val="auto"/>
                <w:highlight w:val="none"/>
                <w:lang w:eastAsia="zh-CN"/>
              </w:rPr>
              <w:t>名</w:t>
            </w:r>
            <w:r>
              <w:rPr>
                <w:rFonts w:hint="eastAsia" w:ascii="宋体" w:hAnsi="宋体"/>
                <w:color w:val="auto"/>
                <w:highlight w:val="none"/>
              </w:rPr>
              <w:t>）</w:t>
            </w: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41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2399"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投标人不按规定传输递交投标文件的原因及处理情况记录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0"/>
        <w:gridCol w:w="3950"/>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投标人名称</w:t>
            </w:r>
          </w:p>
        </w:tc>
        <w:tc>
          <w:tcPr>
            <w:tcW w:w="3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原因及处理情况</w:t>
            </w:r>
          </w:p>
        </w:tc>
        <w:tc>
          <w:tcPr>
            <w:tcW w:w="23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3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23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经检查除下列投标人的投标文件解密不符合要求外，其余投标人的投标文件加解密均完好且符合要求。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378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55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color w:val="auto"/>
                <w:highlight w:val="none"/>
              </w:rPr>
              <w:t>投标文件的</w:t>
            </w:r>
            <w:r>
              <w:rPr>
                <w:rFonts w:hint="eastAsia" w:ascii="宋体"/>
                <w:color w:val="auto"/>
                <w:szCs w:val="28"/>
                <w:highlight w:val="none"/>
              </w:rPr>
              <w:t>解密</w:t>
            </w:r>
            <w:r>
              <w:rPr>
                <w:rFonts w:hint="eastAsia" w:ascii="宋体"/>
                <w:color w:val="auto"/>
                <w:highlight w:val="none"/>
              </w:rPr>
              <w:t>不符合要求的投标人名单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投标人名称</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color w:val="auto"/>
                <w:szCs w:val="28"/>
                <w:highlight w:val="none"/>
              </w:rPr>
              <w:t>解密</w:t>
            </w:r>
            <w:r>
              <w:rPr>
                <w:rFonts w:hint="eastAsia" w:ascii="宋体" w:hAnsi="宋体"/>
                <w:color w:val="auto"/>
                <w:highlight w:val="none"/>
              </w:rPr>
              <w:t>不符合要求的原因及处理</w:t>
            </w:r>
          </w:p>
        </w:tc>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8"/>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投标文件（编制、打包加密或者上传）机器特征码一致的投标人列表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68"/>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r>
              <w:rPr>
                <w:rFonts w:hint="eastAsia" w:ascii="宋体"/>
                <w:color w:val="auto"/>
                <w:highlight w:val="none"/>
              </w:rPr>
              <w:t>序号</w:t>
            </w:r>
          </w:p>
        </w:tc>
        <w:tc>
          <w:tcPr>
            <w:tcW w:w="4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r>
              <w:rPr>
                <w:rFonts w:hint="eastAsia" w:ascii="宋体"/>
                <w:color w:val="auto"/>
                <w:highlight w:val="none"/>
              </w:rPr>
              <w:t>投标人名称</w:t>
            </w:r>
          </w:p>
        </w:tc>
        <w:tc>
          <w:tcPr>
            <w:tcW w:w="35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r>
              <w:rPr>
                <w:rFonts w:hint="eastAsia" w:asci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p>
        </w:tc>
        <w:tc>
          <w:tcPr>
            <w:tcW w:w="4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p>
        </w:tc>
        <w:tc>
          <w:tcPr>
            <w:tcW w:w="35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olor w:val="auto"/>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诚信优先选取入围投标人名单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298"/>
        <w:gridCol w:w="3565"/>
        <w:gridCol w:w="1295"/>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选取号码</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投标人名称</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信用等级</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3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推荐入围委员会推荐直接进入评标环节的正式投标人名单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宋体" w:hAnsi="宋体"/>
          <w:color w:val="auto"/>
          <w:highlight w:val="none"/>
        </w:rPr>
      </w:pPr>
      <w:r>
        <w:rPr>
          <w:rFonts w:hint="eastAsia" w:ascii="宋体" w:hAnsi="宋体"/>
          <w:color w:val="auto"/>
          <w:highlight w:val="none"/>
        </w:rPr>
        <w:t>确定有</w:t>
      </w:r>
      <w:r>
        <w:rPr>
          <w:rFonts w:ascii="宋体" w:hAnsi="宋体"/>
          <w:color w:val="auto"/>
          <w:highlight w:val="none"/>
        </w:rPr>
        <w:t>关评标参数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2693"/>
        <w:gridCol w:w="212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6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合理</w:t>
            </w:r>
            <w:r>
              <w:rPr>
                <w:rFonts w:ascii="宋体" w:hAnsi="宋体"/>
                <w:color w:val="auto"/>
                <w:sz w:val="20"/>
                <w:highlight w:val="none"/>
              </w:rPr>
              <w:t>报价下浮率</w:t>
            </w:r>
            <w:r>
              <w:rPr>
                <w:rFonts w:hint="eastAsia" w:ascii="宋体" w:hAnsi="宋体"/>
                <w:color w:val="auto"/>
                <w:sz w:val="20"/>
                <w:highlight w:val="none"/>
              </w:rPr>
              <w:t>上</w:t>
            </w:r>
            <w:r>
              <w:rPr>
                <w:rFonts w:ascii="宋体" w:hAnsi="宋体"/>
                <w:color w:val="auto"/>
                <w:sz w:val="20"/>
                <w:highlight w:val="none"/>
              </w:rPr>
              <w:t>限</w:t>
            </w:r>
            <w:r>
              <w:rPr>
                <w:rFonts w:hint="eastAsia" w:ascii="宋体" w:hAnsi="宋体"/>
                <w:color w:val="auto"/>
                <w:sz w:val="20"/>
                <w:highlight w:val="none"/>
              </w:rPr>
              <w:t>值</w:t>
            </w:r>
          </w:p>
        </w:tc>
        <w:tc>
          <w:tcPr>
            <w:tcW w:w="26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合理</w:t>
            </w:r>
            <w:r>
              <w:rPr>
                <w:rFonts w:ascii="宋体" w:hAnsi="宋体"/>
                <w:color w:val="auto"/>
                <w:sz w:val="20"/>
                <w:highlight w:val="none"/>
              </w:rPr>
              <w:t>报价下浮率</w:t>
            </w:r>
            <w:r>
              <w:rPr>
                <w:rFonts w:hint="eastAsia" w:ascii="宋体" w:hAnsi="宋体"/>
                <w:color w:val="auto"/>
                <w:sz w:val="20"/>
                <w:highlight w:val="none"/>
              </w:rPr>
              <w:t>下</w:t>
            </w:r>
            <w:r>
              <w:rPr>
                <w:rFonts w:ascii="宋体" w:hAnsi="宋体"/>
                <w:color w:val="auto"/>
                <w:sz w:val="20"/>
                <w:highlight w:val="none"/>
              </w:rPr>
              <w:t>限</w:t>
            </w:r>
            <w:r>
              <w:rPr>
                <w:rFonts w:hint="eastAsia" w:ascii="宋体" w:hAnsi="宋体"/>
                <w:color w:val="auto"/>
                <w:sz w:val="20"/>
                <w:highlight w:val="none"/>
              </w:rPr>
              <w:t>值</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K</w:t>
            </w:r>
            <w:r>
              <w:rPr>
                <w:rFonts w:ascii="宋体" w:hAnsi="宋体"/>
                <w:color w:val="auto"/>
                <w:sz w:val="20"/>
                <w:highlight w:val="none"/>
              </w:rPr>
              <w:t>值</w:t>
            </w:r>
          </w:p>
        </w:tc>
        <w:tc>
          <w:tcPr>
            <w:tcW w:w="2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信用</w:t>
            </w:r>
            <w:r>
              <w:rPr>
                <w:rFonts w:ascii="宋体" w:hAnsi="宋体"/>
                <w:color w:val="auto"/>
                <w:sz w:val="20"/>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26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2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投标人投标报价及质量、工期情况记录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96"/>
        <w:gridCol w:w="1440"/>
        <w:gridCol w:w="2931"/>
        <w:gridCol w:w="1454"/>
        <w:gridCol w:w="1409"/>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169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投标人名称</w:t>
            </w:r>
          </w:p>
        </w:tc>
        <w:tc>
          <w:tcPr>
            <w:tcW w:w="1440"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投标报价（元）</w:t>
            </w:r>
          </w:p>
        </w:tc>
        <w:tc>
          <w:tcPr>
            <w:tcW w:w="293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Cs w:val="21"/>
                <w:highlight w:val="none"/>
                <w:lang w:eastAsia="zh-CN"/>
              </w:rPr>
              <w:t>安全生产</w:t>
            </w:r>
            <w:r>
              <w:rPr>
                <w:rFonts w:hint="eastAsia" w:ascii="宋体" w:hAnsi="宋体"/>
                <w:color w:val="auto"/>
                <w:szCs w:val="21"/>
                <w:highlight w:val="none"/>
              </w:rPr>
              <w:t>措施费（元）</w:t>
            </w:r>
          </w:p>
        </w:tc>
        <w:tc>
          <w:tcPr>
            <w:tcW w:w="145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工期（日历天）</w:t>
            </w:r>
          </w:p>
        </w:tc>
        <w:tc>
          <w:tcPr>
            <w:tcW w:w="140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自报质量等级</w:t>
            </w:r>
          </w:p>
        </w:tc>
        <w:tc>
          <w:tcPr>
            <w:tcW w:w="60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r>
              <w:rPr>
                <w:rFonts w:hint="eastAsia" w:ascii="宋体" w:hAnsi="宋体"/>
                <w:color w:val="auto"/>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29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14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 w:val="20"/>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rPr>
      </w:pPr>
      <w:r>
        <w:rPr>
          <w:rFonts w:hint="eastAsia" w:ascii="宋体" w:hAnsi="宋体"/>
          <w:color w:val="auto"/>
          <w:highlight w:val="none"/>
        </w:rPr>
        <w:t>参加开标的招标人及其监督小组、招标代理、交易中心见证以及其他工作人员签</w:t>
      </w:r>
      <w:r>
        <w:rPr>
          <w:rFonts w:hint="eastAsia" w:ascii="宋体" w:hAnsi="宋体"/>
          <w:color w:val="auto"/>
          <w:highlight w:val="none"/>
          <w:lang w:eastAsia="zh-CN"/>
        </w:rPr>
        <w:t>名</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3570"/>
        <w:gridCol w:w="157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姓名（签</w:t>
            </w:r>
            <w:r>
              <w:rPr>
                <w:rFonts w:hint="eastAsia" w:ascii="宋体" w:hAnsi="宋体"/>
                <w:color w:val="auto"/>
                <w:highlight w:val="none"/>
                <w:lang w:eastAsia="zh-CN"/>
              </w:rPr>
              <w:t>名</w:t>
            </w:r>
            <w:r>
              <w:rPr>
                <w:rFonts w:hint="eastAsia" w:ascii="宋体" w:hAnsi="宋体"/>
                <w:color w:val="auto"/>
                <w:highlight w:val="none"/>
              </w:rPr>
              <w:t>）</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工作单位</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职务</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r>
              <w:rPr>
                <w:rFonts w:hint="eastAsia"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highlight w:val="none"/>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eastAsia" w:ascii="宋体" w:hAnsi="宋体"/>
          <w:color w:val="auto"/>
          <w:highlight w:val="none"/>
          <w:u w:val="single"/>
        </w:rPr>
      </w:pPr>
      <w:r>
        <w:rPr>
          <w:rFonts w:hint="eastAsia" w:ascii="宋体" w:hAnsi="宋体"/>
          <w:color w:val="auto"/>
          <w:highlight w:val="none"/>
        </w:rPr>
        <w:t>其他必要事项记录：</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pPr>
        <w:ind w:left="1702" w:right="-353" w:rightChars="-168" w:hanging="1702" w:hangingChars="471"/>
        <w:rPr>
          <w:rFonts w:hint="eastAsia"/>
          <w:b/>
          <w:color w:val="auto"/>
          <w:sz w:val="36"/>
          <w:szCs w:val="36"/>
          <w:highlight w:val="none"/>
        </w:rPr>
      </w:pPr>
    </w:p>
    <w:p>
      <w:pPr>
        <w:ind w:left="1702" w:right="-353" w:rightChars="-168" w:hanging="1702" w:hangingChars="471"/>
        <w:rPr>
          <w:b/>
          <w:color w:val="auto"/>
          <w:sz w:val="36"/>
          <w:szCs w:val="36"/>
          <w:highlight w:val="none"/>
        </w:rPr>
      </w:pPr>
      <w:r>
        <w:rPr>
          <w:b/>
          <w:color w:val="auto"/>
          <w:sz w:val="36"/>
          <w:szCs w:val="36"/>
          <w:highlight w:val="none"/>
        </w:rPr>
        <w:br w:type="page"/>
      </w:r>
    </w:p>
    <w:p>
      <w:pPr>
        <w:ind w:left="1702" w:right="-353" w:rightChars="-168" w:hanging="1702" w:hangingChars="471"/>
        <w:rPr>
          <w:rFonts w:hint="eastAsia" w:ascii="宋体" w:hAnsi="宋体"/>
          <w:b/>
          <w:color w:val="auto"/>
          <w:sz w:val="36"/>
          <w:szCs w:val="36"/>
          <w:highlight w:val="none"/>
          <w:u w:val="single"/>
        </w:rPr>
      </w:pPr>
      <w:r>
        <w:rPr>
          <w:rFonts w:hint="eastAsia"/>
          <w:b/>
          <w:color w:val="auto"/>
          <w:sz w:val="36"/>
          <w:szCs w:val="36"/>
          <w:highlight w:val="none"/>
        </w:rPr>
        <w:t>项目名称</w:t>
      </w:r>
      <w:r>
        <w:rPr>
          <w:rFonts w:hint="eastAsia"/>
          <w:b/>
          <w:bCs/>
          <w:color w:val="auto"/>
          <w:sz w:val="36"/>
          <w:szCs w:val="36"/>
          <w:highlight w:val="none"/>
        </w:rPr>
        <w:t>：</w:t>
      </w:r>
      <w:r>
        <w:rPr>
          <w:rFonts w:hint="eastAsia" w:ascii="宋体" w:hAnsi="宋体"/>
          <w:b/>
          <w:bCs/>
          <w:color w:val="auto"/>
          <w:sz w:val="36"/>
          <w:szCs w:val="36"/>
          <w:highlight w:val="none"/>
          <w:u w:val="single"/>
        </w:rPr>
        <w:t xml:space="preserve">                                         </w:t>
      </w:r>
    </w:p>
    <w:p>
      <w:pPr>
        <w:ind w:left="1743" w:right="-353" w:rightChars="-168" w:hanging="1743"/>
        <w:jc w:val="center"/>
        <w:rPr>
          <w:rFonts w:hint="eastAsia" w:ascii="宋体" w:hAnsi="宋体"/>
          <w:b/>
          <w:color w:val="auto"/>
          <w:sz w:val="32"/>
          <w:szCs w:val="32"/>
          <w:highlight w:val="none"/>
          <w:u w:val="single"/>
        </w:rPr>
      </w:pPr>
    </w:p>
    <w:p>
      <w:pPr>
        <w:pStyle w:val="41"/>
        <w:rPr>
          <w:rFonts w:hint="eastAsia" w:ascii="宋体" w:hAnsi="宋体"/>
          <w:b/>
          <w:color w:val="auto"/>
          <w:sz w:val="32"/>
          <w:szCs w:val="32"/>
          <w:highlight w:val="none"/>
          <w:u w:val="single"/>
        </w:rPr>
      </w:pPr>
    </w:p>
    <w:p>
      <w:pPr>
        <w:pStyle w:val="41"/>
        <w:rPr>
          <w:rFonts w:hint="eastAsia" w:ascii="宋体" w:hAnsi="宋体"/>
          <w:b/>
          <w:color w:val="auto"/>
          <w:sz w:val="32"/>
          <w:szCs w:val="32"/>
          <w:highlight w:val="none"/>
          <w:u w:val="single"/>
        </w:rPr>
      </w:pPr>
    </w:p>
    <w:p>
      <w:pPr>
        <w:ind w:left="1743" w:right="-353" w:rightChars="-168" w:hanging="1743"/>
        <w:jc w:val="center"/>
        <w:rPr>
          <w:rFonts w:hint="eastAsia"/>
          <w:b/>
          <w:color w:val="auto"/>
          <w:spacing w:val="120"/>
          <w:sz w:val="36"/>
          <w:szCs w:val="36"/>
          <w:highlight w:val="none"/>
        </w:rPr>
      </w:pPr>
    </w:p>
    <w:p>
      <w:pPr>
        <w:ind w:left="1743" w:right="-353" w:rightChars="-168" w:hanging="1743"/>
        <w:jc w:val="center"/>
        <w:rPr>
          <w:rFonts w:hint="eastAsia"/>
          <w:b/>
          <w:color w:val="auto"/>
          <w:spacing w:val="120"/>
          <w:sz w:val="36"/>
          <w:szCs w:val="36"/>
          <w:highlight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黑体" w:hAnsi="Times New Roman" w:eastAsia="黑体" w:cs="Times New Roman"/>
          <w:b/>
          <w:color w:val="auto"/>
          <w:sz w:val="72"/>
          <w:highlight w:val="none"/>
        </w:rPr>
      </w:pPr>
      <w:r>
        <w:rPr>
          <w:rFonts w:hint="eastAsia" w:ascii="黑体" w:hAnsi="Times New Roman" w:eastAsia="黑体" w:cs="Times New Roman"/>
          <w:b/>
          <w:color w:val="auto"/>
          <w:sz w:val="72"/>
          <w:highlight w:val="none"/>
        </w:rPr>
        <w:t>评标</w:t>
      </w:r>
      <w:r>
        <w:rPr>
          <w:rFonts w:hint="eastAsia" w:ascii="黑体" w:hAnsi="Times New Roman" w:eastAsia="黑体" w:cs="Times New Roman"/>
          <w:b/>
          <w:color w:val="auto"/>
          <w:sz w:val="72"/>
          <w:highlight w:val="none"/>
          <w:lang w:val="en-US" w:eastAsia="zh-CN"/>
        </w:rPr>
        <w:t>/定</w:t>
      </w:r>
      <w:r>
        <w:rPr>
          <w:rFonts w:hint="eastAsia" w:ascii="黑体" w:hAnsi="Times New Roman" w:eastAsia="黑体" w:cs="Times New Roman"/>
          <w:b/>
          <w:color w:val="auto"/>
          <w:sz w:val="72"/>
          <w:highlight w:val="none"/>
        </w:rPr>
        <w:t>标报告</w:t>
      </w:r>
    </w:p>
    <w:p>
      <w:pPr>
        <w:pStyle w:val="41"/>
        <w:ind w:left="0" w:leftChars="0" w:firstLine="0" w:firstLineChars="0"/>
        <w:jc w:val="center"/>
        <w:rPr>
          <w:rFonts w:hint="eastAsia" w:ascii="Times New Roman" w:hAnsi="Times New Roman" w:eastAsia="宋体" w:cs="Times New Roman"/>
          <w:color w:val="auto"/>
          <w:kern w:val="2"/>
          <w:sz w:val="36"/>
          <w:szCs w:val="24"/>
          <w:highlight w:val="none"/>
          <w:lang w:val="en-US" w:eastAsia="zh-CN" w:bidi="ar-SA"/>
        </w:rPr>
      </w:pPr>
      <w:r>
        <w:rPr>
          <w:rFonts w:hint="eastAsia" w:ascii="Times New Roman" w:hAnsi="Times New Roman" w:eastAsia="宋体" w:cs="Times New Roman"/>
          <w:color w:val="auto"/>
          <w:kern w:val="2"/>
          <w:sz w:val="36"/>
          <w:szCs w:val="24"/>
          <w:highlight w:val="none"/>
          <w:lang w:val="en-US" w:eastAsia="zh-CN" w:bidi="ar-SA"/>
        </w:rPr>
        <w:t>（参考格式）</w:t>
      </w:r>
    </w:p>
    <w:p>
      <w:pPr>
        <w:spacing w:before="100" w:beforeAutospacing="1" w:after="100" w:afterAutospacing="1" w:line="360" w:lineRule="auto"/>
        <w:jc w:val="left"/>
        <w:rPr>
          <w:rFonts w:hint="eastAsia"/>
          <w:color w:val="auto"/>
          <w:highlight w:val="none"/>
        </w:rPr>
      </w:pPr>
    </w:p>
    <w:p>
      <w:pPr>
        <w:spacing w:before="100" w:beforeAutospacing="1" w:after="100" w:afterAutospacing="1" w:line="360" w:lineRule="auto"/>
        <w:jc w:val="left"/>
        <w:rPr>
          <w:rFonts w:hint="eastAsia"/>
          <w:color w:val="auto"/>
          <w:highlight w:val="none"/>
        </w:rPr>
      </w:pPr>
    </w:p>
    <w:p>
      <w:pPr>
        <w:spacing w:before="100" w:beforeAutospacing="1" w:after="100" w:afterAutospacing="1" w:line="360" w:lineRule="auto"/>
        <w:ind w:firstLine="720" w:firstLineChars="200"/>
        <w:rPr>
          <w:rFonts w:hint="eastAsia"/>
          <w:color w:val="auto"/>
          <w:sz w:val="36"/>
          <w:highlight w:val="none"/>
        </w:rPr>
      </w:pPr>
      <w:r>
        <w:rPr>
          <w:color w:val="auto"/>
          <w:sz w:val="36"/>
          <w:highlight w:val="none"/>
        </w:rPr>
        <w:t>评标</w:t>
      </w:r>
      <w:r>
        <w:rPr>
          <w:rFonts w:hint="eastAsia"/>
          <w:color w:val="auto"/>
          <w:sz w:val="36"/>
          <w:highlight w:val="none"/>
          <w:lang w:val="en-US" w:eastAsia="zh-CN"/>
        </w:rPr>
        <w:t>/定标</w:t>
      </w:r>
      <w:r>
        <w:rPr>
          <w:color w:val="auto"/>
          <w:sz w:val="36"/>
          <w:highlight w:val="none"/>
        </w:rPr>
        <w:t>委员会</w:t>
      </w:r>
      <w:r>
        <w:rPr>
          <w:rFonts w:hint="eastAsia"/>
          <w:color w:val="auto"/>
          <w:sz w:val="36"/>
          <w:highlight w:val="none"/>
        </w:rPr>
        <w:t>组长</w:t>
      </w:r>
      <w:r>
        <w:rPr>
          <w:rFonts w:hint="eastAsia"/>
          <w:color w:val="auto"/>
          <w:sz w:val="36"/>
          <w:highlight w:val="none"/>
          <w:lang w:eastAsia="zh-CN"/>
        </w:rPr>
        <w:t>（</w:t>
      </w:r>
      <w:r>
        <w:rPr>
          <w:color w:val="auto"/>
          <w:sz w:val="36"/>
          <w:highlight w:val="none"/>
        </w:rPr>
        <w:t>签</w:t>
      </w:r>
      <w:r>
        <w:rPr>
          <w:rFonts w:hint="eastAsia"/>
          <w:color w:val="auto"/>
          <w:sz w:val="36"/>
          <w:highlight w:val="none"/>
          <w:lang w:eastAsia="zh-CN"/>
        </w:rPr>
        <w:t>名）</w:t>
      </w:r>
      <w:r>
        <w:rPr>
          <w:color w:val="auto"/>
          <w:sz w:val="36"/>
          <w:highlight w:val="none"/>
        </w:rPr>
        <w:t>：</w:t>
      </w:r>
    </w:p>
    <w:p>
      <w:pPr>
        <w:spacing w:before="100" w:beforeAutospacing="1" w:after="100" w:afterAutospacing="1" w:line="360" w:lineRule="auto"/>
        <w:rPr>
          <w:rFonts w:hint="eastAsia"/>
          <w:color w:val="auto"/>
          <w:sz w:val="36"/>
          <w:highlight w:val="none"/>
        </w:rPr>
      </w:pPr>
    </w:p>
    <w:p>
      <w:pPr>
        <w:spacing w:before="100" w:beforeAutospacing="1" w:after="100" w:afterAutospacing="1" w:line="360" w:lineRule="auto"/>
        <w:ind w:firstLine="720" w:firstLineChars="200"/>
        <w:rPr>
          <w:rFonts w:hint="eastAsia"/>
          <w:color w:val="auto"/>
          <w:sz w:val="36"/>
          <w:highlight w:val="none"/>
        </w:rPr>
      </w:pPr>
      <w:r>
        <w:rPr>
          <w:color w:val="auto"/>
          <w:sz w:val="36"/>
          <w:highlight w:val="none"/>
        </w:rPr>
        <w:t>评标</w:t>
      </w:r>
      <w:r>
        <w:rPr>
          <w:rFonts w:hint="eastAsia"/>
          <w:color w:val="auto"/>
          <w:sz w:val="36"/>
          <w:highlight w:val="none"/>
          <w:lang w:val="en-US" w:eastAsia="zh-CN"/>
        </w:rPr>
        <w:t>/定标</w:t>
      </w:r>
      <w:r>
        <w:rPr>
          <w:color w:val="auto"/>
          <w:sz w:val="36"/>
          <w:highlight w:val="none"/>
        </w:rPr>
        <w:t>委员会成员</w:t>
      </w:r>
      <w:r>
        <w:rPr>
          <w:rFonts w:hint="eastAsia"/>
          <w:color w:val="auto"/>
          <w:sz w:val="36"/>
          <w:highlight w:val="none"/>
          <w:lang w:eastAsia="zh-CN"/>
        </w:rPr>
        <w:t>（</w:t>
      </w:r>
      <w:r>
        <w:rPr>
          <w:color w:val="auto"/>
          <w:sz w:val="36"/>
          <w:highlight w:val="none"/>
        </w:rPr>
        <w:t>签</w:t>
      </w:r>
      <w:r>
        <w:rPr>
          <w:rFonts w:hint="eastAsia"/>
          <w:color w:val="auto"/>
          <w:sz w:val="36"/>
          <w:highlight w:val="none"/>
          <w:lang w:eastAsia="zh-CN"/>
        </w:rPr>
        <w:t>名）</w:t>
      </w:r>
      <w:r>
        <w:rPr>
          <w:color w:val="auto"/>
          <w:sz w:val="36"/>
          <w:highlight w:val="none"/>
        </w:rPr>
        <w:t>：</w:t>
      </w:r>
    </w:p>
    <w:p>
      <w:pPr>
        <w:spacing w:before="100" w:beforeAutospacing="1" w:after="100" w:afterAutospacing="1" w:line="360" w:lineRule="auto"/>
        <w:ind w:firstLine="720" w:firstLineChars="200"/>
        <w:rPr>
          <w:rFonts w:hint="eastAsia"/>
          <w:color w:val="auto"/>
          <w:sz w:val="36"/>
          <w:highlight w:val="none"/>
        </w:rPr>
      </w:pPr>
    </w:p>
    <w:p>
      <w:pPr>
        <w:spacing w:before="100" w:beforeAutospacing="1" w:after="100" w:afterAutospacing="1" w:line="360" w:lineRule="auto"/>
        <w:ind w:firstLine="720" w:firstLineChars="200"/>
        <w:rPr>
          <w:rFonts w:hint="eastAsia"/>
          <w:color w:val="auto"/>
          <w:sz w:val="36"/>
          <w:highlight w:val="none"/>
        </w:rPr>
      </w:pPr>
    </w:p>
    <w:p>
      <w:pPr>
        <w:spacing w:before="100" w:beforeAutospacing="1" w:after="100" w:afterAutospacing="1" w:line="360" w:lineRule="auto"/>
        <w:ind w:firstLine="720" w:firstLineChars="200"/>
        <w:rPr>
          <w:rFonts w:hint="eastAsia"/>
          <w:color w:val="auto"/>
          <w:sz w:val="36"/>
          <w:highlight w:val="none"/>
        </w:rPr>
      </w:pPr>
    </w:p>
    <w:p>
      <w:pPr>
        <w:spacing w:before="100" w:beforeAutospacing="1" w:after="100" w:afterAutospacing="1" w:line="360" w:lineRule="auto"/>
        <w:jc w:val="center"/>
        <w:rPr>
          <w:rFonts w:hint="eastAsia"/>
          <w:b/>
          <w:bCs/>
          <w:color w:val="auto"/>
          <w:sz w:val="28"/>
          <w:szCs w:val="28"/>
          <w:highlight w:val="none"/>
        </w:rPr>
      </w:pPr>
      <w:r>
        <w:rPr>
          <w:rFonts w:hint="eastAsia"/>
          <w:color w:val="auto"/>
          <w:sz w:val="32"/>
          <w:szCs w:val="32"/>
          <w:highlight w:val="none"/>
        </w:rPr>
        <w:t>日期：</w:t>
      </w:r>
      <w:r>
        <w:rPr>
          <w:color w:val="auto"/>
          <w:sz w:val="32"/>
          <w:szCs w:val="32"/>
          <w:highlight w:val="none"/>
          <w:u w:val="single"/>
        </w:rPr>
        <w:t xml:space="preserve"> </w:t>
      </w:r>
      <w:r>
        <w:rPr>
          <w:rFonts w:hint="eastAsia"/>
          <w:color w:val="auto"/>
          <w:sz w:val="32"/>
          <w:szCs w:val="32"/>
          <w:highlight w:val="none"/>
          <w:u w:val="single"/>
        </w:rPr>
        <w:t xml:space="preserve">    </w:t>
      </w:r>
      <w:r>
        <w:rPr>
          <w:color w:val="auto"/>
          <w:sz w:val="32"/>
          <w:szCs w:val="32"/>
          <w:highlight w:val="none"/>
          <w:u w:val="single"/>
        </w:rPr>
        <w:t xml:space="preserve"> </w:t>
      </w:r>
      <w:r>
        <w:rPr>
          <w:color w:val="auto"/>
          <w:sz w:val="32"/>
          <w:szCs w:val="32"/>
          <w:highlight w:val="none"/>
        </w:rPr>
        <w:t>年</w:t>
      </w:r>
      <w:r>
        <w:rPr>
          <w:color w:val="auto"/>
          <w:sz w:val="32"/>
          <w:szCs w:val="32"/>
          <w:highlight w:val="none"/>
          <w:u w:val="single"/>
        </w:rPr>
        <w:t xml:space="preserve"> </w:t>
      </w:r>
      <w:r>
        <w:rPr>
          <w:rFonts w:hint="eastAsia"/>
          <w:color w:val="auto"/>
          <w:sz w:val="32"/>
          <w:szCs w:val="32"/>
          <w:highlight w:val="none"/>
          <w:u w:val="single"/>
        </w:rPr>
        <w:t xml:space="preserve">   </w:t>
      </w:r>
      <w:r>
        <w:rPr>
          <w:color w:val="auto"/>
          <w:sz w:val="32"/>
          <w:szCs w:val="32"/>
          <w:highlight w:val="none"/>
          <w:u w:val="single"/>
        </w:rPr>
        <w:t xml:space="preserve"> </w:t>
      </w:r>
      <w:r>
        <w:rPr>
          <w:color w:val="auto"/>
          <w:sz w:val="32"/>
          <w:szCs w:val="32"/>
          <w:highlight w:val="none"/>
        </w:rPr>
        <w:t>月</w:t>
      </w:r>
      <w:r>
        <w:rPr>
          <w:color w:val="auto"/>
          <w:sz w:val="32"/>
          <w:szCs w:val="32"/>
          <w:highlight w:val="none"/>
          <w:u w:val="single"/>
        </w:rPr>
        <w:t xml:space="preserve"> </w:t>
      </w:r>
      <w:r>
        <w:rPr>
          <w:rFonts w:hint="eastAsia"/>
          <w:color w:val="auto"/>
          <w:sz w:val="32"/>
          <w:szCs w:val="32"/>
          <w:highlight w:val="none"/>
          <w:u w:val="single"/>
        </w:rPr>
        <w:t xml:space="preserve">   </w:t>
      </w:r>
      <w:r>
        <w:rPr>
          <w:rFonts w:eastAsia="仿宋_GB2312"/>
          <w:color w:val="auto"/>
          <w:sz w:val="32"/>
          <w:szCs w:val="32"/>
          <w:highlight w:val="none"/>
          <w:u w:val="single"/>
        </w:rPr>
        <w:t xml:space="preserve"> </w:t>
      </w:r>
      <w:r>
        <w:rPr>
          <w:color w:val="auto"/>
          <w:sz w:val="32"/>
          <w:szCs w:val="32"/>
          <w:highlight w:val="none"/>
        </w:rPr>
        <w:t>日</w:t>
      </w:r>
      <w:r>
        <w:rPr>
          <w:rFonts w:eastAsia="仿宋_GB2312"/>
          <w:color w:val="auto"/>
          <w:sz w:val="32"/>
          <w:szCs w:val="32"/>
          <w:highlight w:val="none"/>
        </w:rPr>
        <w:t xml:space="preserve"> </w:t>
      </w:r>
      <w:r>
        <w:rPr>
          <w:rFonts w:hint="eastAsia"/>
          <w:b/>
          <w:bCs/>
          <w:color w:val="auto"/>
          <w:sz w:val="28"/>
          <w:szCs w:val="28"/>
          <w:highlight w:val="none"/>
        </w:rPr>
        <w:br w:type="page"/>
      </w:r>
      <w:r>
        <w:rPr>
          <w:rFonts w:hint="eastAsia"/>
          <w:b/>
          <w:bCs/>
          <w:color w:val="auto"/>
          <w:sz w:val="28"/>
          <w:szCs w:val="28"/>
          <w:highlight w:val="none"/>
        </w:rPr>
        <w:t>一、基本情况一</w:t>
      </w:r>
      <w:r>
        <w:rPr>
          <w:b/>
          <w:bCs/>
          <w:color w:val="auto"/>
          <w:sz w:val="28"/>
          <w:szCs w:val="28"/>
          <w:highlight w:val="none"/>
        </w:rPr>
        <w:t>览表</w:t>
      </w:r>
    </w:p>
    <w:tbl>
      <w:tblPr>
        <w:tblStyle w:val="42"/>
        <w:tblW w:w="9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2591"/>
        <w:gridCol w:w="2959"/>
        <w:gridCol w:w="1773"/>
        <w:gridCol w:w="2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工程名称</w:t>
            </w:r>
          </w:p>
        </w:tc>
        <w:tc>
          <w:tcPr>
            <w:tcW w:w="7129" w:type="dxa"/>
            <w:gridSpan w:val="3"/>
            <w:noWrap w:val="0"/>
            <w:tcMar>
              <w:left w:w="28" w:type="dxa"/>
              <w:right w:w="28" w:type="dxa"/>
            </w:tcMar>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招标人名称</w:t>
            </w:r>
          </w:p>
        </w:tc>
        <w:tc>
          <w:tcPr>
            <w:tcW w:w="7129" w:type="dxa"/>
            <w:gridSpan w:val="3"/>
            <w:noWrap w:val="0"/>
            <w:tcMar>
              <w:left w:w="28" w:type="dxa"/>
              <w:right w:w="28" w:type="dxa"/>
            </w:tcMar>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招标代理机构名称</w:t>
            </w:r>
          </w:p>
        </w:tc>
        <w:tc>
          <w:tcPr>
            <w:tcW w:w="7129" w:type="dxa"/>
            <w:gridSpan w:val="3"/>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招标方式</w:t>
            </w:r>
          </w:p>
        </w:tc>
        <w:tc>
          <w:tcPr>
            <w:tcW w:w="2959" w:type="dxa"/>
            <w:noWrap w:val="0"/>
            <w:tcMar>
              <w:left w:w="28" w:type="dxa"/>
              <w:right w:w="28" w:type="dxa"/>
            </w:tcMar>
            <w:vAlign w:val="center"/>
          </w:tcPr>
          <w:p>
            <w:pPr>
              <w:rPr>
                <w:rFonts w:hint="eastAsia" w:ascii="宋体" w:hAnsi="宋体"/>
                <w:color w:val="auto"/>
                <w:szCs w:val="21"/>
                <w:highlight w:val="none"/>
              </w:rPr>
            </w:pPr>
          </w:p>
        </w:tc>
        <w:tc>
          <w:tcPr>
            <w:tcW w:w="1773"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招标组织形式</w:t>
            </w:r>
          </w:p>
        </w:tc>
        <w:tc>
          <w:tcPr>
            <w:tcW w:w="2397" w:type="dxa"/>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递交投标文件时间</w:t>
            </w:r>
          </w:p>
        </w:tc>
        <w:tc>
          <w:tcPr>
            <w:tcW w:w="2959" w:type="dxa"/>
            <w:noWrap w:val="0"/>
            <w:tcMar>
              <w:left w:w="28" w:type="dxa"/>
              <w:right w:w="28" w:type="dxa"/>
            </w:tcMar>
            <w:vAlign w:val="center"/>
          </w:tcPr>
          <w:p>
            <w:pPr>
              <w:jc w:val="left"/>
              <w:rPr>
                <w:rFonts w:hint="eastAsia" w:ascii="宋体" w:hAnsi="宋体"/>
                <w:color w:val="auto"/>
                <w:szCs w:val="21"/>
                <w:highlight w:val="none"/>
              </w:rPr>
            </w:pPr>
          </w:p>
        </w:tc>
        <w:tc>
          <w:tcPr>
            <w:tcW w:w="1773"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递交地点</w:t>
            </w:r>
          </w:p>
        </w:tc>
        <w:tc>
          <w:tcPr>
            <w:tcW w:w="2397" w:type="dxa"/>
            <w:noWrap w:val="0"/>
            <w:tcMar>
              <w:left w:w="28" w:type="dxa"/>
              <w:right w:w="28" w:type="dxa"/>
            </w:tcMar>
            <w:vAlign w:val="center"/>
          </w:tcPr>
          <w:p>
            <w:pPr>
              <w:rPr>
                <w:rFonts w:hint="eastAsia" w:ascii="宋体" w:hAnsi="宋体"/>
                <w:color w:val="auto"/>
                <w:spacing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开标时间</w:t>
            </w:r>
          </w:p>
        </w:tc>
        <w:tc>
          <w:tcPr>
            <w:tcW w:w="2959" w:type="dxa"/>
            <w:noWrap w:val="0"/>
            <w:tcMar>
              <w:left w:w="28" w:type="dxa"/>
              <w:right w:w="28" w:type="dxa"/>
            </w:tcMar>
            <w:vAlign w:val="center"/>
          </w:tcPr>
          <w:p>
            <w:pPr>
              <w:jc w:val="left"/>
              <w:rPr>
                <w:rFonts w:hint="eastAsia" w:ascii="宋体" w:hAnsi="宋体"/>
                <w:color w:val="auto"/>
                <w:szCs w:val="21"/>
                <w:highlight w:val="none"/>
              </w:rPr>
            </w:pPr>
          </w:p>
        </w:tc>
        <w:tc>
          <w:tcPr>
            <w:tcW w:w="1773"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开标地点</w:t>
            </w:r>
          </w:p>
        </w:tc>
        <w:tc>
          <w:tcPr>
            <w:tcW w:w="2397" w:type="dxa"/>
            <w:noWrap w:val="0"/>
            <w:tcMar>
              <w:left w:w="28" w:type="dxa"/>
              <w:right w:w="28" w:type="dxa"/>
            </w:tcMar>
            <w:vAlign w:val="center"/>
          </w:tcPr>
          <w:p>
            <w:pPr>
              <w:rPr>
                <w:rFonts w:hint="eastAsia" w:ascii="宋体" w:hAnsi="宋体"/>
                <w:color w:val="auto"/>
                <w:spacing w:val="-26"/>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评标</w:t>
            </w:r>
            <w:r>
              <w:rPr>
                <w:rFonts w:hint="eastAsia" w:ascii="宋体" w:hAnsi="宋体"/>
                <w:color w:val="auto"/>
                <w:szCs w:val="21"/>
                <w:highlight w:val="none"/>
                <w:lang w:val="en-US" w:eastAsia="zh-CN"/>
              </w:rPr>
              <w:t>/定标</w:t>
            </w:r>
            <w:r>
              <w:rPr>
                <w:rFonts w:hint="eastAsia" w:ascii="宋体" w:hAnsi="宋体"/>
                <w:color w:val="auto"/>
                <w:szCs w:val="21"/>
                <w:highlight w:val="none"/>
              </w:rPr>
              <w:t>时间</w:t>
            </w:r>
          </w:p>
        </w:tc>
        <w:tc>
          <w:tcPr>
            <w:tcW w:w="2959" w:type="dxa"/>
            <w:noWrap w:val="0"/>
            <w:tcMar>
              <w:left w:w="28" w:type="dxa"/>
              <w:right w:w="28" w:type="dxa"/>
            </w:tcMar>
            <w:vAlign w:val="center"/>
          </w:tcPr>
          <w:p>
            <w:pPr>
              <w:ind w:right="-14"/>
              <w:jc w:val="left"/>
              <w:rPr>
                <w:rFonts w:hint="eastAsia" w:ascii="宋体" w:hAnsi="宋体"/>
                <w:color w:val="auto"/>
                <w:szCs w:val="21"/>
                <w:highlight w:val="none"/>
              </w:rPr>
            </w:pPr>
          </w:p>
        </w:tc>
        <w:tc>
          <w:tcPr>
            <w:tcW w:w="1773"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评标</w:t>
            </w:r>
            <w:r>
              <w:rPr>
                <w:rFonts w:hint="eastAsia" w:ascii="宋体" w:hAnsi="宋体"/>
                <w:color w:val="auto"/>
                <w:szCs w:val="21"/>
                <w:highlight w:val="none"/>
                <w:lang w:val="en-US" w:eastAsia="zh-CN"/>
              </w:rPr>
              <w:t>/定标</w:t>
            </w:r>
            <w:r>
              <w:rPr>
                <w:rFonts w:hint="eastAsia" w:ascii="宋体" w:hAnsi="宋体"/>
                <w:color w:val="auto"/>
                <w:szCs w:val="21"/>
                <w:highlight w:val="none"/>
              </w:rPr>
              <w:t>地点</w:t>
            </w:r>
          </w:p>
        </w:tc>
        <w:tc>
          <w:tcPr>
            <w:tcW w:w="2397" w:type="dxa"/>
            <w:noWrap w:val="0"/>
            <w:tcMar>
              <w:left w:w="28" w:type="dxa"/>
              <w:right w:w="28" w:type="dxa"/>
            </w:tcMar>
            <w:vAlign w:val="center"/>
          </w:tcPr>
          <w:p>
            <w:pPr>
              <w:rPr>
                <w:rFonts w:hint="eastAsia" w:ascii="宋体" w:hAnsi="宋体"/>
                <w:color w:val="auto"/>
                <w:spacing w:val="-16"/>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最高投标限价</w:t>
            </w:r>
          </w:p>
        </w:tc>
        <w:tc>
          <w:tcPr>
            <w:tcW w:w="7129" w:type="dxa"/>
            <w:gridSpan w:val="3"/>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评标</w:t>
            </w:r>
            <w:r>
              <w:rPr>
                <w:rFonts w:hint="eastAsia" w:ascii="宋体" w:hAnsi="宋体"/>
                <w:color w:val="auto"/>
                <w:szCs w:val="21"/>
                <w:highlight w:val="none"/>
                <w:lang w:val="en-US" w:eastAsia="zh-CN"/>
              </w:rPr>
              <w:t>/定标</w:t>
            </w:r>
            <w:r>
              <w:rPr>
                <w:rFonts w:hint="eastAsia" w:ascii="宋体" w:hAnsi="宋体"/>
                <w:color w:val="auto"/>
                <w:szCs w:val="21"/>
                <w:highlight w:val="none"/>
              </w:rPr>
              <w:t>委员会</w:t>
            </w:r>
            <w:r>
              <w:rPr>
                <w:rFonts w:hint="eastAsia" w:ascii="宋体" w:hAnsi="宋体"/>
                <w:color w:val="auto"/>
                <w:szCs w:val="21"/>
                <w:highlight w:val="none"/>
                <w:lang w:eastAsia="zh-CN"/>
              </w:rPr>
              <w:t>组成</w:t>
            </w:r>
          </w:p>
        </w:tc>
        <w:tc>
          <w:tcPr>
            <w:tcW w:w="7129" w:type="dxa"/>
            <w:gridSpan w:val="3"/>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评标</w:t>
            </w:r>
            <w:r>
              <w:rPr>
                <w:rFonts w:hint="eastAsia" w:ascii="宋体" w:hAnsi="宋体"/>
                <w:color w:val="auto"/>
                <w:szCs w:val="21"/>
                <w:highlight w:val="none"/>
                <w:lang w:val="en-US" w:eastAsia="zh-CN"/>
              </w:rPr>
              <w:t>/定标</w:t>
            </w:r>
            <w:r>
              <w:rPr>
                <w:rFonts w:hint="eastAsia" w:ascii="宋体" w:hAnsi="宋体"/>
                <w:color w:val="auto"/>
                <w:szCs w:val="21"/>
                <w:highlight w:val="none"/>
              </w:rPr>
              <w:t>方法</w:t>
            </w:r>
          </w:p>
        </w:tc>
        <w:tc>
          <w:tcPr>
            <w:tcW w:w="7129" w:type="dxa"/>
            <w:gridSpan w:val="3"/>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评标</w:t>
            </w:r>
            <w:r>
              <w:rPr>
                <w:rFonts w:hint="eastAsia" w:ascii="宋体" w:hAnsi="宋体"/>
                <w:color w:val="auto"/>
                <w:szCs w:val="21"/>
                <w:highlight w:val="none"/>
                <w:lang w:val="en-US" w:eastAsia="zh-CN"/>
              </w:rPr>
              <w:t>/定标</w:t>
            </w:r>
            <w:r>
              <w:rPr>
                <w:rFonts w:hint="eastAsia" w:ascii="宋体" w:hAnsi="宋体"/>
                <w:color w:val="auto"/>
                <w:szCs w:val="21"/>
                <w:highlight w:val="none"/>
              </w:rPr>
              <w:t>标准</w:t>
            </w:r>
          </w:p>
        </w:tc>
        <w:tc>
          <w:tcPr>
            <w:tcW w:w="7129" w:type="dxa"/>
            <w:gridSpan w:val="3"/>
            <w:noWrap w:val="0"/>
            <w:tcMar>
              <w:left w:w="28" w:type="dxa"/>
              <w:right w:w="28" w:type="dxa"/>
            </w:tcMar>
            <w:vAlign w:val="center"/>
          </w:tcPr>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591" w:type="dxa"/>
            <w:noWrap w:val="0"/>
            <w:tcMar>
              <w:left w:w="28" w:type="dxa"/>
              <w:right w:w="2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资格审查</w:t>
            </w:r>
          </w:p>
        </w:tc>
        <w:tc>
          <w:tcPr>
            <w:tcW w:w="7129" w:type="dxa"/>
            <w:gridSpan w:val="3"/>
            <w:noWrap w:val="0"/>
            <w:tcMar>
              <w:left w:w="28" w:type="dxa"/>
              <w:right w:w="28" w:type="dxa"/>
            </w:tcMar>
            <w:vAlign w:val="center"/>
          </w:tcPr>
          <w:p>
            <w:pPr>
              <w:jc w:val="both"/>
              <w:rPr>
                <w:rFonts w:hint="eastAsia" w:ascii="宋体" w:hAnsi="宋体"/>
                <w:color w:val="auto"/>
                <w:szCs w:val="21"/>
                <w:highlight w:val="none"/>
              </w:rPr>
            </w:pPr>
            <w:r>
              <w:rPr>
                <w:rFonts w:hint="eastAsia" w:ascii="宋体" w:hAnsi="宋体"/>
                <w:color w:val="auto"/>
                <w:szCs w:val="21"/>
                <w:highlight w:val="none"/>
              </w:rPr>
              <w:t>资格审查情况详见评标评审表中的资格审查汇总表</w:t>
            </w:r>
          </w:p>
        </w:tc>
      </w:tr>
    </w:tbl>
    <w:p>
      <w:pPr>
        <w:spacing w:before="120" w:beforeLines="50" w:after="120" w:afterLines="50"/>
        <w:rPr>
          <w:rFonts w:hint="eastAsia"/>
          <w:b/>
          <w:bCs/>
          <w:color w:val="auto"/>
          <w:sz w:val="28"/>
          <w:szCs w:val="28"/>
          <w:highlight w:val="none"/>
        </w:rPr>
      </w:pPr>
      <w:r>
        <w:rPr>
          <w:rFonts w:hint="eastAsia"/>
          <w:b/>
          <w:bCs/>
          <w:color w:val="auto"/>
          <w:sz w:val="28"/>
          <w:szCs w:val="28"/>
          <w:highlight w:val="none"/>
        </w:rPr>
        <w:t>二、评标</w:t>
      </w:r>
      <w:r>
        <w:rPr>
          <w:rFonts w:hint="eastAsia"/>
          <w:b/>
          <w:bCs/>
          <w:color w:val="auto"/>
          <w:sz w:val="28"/>
          <w:szCs w:val="28"/>
          <w:highlight w:val="none"/>
          <w:lang w:val="en-US" w:eastAsia="zh-CN"/>
        </w:rPr>
        <w:t>/定标</w:t>
      </w:r>
      <w:r>
        <w:rPr>
          <w:rFonts w:hint="eastAsia"/>
          <w:b/>
          <w:bCs/>
          <w:color w:val="auto"/>
          <w:sz w:val="28"/>
          <w:szCs w:val="28"/>
          <w:highlight w:val="none"/>
        </w:rPr>
        <w:t>委员会成员名单</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1512"/>
        <w:gridCol w:w="5182"/>
        <w:gridCol w:w="1241"/>
        <w:gridCol w:w="1754"/>
      </w:tblGrid>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9689" w:type="dxa"/>
            <w:gridSpan w:val="4"/>
            <w:tcBorders>
              <w:tl2br w:val="nil"/>
              <w:tr2bl w:val="nil"/>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派出</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1512"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8177" w:type="dxa"/>
            <w:gridSpan w:val="3"/>
            <w:tcBorders>
              <w:tl2br w:val="nil"/>
              <w:tr2bl w:val="nil"/>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1512" w:type="dxa"/>
            <w:tcBorders>
              <w:tl2br w:val="nil"/>
              <w:tr2bl w:val="nil"/>
            </w:tcBorders>
            <w:noWrap w:val="0"/>
            <w:vAlign w:val="center"/>
          </w:tcPr>
          <w:p>
            <w:pPr>
              <w:jc w:val="center"/>
              <w:rPr>
                <w:rFonts w:ascii="宋体" w:hAnsi="宋体"/>
                <w:color w:val="auto"/>
                <w:szCs w:val="21"/>
                <w:highlight w:val="none"/>
              </w:rPr>
            </w:pPr>
          </w:p>
        </w:tc>
        <w:tc>
          <w:tcPr>
            <w:tcW w:w="8177" w:type="dxa"/>
            <w:gridSpan w:val="3"/>
            <w:tcBorders>
              <w:tl2br w:val="nil"/>
              <w:tr2bl w:val="nil"/>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9689" w:type="dxa"/>
            <w:gridSpan w:val="4"/>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从</w:t>
            </w:r>
            <w:r>
              <w:rPr>
                <w:rFonts w:hint="eastAsia" w:ascii="宋体" w:hAnsi="宋体"/>
                <w:color w:val="auto"/>
                <w:szCs w:val="21"/>
                <w:highlight w:val="none"/>
              </w:rPr>
              <w:t>广东省</w:t>
            </w:r>
            <w:r>
              <w:rPr>
                <w:rFonts w:hint="eastAsia" w:ascii="宋体" w:hAnsi="宋体"/>
                <w:color w:val="auto"/>
                <w:szCs w:val="21"/>
                <w:highlight w:val="none"/>
                <w:lang w:eastAsia="zh-CN"/>
              </w:rPr>
              <w:t>评标</w:t>
            </w:r>
            <w:r>
              <w:rPr>
                <w:rFonts w:hint="eastAsia" w:ascii="宋体" w:hAnsi="宋体"/>
                <w:color w:val="auto"/>
                <w:szCs w:val="21"/>
                <w:highlight w:val="none"/>
              </w:rPr>
              <w:t>专家库抽取</w:t>
            </w:r>
            <w:r>
              <w:rPr>
                <w:rFonts w:hint="eastAsia" w:ascii="宋体" w:hAnsi="宋体"/>
                <w:color w:val="auto"/>
                <w:szCs w:val="21"/>
                <w:highlight w:val="none"/>
                <w:lang w:eastAsia="zh-CN"/>
              </w:rPr>
              <w:t>的</w:t>
            </w:r>
            <w:r>
              <w:rPr>
                <w:rFonts w:hint="eastAsia" w:ascii="宋体" w:hAnsi="宋体"/>
                <w:color w:val="auto"/>
                <w:szCs w:val="21"/>
                <w:highlight w:val="none"/>
              </w:rPr>
              <w:t>）有关技术、经济等方面的评标</w:t>
            </w:r>
            <w:r>
              <w:rPr>
                <w:rFonts w:hint="eastAsia" w:ascii="宋体" w:hAnsi="宋体"/>
                <w:color w:val="auto"/>
                <w:szCs w:val="21"/>
                <w:highlight w:val="none"/>
                <w:lang w:val="en-US" w:eastAsia="zh-CN"/>
              </w:rPr>
              <w:t>/定标</w:t>
            </w:r>
            <w:r>
              <w:rPr>
                <w:rFonts w:hint="eastAsia" w:ascii="宋体" w:hAnsi="宋体"/>
                <w:color w:val="auto"/>
                <w:szCs w:val="21"/>
                <w:highlight w:val="none"/>
              </w:rPr>
              <w:t>专家</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1512"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5182"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工作单位</w:t>
            </w:r>
          </w:p>
        </w:tc>
        <w:tc>
          <w:tcPr>
            <w:tcW w:w="1241" w:type="dxa"/>
            <w:tcBorders>
              <w:tl2br w:val="nil"/>
              <w:tr2bl w:val="nil"/>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职务</w:t>
            </w:r>
          </w:p>
        </w:tc>
        <w:tc>
          <w:tcPr>
            <w:tcW w:w="1754"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职称</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1512" w:type="dxa"/>
            <w:tcBorders>
              <w:tl2br w:val="nil"/>
              <w:tr2bl w:val="nil"/>
            </w:tcBorders>
            <w:noWrap w:val="0"/>
            <w:vAlign w:val="center"/>
          </w:tcPr>
          <w:p>
            <w:pPr>
              <w:jc w:val="center"/>
              <w:rPr>
                <w:rFonts w:ascii="宋体" w:hAnsi="宋体"/>
                <w:color w:val="auto"/>
                <w:szCs w:val="21"/>
                <w:highlight w:val="none"/>
              </w:rPr>
            </w:pPr>
          </w:p>
        </w:tc>
        <w:tc>
          <w:tcPr>
            <w:tcW w:w="5182" w:type="dxa"/>
            <w:tcBorders>
              <w:tl2br w:val="nil"/>
              <w:tr2bl w:val="nil"/>
            </w:tcBorders>
            <w:noWrap w:val="0"/>
            <w:vAlign w:val="center"/>
          </w:tcPr>
          <w:p>
            <w:pPr>
              <w:jc w:val="center"/>
              <w:rPr>
                <w:rFonts w:ascii="宋体" w:hAnsi="宋体"/>
                <w:color w:val="auto"/>
                <w:szCs w:val="21"/>
                <w:highlight w:val="none"/>
              </w:rPr>
            </w:pPr>
          </w:p>
        </w:tc>
        <w:tc>
          <w:tcPr>
            <w:tcW w:w="1241" w:type="dxa"/>
            <w:tcBorders>
              <w:tl2br w:val="nil"/>
              <w:tr2bl w:val="nil"/>
            </w:tcBorders>
            <w:noWrap w:val="0"/>
            <w:vAlign w:val="center"/>
          </w:tcPr>
          <w:p>
            <w:pPr>
              <w:jc w:val="center"/>
              <w:rPr>
                <w:rFonts w:ascii="宋体" w:hAnsi="宋体"/>
                <w:color w:val="auto"/>
                <w:szCs w:val="21"/>
                <w:highlight w:val="none"/>
              </w:rPr>
            </w:pPr>
          </w:p>
        </w:tc>
        <w:tc>
          <w:tcPr>
            <w:tcW w:w="1754" w:type="dxa"/>
            <w:tcBorders>
              <w:tl2br w:val="nil"/>
              <w:tr2bl w:val="nil"/>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 w:hRule="atLeast"/>
          <w:jc w:val="center"/>
        </w:trPr>
        <w:tc>
          <w:tcPr>
            <w:tcW w:w="9689" w:type="dxa"/>
            <w:gridSpan w:val="4"/>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u w:val="none"/>
                <w:lang w:eastAsia="zh-CN"/>
              </w:rPr>
              <w:t>其中，</w:t>
            </w:r>
            <w:r>
              <w:rPr>
                <w:rFonts w:hint="eastAsia" w:ascii="宋体" w:hAnsi="宋体"/>
                <w:color w:val="auto"/>
                <w:szCs w:val="21"/>
                <w:highlight w:val="none"/>
                <w:u w:val="single"/>
              </w:rPr>
              <w:t xml:space="preserve">             </w:t>
            </w:r>
            <w:r>
              <w:rPr>
                <w:rFonts w:hint="eastAsia" w:ascii="宋体" w:hAnsi="宋体"/>
                <w:color w:val="auto"/>
                <w:szCs w:val="21"/>
                <w:highlight w:val="none"/>
              </w:rPr>
              <w:t>为组长。</w:t>
            </w:r>
          </w:p>
        </w:tc>
      </w:tr>
    </w:tbl>
    <w:p>
      <w:pPr>
        <w:spacing w:before="120" w:beforeLines="50" w:after="120" w:afterLines="50"/>
        <w:rPr>
          <w:rFonts w:hint="eastAsia"/>
          <w:b/>
          <w:bCs/>
          <w:color w:val="auto"/>
          <w:sz w:val="28"/>
          <w:szCs w:val="28"/>
          <w:highlight w:val="none"/>
        </w:rPr>
      </w:pPr>
      <w:r>
        <w:rPr>
          <w:rFonts w:hint="eastAsia"/>
          <w:b/>
          <w:bCs/>
          <w:color w:val="auto"/>
          <w:sz w:val="28"/>
          <w:szCs w:val="28"/>
          <w:highlight w:val="none"/>
          <w:lang w:eastAsia="zh-CN"/>
        </w:rPr>
        <w:t>三</w:t>
      </w:r>
      <w:r>
        <w:rPr>
          <w:rFonts w:hint="eastAsia"/>
          <w:b/>
          <w:bCs/>
          <w:color w:val="auto"/>
          <w:sz w:val="28"/>
          <w:szCs w:val="28"/>
          <w:highlight w:val="none"/>
        </w:rPr>
        <w:t>、评标</w:t>
      </w:r>
      <w:r>
        <w:rPr>
          <w:rFonts w:hint="eastAsia"/>
          <w:b/>
          <w:bCs/>
          <w:color w:val="auto"/>
          <w:sz w:val="28"/>
          <w:szCs w:val="28"/>
          <w:highlight w:val="none"/>
          <w:lang w:val="en-US" w:eastAsia="zh-CN"/>
        </w:rPr>
        <w:t>/定标</w:t>
      </w:r>
      <w:r>
        <w:rPr>
          <w:rFonts w:hint="eastAsia"/>
          <w:b/>
          <w:bCs/>
          <w:color w:val="auto"/>
          <w:sz w:val="28"/>
          <w:szCs w:val="28"/>
          <w:highlight w:val="none"/>
        </w:rPr>
        <w:t>委员会在评标</w:t>
      </w:r>
      <w:r>
        <w:rPr>
          <w:rFonts w:hint="eastAsia"/>
          <w:b/>
          <w:bCs/>
          <w:color w:val="auto"/>
          <w:sz w:val="28"/>
          <w:szCs w:val="28"/>
          <w:highlight w:val="none"/>
          <w:lang w:val="en-US" w:eastAsia="zh-CN"/>
        </w:rPr>
        <w:t>/定标</w:t>
      </w:r>
      <w:r>
        <w:rPr>
          <w:rFonts w:hint="eastAsia"/>
          <w:b/>
          <w:bCs/>
          <w:color w:val="auto"/>
          <w:sz w:val="28"/>
          <w:szCs w:val="28"/>
          <w:highlight w:val="none"/>
        </w:rPr>
        <w:t>过</w:t>
      </w:r>
      <w:r>
        <w:rPr>
          <w:rFonts w:hint="eastAsia"/>
          <w:b/>
          <w:bCs/>
          <w:color w:val="auto"/>
          <w:sz w:val="28"/>
          <w:szCs w:val="28"/>
          <w:highlight w:val="none"/>
          <w:lang w:eastAsia="zh-CN"/>
        </w:rPr>
        <w:t>程中</w:t>
      </w:r>
      <w:r>
        <w:rPr>
          <w:rFonts w:hint="eastAsia"/>
          <w:b/>
          <w:bCs/>
          <w:color w:val="auto"/>
          <w:sz w:val="28"/>
          <w:szCs w:val="28"/>
          <w:highlight w:val="none"/>
        </w:rPr>
        <w:t>发现问题的处理或建议</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6"/>
        <w:gridCol w:w="5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6" w:type="dxa"/>
            <w:noWrap w:val="0"/>
            <w:vAlign w:val="center"/>
          </w:tcPr>
          <w:p>
            <w:pPr>
              <w:jc w:val="center"/>
              <w:rPr>
                <w:rFonts w:hint="eastAsia" w:ascii="宋体"/>
                <w:bCs/>
                <w:color w:val="auto"/>
                <w:szCs w:val="21"/>
                <w:highlight w:val="none"/>
              </w:rPr>
            </w:pPr>
            <w:r>
              <w:rPr>
                <w:rFonts w:hint="eastAsia" w:ascii="宋体"/>
                <w:bCs/>
                <w:color w:val="auto"/>
                <w:szCs w:val="21"/>
                <w:highlight w:val="none"/>
              </w:rPr>
              <w:t>存在问题</w:t>
            </w:r>
          </w:p>
        </w:tc>
        <w:tc>
          <w:tcPr>
            <w:tcW w:w="5683" w:type="dxa"/>
            <w:noWrap w:val="0"/>
            <w:vAlign w:val="center"/>
          </w:tcPr>
          <w:p>
            <w:pPr>
              <w:jc w:val="center"/>
              <w:rPr>
                <w:rFonts w:hint="eastAsia" w:ascii="宋体"/>
                <w:bCs/>
                <w:color w:val="auto"/>
                <w:szCs w:val="21"/>
                <w:highlight w:val="none"/>
              </w:rPr>
            </w:pPr>
            <w:r>
              <w:rPr>
                <w:rFonts w:hint="eastAsia" w:ascii="宋体"/>
                <w:bCs/>
                <w:color w:val="auto"/>
                <w:szCs w:val="21"/>
                <w:highlight w:val="none"/>
              </w:rPr>
              <w:t>处理决定或处理建议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6" w:type="dxa"/>
            <w:noWrap w:val="0"/>
            <w:vAlign w:val="center"/>
          </w:tcPr>
          <w:p>
            <w:pPr>
              <w:jc w:val="center"/>
              <w:rPr>
                <w:rFonts w:hint="eastAsia" w:ascii="宋体"/>
                <w:bCs/>
                <w:color w:val="auto"/>
                <w:szCs w:val="21"/>
                <w:highlight w:val="none"/>
              </w:rPr>
            </w:pPr>
          </w:p>
        </w:tc>
        <w:tc>
          <w:tcPr>
            <w:tcW w:w="5683" w:type="dxa"/>
            <w:noWrap w:val="0"/>
            <w:vAlign w:val="center"/>
          </w:tcPr>
          <w:p>
            <w:pPr>
              <w:jc w:val="center"/>
              <w:rPr>
                <w:rFonts w:hint="eastAsia" w:ascii="宋体"/>
                <w:bCs/>
                <w:color w:val="auto"/>
                <w:szCs w:val="21"/>
                <w:highlight w:val="none"/>
              </w:rPr>
            </w:pPr>
          </w:p>
        </w:tc>
      </w:tr>
    </w:tbl>
    <w:p>
      <w:pPr>
        <w:spacing w:before="120" w:beforeLines="50" w:after="120" w:afterLines="50"/>
        <w:rPr>
          <w:rFonts w:hint="eastAsia" w:eastAsia="宋体"/>
          <w:b/>
          <w:bCs/>
          <w:color w:val="auto"/>
          <w:sz w:val="28"/>
          <w:szCs w:val="28"/>
          <w:highlight w:val="none"/>
          <w:lang w:val="en-US" w:eastAsia="zh-CN"/>
        </w:rPr>
      </w:pPr>
      <w:r>
        <w:rPr>
          <w:rFonts w:hint="eastAsia"/>
          <w:b/>
          <w:bCs/>
          <w:color w:val="auto"/>
          <w:sz w:val="28"/>
          <w:szCs w:val="28"/>
          <w:highlight w:val="none"/>
          <w:lang w:eastAsia="zh-CN"/>
        </w:rPr>
        <w:t>四</w:t>
      </w:r>
      <w:r>
        <w:rPr>
          <w:rFonts w:hint="eastAsia"/>
          <w:b/>
          <w:bCs/>
          <w:color w:val="auto"/>
          <w:sz w:val="28"/>
          <w:szCs w:val="28"/>
          <w:highlight w:val="none"/>
        </w:rPr>
        <w:t>、</w:t>
      </w:r>
      <w:r>
        <w:rPr>
          <w:rFonts w:hint="eastAsia"/>
          <w:b/>
          <w:bCs/>
          <w:color w:val="auto"/>
          <w:sz w:val="28"/>
          <w:szCs w:val="28"/>
          <w:highlight w:val="none"/>
          <w:lang w:eastAsia="zh-CN"/>
        </w:rPr>
        <w:t>定标候选人名单</w:t>
      </w:r>
      <w:r>
        <w:rPr>
          <w:rFonts w:hint="eastAsia"/>
          <w:b/>
          <w:bCs/>
          <w:color w:val="auto"/>
          <w:sz w:val="28"/>
          <w:szCs w:val="28"/>
          <w:highlight w:val="none"/>
          <w:lang w:val="en-US" w:eastAsia="zh-CN"/>
        </w:rPr>
        <w:t>/推荐的中标候选人名单</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06"/>
        <w:gridCol w:w="2527"/>
        <w:gridCol w:w="2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6" w:type="dxa"/>
            <w:noWrap w:val="0"/>
            <w:vAlign w:val="center"/>
          </w:tcPr>
          <w:p>
            <w:pPr>
              <w:jc w:val="center"/>
              <w:rPr>
                <w:rFonts w:hint="eastAsia" w:ascii="宋体" w:eastAsia="宋体"/>
                <w:bCs/>
                <w:color w:val="auto"/>
                <w:szCs w:val="21"/>
                <w:highlight w:val="none"/>
                <w:lang w:eastAsia="zh-CN"/>
              </w:rPr>
            </w:pPr>
            <w:r>
              <w:rPr>
                <w:rFonts w:hint="eastAsia" w:ascii="宋体"/>
                <w:bCs/>
                <w:color w:val="auto"/>
                <w:szCs w:val="21"/>
                <w:highlight w:val="none"/>
              </w:rPr>
              <w:t>投标人名称</w:t>
            </w:r>
          </w:p>
        </w:tc>
        <w:tc>
          <w:tcPr>
            <w:tcW w:w="2527" w:type="dxa"/>
            <w:noWrap w:val="0"/>
            <w:vAlign w:val="center"/>
          </w:tcPr>
          <w:p>
            <w:pPr>
              <w:jc w:val="center"/>
              <w:rPr>
                <w:rFonts w:hint="eastAsia" w:ascii="宋体"/>
                <w:bCs/>
                <w:color w:val="auto"/>
                <w:szCs w:val="21"/>
                <w:highlight w:val="none"/>
              </w:rPr>
            </w:pPr>
            <w:r>
              <w:rPr>
                <w:rFonts w:hint="eastAsia" w:ascii="宋体"/>
                <w:bCs/>
                <w:color w:val="auto"/>
                <w:szCs w:val="21"/>
                <w:highlight w:val="none"/>
              </w:rPr>
              <w:t>投标报价</w:t>
            </w:r>
          </w:p>
        </w:tc>
        <w:tc>
          <w:tcPr>
            <w:tcW w:w="2111" w:type="dxa"/>
            <w:noWrap w:val="0"/>
            <w:vAlign w:val="center"/>
          </w:tcPr>
          <w:p>
            <w:pPr>
              <w:jc w:val="center"/>
              <w:rPr>
                <w:rFonts w:hint="eastAsia" w:ascii="宋体" w:eastAsia="宋体"/>
                <w:bCs/>
                <w:color w:val="auto"/>
                <w:szCs w:val="21"/>
                <w:highlight w:val="none"/>
                <w:lang w:eastAsia="zh-CN"/>
              </w:rPr>
            </w:pPr>
            <w:r>
              <w:rPr>
                <w:rFonts w:hint="eastAsia" w:ascii="宋体"/>
                <w:bCs/>
                <w:color w:val="auto"/>
                <w:szCs w:val="21"/>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6" w:type="dxa"/>
            <w:noWrap w:val="0"/>
            <w:vAlign w:val="center"/>
          </w:tcPr>
          <w:p>
            <w:pPr>
              <w:jc w:val="center"/>
              <w:rPr>
                <w:rFonts w:ascii="宋体"/>
                <w:bCs/>
                <w:color w:val="auto"/>
                <w:szCs w:val="21"/>
                <w:highlight w:val="none"/>
              </w:rPr>
            </w:pPr>
          </w:p>
        </w:tc>
        <w:tc>
          <w:tcPr>
            <w:tcW w:w="2527" w:type="dxa"/>
            <w:noWrap w:val="0"/>
            <w:vAlign w:val="center"/>
          </w:tcPr>
          <w:p>
            <w:pPr>
              <w:jc w:val="left"/>
              <w:rPr>
                <w:rFonts w:ascii="宋体" w:hAnsi="宋体" w:cs="宋体"/>
                <w:color w:val="auto"/>
                <w:szCs w:val="21"/>
                <w:highlight w:val="none"/>
              </w:rPr>
            </w:pPr>
          </w:p>
        </w:tc>
        <w:tc>
          <w:tcPr>
            <w:tcW w:w="2111" w:type="dxa"/>
            <w:noWrap w:val="0"/>
            <w:vAlign w:val="center"/>
          </w:tcPr>
          <w:p>
            <w:pPr>
              <w:jc w:val="left"/>
              <w:rPr>
                <w:rFonts w:hint="eastAsia" w:ascii="宋体" w:hAnsi="宋体" w:cs="宋体"/>
                <w:color w:val="auto"/>
                <w:szCs w:val="21"/>
                <w:highlight w:val="none"/>
              </w:rPr>
            </w:pPr>
          </w:p>
        </w:tc>
      </w:tr>
    </w:tbl>
    <w:p>
      <w:pPr>
        <w:spacing w:before="120" w:beforeLines="50" w:after="120" w:afterLines="50"/>
        <w:rPr>
          <w:rFonts w:hint="eastAsia" w:eastAsia="宋体"/>
          <w:b/>
          <w:bCs/>
          <w:color w:val="auto"/>
          <w:sz w:val="28"/>
          <w:szCs w:val="28"/>
          <w:highlight w:val="none"/>
          <w:lang w:eastAsia="zh-CN"/>
        </w:rPr>
      </w:pPr>
      <w:r>
        <w:rPr>
          <w:rFonts w:hint="eastAsia"/>
          <w:b/>
          <w:bCs/>
          <w:color w:val="auto"/>
          <w:sz w:val="28"/>
          <w:szCs w:val="28"/>
          <w:highlight w:val="none"/>
          <w:lang w:eastAsia="zh-CN"/>
        </w:rPr>
        <w:t>五</w:t>
      </w:r>
      <w:r>
        <w:rPr>
          <w:rFonts w:hint="eastAsia"/>
          <w:b/>
          <w:bCs/>
          <w:color w:val="auto"/>
          <w:sz w:val="28"/>
          <w:szCs w:val="28"/>
          <w:highlight w:val="none"/>
        </w:rPr>
        <w:t>、</w:t>
      </w:r>
      <w:r>
        <w:rPr>
          <w:rFonts w:hint="eastAsia"/>
          <w:b/>
          <w:bCs/>
          <w:color w:val="auto"/>
          <w:sz w:val="28"/>
          <w:szCs w:val="28"/>
          <w:highlight w:val="none"/>
          <w:lang w:eastAsia="zh-CN"/>
        </w:rPr>
        <w:t>评标</w:t>
      </w:r>
      <w:r>
        <w:rPr>
          <w:rFonts w:hint="eastAsia"/>
          <w:b/>
          <w:bCs/>
          <w:color w:val="auto"/>
          <w:sz w:val="28"/>
          <w:szCs w:val="28"/>
          <w:highlight w:val="none"/>
          <w:lang w:val="en-US" w:eastAsia="zh-CN"/>
        </w:rPr>
        <w:t>/定标过程中</w:t>
      </w:r>
      <w:r>
        <w:rPr>
          <w:rFonts w:hint="eastAsia"/>
          <w:b/>
          <w:bCs/>
          <w:color w:val="auto"/>
          <w:sz w:val="28"/>
          <w:szCs w:val="28"/>
          <w:highlight w:val="none"/>
          <w:lang w:eastAsia="zh-CN"/>
        </w:rPr>
        <w:t>其他要</w:t>
      </w:r>
      <w:r>
        <w:rPr>
          <w:rFonts w:hint="eastAsia"/>
          <w:b/>
          <w:bCs/>
          <w:color w:val="auto"/>
          <w:sz w:val="28"/>
          <w:szCs w:val="28"/>
          <w:highlight w:val="none"/>
        </w:rPr>
        <w:t>说明</w:t>
      </w:r>
      <w:r>
        <w:rPr>
          <w:rFonts w:hint="eastAsia"/>
          <w:b/>
          <w:bCs/>
          <w:color w:val="auto"/>
          <w:sz w:val="28"/>
          <w:szCs w:val="28"/>
          <w:highlight w:val="none"/>
          <w:lang w:eastAsia="zh-CN"/>
        </w:rPr>
        <w:t>的情况</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58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2" w:hRule="atLeast"/>
          <w:jc w:val="center"/>
        </w:trPr>
        <w:tc>
          <w:tcPr>
            <w:tcW w:w="9589" w:type="dxa"/>
            <w:tcBorders>
              <w:tl2br w:val="nil"/>
              <w:tr2bl w:val="nil"/>
            </w:tcBorders>
            <w:noWrap w:val="0"/>
            <w:vAlign w:val="top"/>
          </w:tcPr>
          <w:p>
            <w:pPr>
              <w:ind w:firstLine="420" w:firstLineChars="200"/>
              <w:jc w:val="left"/>
              <w:rPr>
                <w:rFonts w:hint="eastAsia" w:ascii="宋体" w:hAnsi="宋体"/>
                <w:bCs/>
                <w:color w:val="auto"/>
                <w:szCs w:val="21"/>
                <w:highlight w:val="none"/>
              </w:rPr>
            </w:pPr>
          </w:p>
        </w:tc>
      </w:tr>
    </w:tbl>
    <w:p>
      <w:pPr>
        <w:spacing w:before="120" w:beforeLines="50" w:after="120" w:afterLines="50"/>
        <w:rPr>
          <w:rFonts w:hint="eastAsia" w:eastAsia="宋体"/>
          <w:b/>
          <w:bCs/>
          <w:color w:val="auto"/>
          <w:sz w:val="28"/>
          <w:szCs w:val="28"/>
          <w:highlight w:val="none"/>
          <w:lang w:eastAsia="zh-CN"/>
        </w:rPr>
      </w:pPr>
      <w:r>
        <w:rPr>
          <w:rFonts w:hint="eastAsia"/>
          <w:b/>
          <w:bCs/>
          <w:color w:val="auto"/>
          <w:sz w:val="28"/>
          <w:szCs w:val="28"/>
          <w:highlight w:val="none"/>
          <w:lang w:eastAsia="zh-CN"/>
        </w:rPr>
        <w:t>六</w:t>
      </w:r>
      <w:r>
        <w:rPr>
          <w:rFonts w:hint="eastAsia"/>
          <w:b/>
          <w:bCs/>
          <w:color w:val="auto"/>
          <w:sz w:val="28"/>
          <w:szCs w:val="28"/>
          <w:highlight w:val="none"/>
        </w:rPr>
        <w:t>、</w:t>
      </w:r>
      <w:r>
        <w:rPr>
          <w:rFonts w:hint="eastAsia"/>
          <w:b/>
          <w:bCs/>
          <w:color w:val="auto"/>
          <w:sz w:val="28"/>
          <w:szCs w:val="28"/>
          <w:highlight w:val="none"/>
          <w:lang w:eastAsia="zh-CN"/>
        </w:rPr>
        <w:t>评标过程中的</w:t>
      </w:r>
      <w:r>
        <w:rPr>
          <w:rFonts w:hint="eastAsia"/>
          <w:b/>
          <w:bCs/>
          <w:color w:val="auto"/>
          <w:sz w:val="28"/>
          <w:szCs w:val="28"/>
          <w:highlight w:val="none"/>
        </w:rPr>
        <w:t>否决情况说明</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5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9" w:type="dxa"/>
            <w:noWrap w:val="0"/>
            <w:vAlign w:val="center"/>
          </w:tcPr>
          <w:p>
            <w:pPr>
              <w:jc w:val="center"/>
              <w:rPr>
                <w:rFonts w:hint="eastAsia" w:ascii="宋体"/>
                <w:bCs/>
                <w:color w:val="auto"/>
                <w:szCs w:val="21"/>
                <w:highlight w:val="none"/>
              </w:rPr>
            </w:pPr>
            <w:r>
              <w:rPr>
                <w:rFonts w:hint="eastAsia" w:ascii="宋体"/>
                <w:bCs/>
                <w:color w:val="auto"/>
                <w:szCs w:val="21"/>
                <w:highlight w:val="none"/>
              </w:rPr>
              <w:t>投标人名称</w:t>
            </w:r>
          </w:p>
        </w:tc>
        <w:tc>
          <w:tcPr>
            <w:tcW w:w="5562" w:type="dxa"/>
            <w:noWrap w:val="0"/>
            <w:vAlign w:val="center"/>
          </w:tcPr>
          <w:p>
            <w:pPr>
              <w:jc w:val="center"/>
              <w:rPr>
                <w:rFonts w:hint="eastAsia" w:ascii="宋体"/>
                <w:bCs/>
                <w:color w:val="auto"/>
                <w:szCs w:val="21"/>
                <w:highlight w:val="none"/>
              </w:rPr>
            </w:pPr>
            <w:r>
              <w:rPr>
                <w:rFonts w:hint="eastAsia"/>
                <w:color w:val="auto"/>
                <w:szCs w:val="21"/>
                <w:highlight w:val="none"/>
              </w:rPr>
              <w:t>否决</w:t>
            </w:r>
            <w:r>
              <w:rPr>
                <w:rFonts w:hint="eastAsia" w:ascii="宋体"/>
                <w:bCs/>
                <w:color w:val="auto"/>
                <w:szCs w:val="21"/>
                <w:highlight w:val="none"/>
              </w:rPr>
              <w:t>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9" w:type="dxa"/>
            <w:noWrap w:val="0"/>
            <w:vAlign w:val="center"/>
          </w:tcPr>
          <w:p>
            <w:pPr>
              <w:rPr>
                <w:color w:val="auto"/>
                <w:szCs w:val="21"/>
                <w:highlight w:val="none"/>
              </w:rPr>
            </w:pPr>
          </w:p>
        </w:tc>
        <w:tc>
          <w:tcPr>
            <w:tcW w:w="5562" w:type="dxa"/>
            <w:noWrap w:val="0"/>
            <w:vAlign w:val="center"/>
          </w:tcPr>
          <w:p>
            <w:pPr>
              <w:spacing w:line="320" w:lineRule="exact"/>
              <w:rPr>
                <w:rFonts w:hint="eastAsia"/>
                <w:color w:val="auto"/>
                <w:szCs w:val="21"/>
                <w:highlight w:val="none"/>
              </w:rPr>
            </w:pPr>
          </w:p>
        </w:tc>
      </w:tr>
    </w:tbl>
    <w:p>
      <w:pPr>
        <w:spacing w:line="360" w:lineRule="auto"/>
        <w:rPr>
          <w:rFonts w:hint="eastAsia" w:ascii="黑体" w:eastAsia="黑体"/>
          <w:color w:val="auto"/>
          <w:sz w:val="24"/>
          <w:highlight w:val="none"/>
        </w:rPr>
      </w:pPr>
    </w:p>
    <w:p>
      <w:pPr>
        <w:spacing w:line="360" w:lineRule="auto"/>
        <w:rPr>
          <w:rFonts w:hint="eastAsia" w:ascii="黑体" w:eastAsia="黑体"/>
          <w:color w:val="auto"/>
          <w:sz w:val="24"/>
          <w:highlight w:val="none"/>
        </w:rPr>
      </w:pPr>
    </w:p>
    <w:p>
      <w:pPr>
        <w:spacing w:line="240" w:lineRule="auto"/>
        <w:rPr>
          <w:rFonts w:hint="eastAsia" w:ascii="黑体" w:eastAsia="黑体"/>
          <w:color w:val="auto"/>
          <w:sz w:val="24"/>
          <w:highlight w:val="none"/>
        </w:rPr>
      </w:pPr>
      <w:r>
        <w:rPr>
          <w:rFonts w:hint="eastAsia" w:ascii="黑体" w:eastAsia="黑体"/>
          <w:color w:val="auto"/>
          <w:sz w:val="24"/>
          <w:highlight w:val="none"/>
        </w:rPr>
        <w:br w:type="page"/>
      </w:r>
      <w:r>
        <w:rPr>
          <w:rFonts w:hint="eastAsia" w:ascii="黑体" w:eastAsia="黑体"/>
          <w:color w:val="auto"/>
          <w:sz w:val="24"/>
          <w:highlight w:val="none"/>
        </w:rPr>
        <w:t>附表二：问题澄清通知</w:t>
      </w:r>
    </w:p>
    <w:p>
      <w:pPr>
        <w:spacing w:before="240" w:beforeLines="100" w:after="240" w:afterLines="100" w:line="24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问题澄清通知（参考格式）</w:t>
      </w:r>
    </w:p>
    <w:p>
      <w:pPr>
        <w:keepNext w:val="0"/>
        <w:keepLines w:val="0"/>
        <w:pageBreakBefore w:val="0"/>
        <w:widowControl w:val="0"/>
        <w:kinsoku/>
        <w:wordWrap/>
        <w:overflowPunct/>
        <w:topLinePunct w:val="0"/>
        <w:autoSpaceDE/>
        <w:autoSpaceDN/>
        <w:bidi w:val="0"/>
        <w:adjustRightInd/>
        <w:snapToGrid/>
        <w:spacing w:line="300" w:lineRule="exact"/>
        <w:ind w:firstLine="5985" w:firstLineChars="28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color w:val="auto"/>
          <w:highlight w:val="none"/>
        </w:rPr>
      </w:pPr>
      <w:r>
        <w:rPr>
          <w:rFonts w:hint="eastAsia"/>
          <w:color w:val="auto"/>
          <w:highlight w:val="none"/>
          <w:u w:val="single"/>
        </w:rPr>
        <w:t xml:space="preserve">             （项目名称）        </w:t>
      </w:r>
      <w:r>
        <w:rPr>
          <w:rFonts w:hint="eastAsia"/>
          <w:color w:val="auto"/>
          <w:highlight w:val="none"/>
        </w:rPr>
        <w:t>施工招标的评标委员会，对你方的投标文件进行了仔细的审查，现需你方对本通知所附质疑问卷中的问题以书面形式予以澄清、说明或者补正。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color w:val="auto"/>
          <w:highlight w:val="none"/>
        </w:rPr>
      </w:pPr>
      <w:r>
        <w:rPr>
          <w:rFonts w:hint="eastAsia"/>
          <w:color w:val="auto"/>
          <w:highlight w:val="none"/>
        </w:rPr>
        <w:t>请将上述问题的澄清、说明或者补正于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时前密封递交至（详细地址）或传真至</w:t>
      </w:r>
      <w:r>
        <w:rPr>
          <w:rFonts w:hint="eastAsia"/>
          <w:color w:val="auto"/>
          <w:highlight w:val="none"/>
          <w:u w:val="single"/>
        </w:rPr>
        <w:t xml:space="preserve">      </w:t>
      </w:r>
      <w:r>
        <w:rPr>
          <w:rFonts w:hint="eastAsia"/>
          <w:color w:val="auto"/>
          <w:highlight w:val="none"/>
        </w:rPr>
        <w:t>（传真号码）。采用传真方式的，应在</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时前将原件递交至</w:t>
      </w:r>
      <w:r>
        <w:rPr>
          <w:rFonts w:hint="eastAsia"/>
          <w:color w:val="auto"/>
          <w:highlight w:val="none"/>
          <w:u w:val="single"/>
        </w:rPr>
        <w:t xml:space="preserve">                         </w:t>
      </w:r>
      <w:r>
        <w:rPr>
          <w:rFonts w:hint="eastAsia"/>
          <w:color w:val="auto"/>
          <w:highlight w:val="none"/>
        </w:rPr>
        <w:t xml:space="preserve"> （详细地址）。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附件：质疑问卷</w:t>
      </w:r>
    </w:p>
    <w:p>
      <w:pPr>
        <w:keepNext w:val="0"/>
        <w:keepLines w:val="0"/>
        <w:pageBreakBefore w:val="0"/>
        <w:widowControl w:val="0"/>
        <w:kinsoku/>
        <w:wordWrap/>
        <w:overflowPunct/>
        <w:topLinePunct w:val="0"/>
        <w:autoSpaceDE/>
        <w:autoSpaceDN/>
        <w:bidi w:val="0"/>
        <w:adjustRightInd/>
        <w:snapToGrid/>
        <w:spacing w:line="300" w:lineRule="exact"/>
        <w:ind w:firstLine="3570" w:firstLineChars="1700"/>
        <w:textAlignment w:val="auto"/>
        <w:rPr>
          <w:rFonts w:hint="eastAsia"/>
          <w:color w:val="auto"/>
          <w:highlight w:val="none"/>
        </w:rPr>
      </w:pPr>
      <w:r>
        <w:rPr>
          <w:rFonts w:hint="eastAsia"/>
          <w:color w:val="auto"/>
          <w:highlight w:val="none"/>
          <w:u w:val="single"/>
        </w:rPr>
        <w:t xml:space="preserve">      （项目名称）      </w:t>
      </w:r>
      <w:r>
        <w:rPr>
          <w:rFonts w:hint="eastAsia" w:ascii="黑体" w:eastAsia="黑体"/>
          <w:color w:val="auto"/>
          <w:highlight w:val="none"/>
        </w:rPr>
        <w:t>评标委员会</w:t>
      </w:r>
    </w:p>
    <w:p>
      <w:pPr>
        <w:keepNext w:val="0"/>
        <w:keepLines w:val="0"/>
        <w:pageBreakBefore w:val="0"/>
        <w:widowControl w:val="0"/>
        <w:kinsoku/>
        <w:wordWrap/>
        <w:overflowPunct/>
        <w:topLinePunct w:val="0"/>
        <w:autoSpaceDE/>
        <w:autoSpaceDN/>
        <w:bidi w:val="0"/>
        <w:adjustRightInd/>
        <w:snapToGrid/>
        <w:spacing w:line="300" w:lineRule="exact"/>
        <w:ind w:firstLine="2625" w:firstLineChars="1250"/>
        <w:textAlignment w:val="auto"/>
        <w:rPr>
          <w:rFonts w:hint="eastAsia"/>
          <w:color w:val="auto"/>
          <w:highlight w:val="none"/>
        </w:rPr>
      </w:pPr>
      <w:r>
        <w:rPr>
          <w:rFonts w:hint="eastAsia"/>
          <w:color w:val="auto"/>
          <w:highlight w:val="none"/>
        </w:rPr>
        <w:t xml:space="preserve">  （经评标委员会授权的招标人代表签</w:t>
      </w:r>
      <w:r>
        <w:rPr>
          <w:rFonts w:hint="eastAsia"/>
          <w:color w:val="auto"/>
          <w:highlight w:val="none"/>
          <w:lang w:eastAsia="zh-CN"/>
        </w:rPr>
        <w:t>名</w:t>
      </w:r>
      <w:r>
        <w:rPr>
          <w:rFonts w:hint="eastAsia"/>
          <w:color w:val="auto"/>
          <w:highlight w:val="none"/>
        </w:rPr>
        <w:t>或招标人盖单位</w:t>
      </w:r>
      <w:r>
        <w:rPr>
          <w:rFonts w:hint="eastAsia"/>
          <w:color w:val="auto"/>
          <w:highlight w:val="none"/>
          <w:lang w:eastAsia="zh-CN"/>
        </w:rPr>
        <w:t>公</w:t>
      </w:r>
      <w:r>
        <w:rPr>
          <w:rFonts w:hint="eastAsia"/>
          <w:color w:val="auto"/>
          <w:highlight w:val="none"/>
        </w:rPr>
        <w:t>章）</w:t>
      </w:r>
    </w:p>
    <w:p>
      <w:pPr>
        <w:keepNext w:val="0"/>
        <w:keepLines w:val="0"/>
        <w:pageBreakBefore w:val="0"/>
        <w:widowControl w:val="0"/>
        <w:kinsoku/>
        <w:wordWrap/>
        <w:overflowPunct/>
        <w:topLinePunct w:val="0"/>
        <w:autoSpaceDE/>
        <w:autoSpaceDN/>
        <w:bidi w:val="0"/>
        <w:adjustRightInd/>
        <w:snapToGrid/>
        <w:spacing w:line="300" w:lineRule="exact"/>
        <w:ind w:firstLine="4620" w:firstLineChars="2200"/>
        <w:textAlignment w:val="auto"/>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p>
    <w:p>
      <w:pPr>
        <w:spacing w:line="240" w:lineRule="auto"/>
        <w:rPr>
          <w:rFonts w:hint="eastAsia" w:ascii="黑体" w:eastAsia="黑体"/>
          <w:color w:val="auto"/>
          <w:sz w:val="24"/>
          <w:highlight w:val="none"/>
        </w:rPr>
      </w:pPr>
      <w:r>
        <w:rPr>
          <w:rFonts w:hint="eastAsia" w:ascii="黑体" w:eastAsia="黑体"/>
          <w:color w:val="auto"/>
          <w:sz w:val="24"/>
          <w:highlight w:val="none"/>
        </w:rPr>
        <w:t>附表三：问题的澄清</w:t>
      </w:r>
    </w:p>
    <w:p>
      <w:pPr>
        <w:spacing w:before="240" w:beforeLines="100" w:after="240" w:afterLines="100" w:line="24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问题的澄清、说明或补正（参考格式）</w:t>
      </w:r>
    </w:p>
    <w:p>
      <w:pPr>
        <w:keepNext w:val="0"/>
        <w:keepLines w:val="0"/>
        <w:pageBreakBefore w:val="0"/>
        <w:widowControl w:val="0"/>
        <w:kinsoku/>
        <w:wordWrap/>
        <w:overflowPunct/>
        <w:topLinePunct w:val="0"/>
        <w:autoSpaceDE/>
        <w:autoSpaceDN/>
        <w:bidi w:val="0"/>
        <w:adjustRightInd/>
        <w:snapToGrid/>
        <w:spacing w:line="300" w:lineRule="exact"/>
        <w:ind w:right="0"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textAlignment w:val="auto"/>
        <w:rPr>
          <w:rFonts w:hint="eastAsia"/>
          <w:color w:val="auto"/>
          <w:highlight w:val="none"/>
        </w:rPr>
      </w:pPr>
      <w:r>
        <w:rPr>
          <w:rFonts w:hint="eastAsia"/>
          <w:color w:val="auto"/>
          <w:highlight w:val="none"/>
        </w:rPr>
        <w:t xml:space="preserve">  </w:t>
      </w:r>
      <w:r>
        <w:rPr>
          <w:rFonts w:hint="eastAsia"/>
          <w:color w:val="auto"/>
          <w:highlight w:val="none"/>
          <w:u w:val="single"/>
        </w:rPr>
        <w:t xml:space="preserve">            （项目名称）      </w:t>
      </w:r>
      <w:r>
        <w:rPr>
          <w:rFonts w:hint="eastAsia"/>
          <w:color w:val="auto"/>
          <w:highlight w:val="none"/>
        </w:rPr>
        <w:t>施工招标评标委员会：</w:t>
      </w:r>
    </w:p>
    <w:p>
      <w:pPr>
        <w:keepNext w:val="0"/>
        <w:keepLines w:val="0"/>
        <w:pageBreakBefore w:val="0"/>
        <w:widowControl w:val="0"/>
        <w:kinsoku/>
        <w:wordWrap/>
        <w:overflowPunct/>
        <w:topLinePunct w:val="0"/>
        <w:autoSpaceDE/>
        <w:autoSpaceDN/>
        <w:bidi w:val="0"/>
        <w:adjustRightInd/>
        <w:snapToGrid/>
        <w:spacing w:line="300" w:lineRule="exact"/>
        <w:ind w:right="0" w:firstLine="420" w:firstLineChars="200"/>
        <w:textAlignment w:val="auto"/>
        <w:rPr>
          <w:rFonts w:hint="eastAsia"/>
          <w:color w:val="auto"/>
          <w:highlight w:val="none"/>
        </w:rPr>
      </w:pPr>
      <w:r>
        <w:rPr>
          <w:rFonts w:hint="eastAsia"/>
          <w:color w:val="auto"/>
          <w:highlight w:val="none"/>
        </w:rPr>
        <w:t>问题澄清通知（编号：</w:t>
      </w:r>
      <w:r>
        <w:rPr>
          <w:rFonts w:hint="eastAsia"/>
          <w:color w:val="auto"/>
          <w:highlight w:val="none"/>
          <w:u w:val="single"/>
        </w:rPr>
        <w:t xml:space="preserve">      </w:t>
      </w:r>
      <w:r>
        <w:rPr>
          <w:rFonts w:hint="eastAsia"/>
          <w:color w:val="auto"/>
          <w:highlight w:val="none"/>
        </w:rPr>
        <w:t>）已收悉，现澄清、说明或者补正如下：</w:t>
      </w:r>
    </w:p>
    <w:p>
      <w:pPr>
        <w:keepNext w:val="0"/>
        <w:keepLines w:val="0"/>
        <w:pageBreakBefore w:val="0"/>
        <w:widowControl w:val="0"/>
        <w:kinsoku/>
        <w:wordWrap/>
        <w:overflowPunct/>
        <w:topLinePunct w:val="0"/>
        <w:autoSpaceDE/>
        <w:autoSpaceDN/>
        <w:bidi w:val="0"/>
        <w:adjustRightInd/>
        <w:snapToGrid/>
        <w:spacing w:line="300" w:lineRule="exact"/>
        <w:ind w:right="0" w:firstLine="420" w:firstLineChars="200"/>
        <w:textAlignment w:val="auto"/>
        <w:rPr>
          <w:rFonts w:hint="eastAsia"/>
          <w:color w:val="auto"/>
          <w:highlight w:val="none"/>
        </w:rPr>
      </w:pPr>
      <w:r>
        <w:rPr>
          <w:rFonts w:hint="eastAsia"/>
          <w:color w:val="auto"/>
          <w:highlight w:val="none"/>
        </w:rPr>
        <w:t>1.</w:t>
      </w:r>
    </w:p>
    <w:p>
      <w:pPr>
        <w:keepNext w:val="0"/>
        <w:keepLines w:val="0"/>
        <w:pageBreakBefore w:val="0"/>
        <w:widowControl w:val="0"/>
        <w:kinsoku/>
        <w:wordWrap/>
        <w:overflowPunct/>
        <w:topLinePunct w:val="0"/>
        <w:autoSpaceDE/>
        <w:autoSpaceDN/>
        <w:bidi w:val="0"/>
        <w:adjustRightInd/>
        <w:snapToGrid/>
        <w:spacing w:line="300" w:lineRule="exact"/>
        <w:ind w:right="0" w:firstLine="420" w:firstLineChars="200"/>
        <w:textAlignment w:val="auto"/>
        <w:rPr>
          <w:rFonts w:hint="eastAsia"/>
          <w:color w:val="auto"/>
          <w:highlight w:val="none"/>
        </w:rPr>
      </w:pPr>
      <w:r>
        <w:rPr>
          <w:rFonts w:hint="eastAsia"/>
          <w:color w:val="auto"/>
          <w:highlight w:val="none"/>
        </w:rPr>
        <w:t>2.</w:t>
      </w:r>
    </w:p>
    <w:p>
      <w:pPr>
        <w:keepNext w:val="0"/>
        <w:keepLines w:val="0"/>
        <w:pageBreakBefore w:val="0"/>
        <w:widowControl w:val="0"/>
        <w:kinsoku/>
        <w:wordWrap/>
        <w:overflowPunct/>
        <w:topLinePunct w:val="0"/>
        <w:autoSpaceDE/>
        <w:autoSpaceDN/>
        <w:bidi w:val="0"/>
        <w:adjustRightInd/>
        <w:snapToGrid/>
        <w:spacing w:line="300" w:lineRule="exact"/>
        <w:ind w:right="0" w:firstLine="420" w:firstLineChars="200"/>
        <w:textAlignment w:val="auto"/>
        <w:rPr>
          <w:rFonts w:hint="eastAsia"/>
          <w:color w:val="auto"/>
          <w:highlight w:val="none"/>
        </w:rPr>
      </w:pP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right="0" w:firstLine="420" w:firstLineChars="200"/>
        <w:jc w:val="right"/>
        <w:textAlignment w:val="auto"/>
        <w:rPr>
          <w:rFonts w:hint="eastAsia"/>
          <w:color w:val="auto"/>
          <w:highlight w:val="none"/>
        </w:rPr>
      </w:pPr>
      <w:r>
        <w:rPr>
          <w:rFonts w:hint="eastAsia" w:ascii="黑体" w:eastAsia="黑体"/>
          <w:color w:val="auto"/>
          <w:highlight w:val="none"/>
        </w:rPr>
        <w:t>投标人：</w:t>
      </w:r>
      <w:r>
        <w:rPr>
          <w:rFonts w:hint="eastAsia"/>
          <w:color w:val="auto"/>
          <w:highlight w:val="none"/>
          <w:u w:val="single"/>
        </w:rPr>
        <w:t xml:space="preserve">                           </w:t>
      </w:r>
      <w:r>
        <w:rPr>
          <w:rFonts w:hint="eastAsia"/>
          <w:color w:val="auto"/>
          <w:highlight w:val="none"/>
        </w:rPr>
        <w:t>（盖单位</w:t>
      </w:r>
      <w:r>
        <w:rPr>
          <w:rFonts w:hint="eastAsia"/>
          <w:color w:val="auto"/>
          <w:highlight w:val="none"/>
          <w:lang w:eastAsia="zh-CN"/>
        </w:rPr>
        <w:t>公</w:t>
      </w:r>
      <w:r>
        <w:rPr>
          <w:rFonts w:hint="eastAsia"/>
          <w:color w:val="auto"/>
          <w:highlight w:val="none"/>
        </w:rPr>
        <w:t xml:space="preserve">章） </w:t>
      </w:r>
    </w:p>
    <w:p>
      <w:pPr>
        <w:keepNext w:val="0"/>
        <w:keepLines w:val="0"/>
        <w:pageBreakBefore w:val="0"/>
        <w:widowControl w:val="0"/>
        <w:kinsoku/>
        <w:wordWrap/>
        <w:overflowPunct/>
        <w:topLinePunct w:val="0"/>
        <w:autoSpaceDE/>
        <w:autoSpaceDN/>
        <w:bidi w:val="0"/>
        <w:adjustRightInd/>
        <w:snapToGrid/>
        <w:spacing w:line="300" w:lineRule="exact"/>
        <w:ind w:right="0"/>
        <w:jc w:val="right"/>
        <w:textAlignment w:val="auto"/>
        <w:rPr>
          <w:rFonts w:hint="eastAsia"/>
          <w:color w:val="auto"/>
          <w:highlight w:val="none"/>
        </w:rPr>
      </w:pPr>
      <w:r>
        <w:rPr>
          <w:rFonts w:hint="eastAsia" w:ascii="黑体" w:eastAsia="黑体"/>
          <w:color w:val="auto"/>
          <w:highlight w:val="none"/>
        </w:rPr>
        <w:t>法定代表人或其委托代理人：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（签</w:t>
      </w:r>
      <w:r>
        <w:rPr>
          <w:rFonts w:hint="eastAsia"/>
          <w:color w:val="auto"/>
          <w:highlight w:val="none"/>
          <w:lang w:eastAsia="zh-CN"/>
        </w:rPr>
        <w:t>名</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firstLine="5775" w:firstLineChars="2750"/>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keepNext w:val="0"/>
        <w:keepLines w:val="0"/>
        <w:pageBreakBefore w:val="0"/>
        <w:widowControl w:val="0"/>
        <w:kinsoku/>
        <w:wordWrap/>
        <w:overflowPunct/>
        <w:topLinePunct w:val="0"/>
        <w:autoSpaceDE/>
        <w:autoSpaceDN/>
        <w:bidi w:val="0"/>
        <w:adjustRightInd/>
        <w:snapToGrid/>
        <w:spacing w:line="300" w:lineRule="exact"/>
        <w:ind w:right="0" w:firstLine="5775" w:firstLineChars="275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_GB2312" w:eastAsia="楷体_GB2312"/>
          <w:color w:val="auto"/>
          <w:highlight w:val="none"/>
        </w:rPr>
      </w:pPr>
      <w:r>
        <w:rPr>
          <w:rFonts w:hint="eastAsia"/>
          <w:color w:val="auto"/>
          <w:highlight w:val="none"/>
        </w:rPr>
        <w:t xml:space="preserve">  </w:t>
      </w:r>
    </w:p>
    <w:p>
      <w:pPr>
        <w:spacing w:line="240" w:lineRule="auto"/>
        <w:ind w:left="225" w:leftChars="107" w:firstLine="525" w:firstLineChars="250"/>
        <w:rPr>
          <w:rFonts w:hint="eastAsia" w:ascii="宋体" w:hAnsi="宋体"/>
          <w:color w:val="auto"/>
          <w:szCs w:val="21"/>
          <w:highlight w:val="none"/>
        </w:rPr>
      </w:pPr>
    </w:p>
    <w:p>
      <w:pPr>
        <w:widowControl/>
        <w:snapToGrid w:val="0"/>
        <w:ind w:left="10" w:hanging="10"/>
        <w:rPr>
          <w:rFonts w:hint="eastAsia" w:ascii="黑体" w:eastAsia="黑体" w:cs="黑体"/>
          <w:color w:val="auto"/>
          <w:spacing w:val="2"/>
          <w:kern w:val="0"/>
          <w:position w:val="-3"/>
          <w:sz w:val="24"/>
          <w:highlight w:val="none"/>
          <w:lang w:eastAsia="zh-CN"/>
        </w:rPr>
      </w:pPr>
      <w:r>
        <w:rPr>
          <w:rFonts w:hint="eastAsia" w:ascii="黑体" w:eastAsia="黑体" w:cs="黑体"/>
          <w:color w:val="auto"/>
          <w:spacing w:val="2"/>
          <w:kern w:val="0"/>
          <w:position w:val="-3"/>
          <w:sz w:val="24"/>
          <w:highlight w:val="none"/>
        </w:rPr>
        <w:br w:type="page"/>
      </w:r>
      <w:r>
        <w:rPr>
          <w:rFonts w:hint="eastAsia" w:ascii="黑体" w:eastAsia="黑体" w:cs="黑体"/>
          <w:color w:val="auto"/>
          <w:spacing w:val="2"/>
          <w:kern w:val="0"/>
          <w:position w:val="-3"/>
          <w:sz w:val="24"/>
          <w:highlight w:val="none"/>
        </w:rPr>
        <w:t>附表</w:t>
      </w:r>
      <w:r>
        <w:rPr>
          <w:rFonts w:hint="eastAsia" w:ascii="黑体" w:eastAsia="黑体" w:cs="黑体"/>
          <w:color w:val="auto"/>
          <w:spacing w:val="2"/>
          <w:kern w:val="0"/>
          <w:position w:val="-3"/>
          <w:sz w:val="24"/>
          <w:highlight w:val="none"/>
          <w:lang w:eastAsia="zh-CN"/>
        </w:rPr>
        <w:t>四</w:t>
      </w:r>
      <w:r>
        <w:rPr>
          <w:rFonts w:hint="eastAsia" w:ascii="黑体" w:eastAsia="黑体" w:cs="黑体"/>
          <w:color w:val="auto"/>
          <w:spacing w:val="2"/>
          <w:kern w:val="0"/>
          <w:position w:val="-3"/>
          <w:sz w:val="24"/>
          <w:highlight w:val="none"/>
        </w:rPr>
        <w:t>：考察事项表</w:t>
      </w:r>
      <w:r>
        <w:rPr>
          <w:rFonts w:hint="eastAsia" w:ascii="黑体" w:eastAsia="黑体" w:cs="黑体"/>
          <w:color w:val="auto"/>
          <w:spacing w:val="2"/>
          <w:kern w:val="0"/>
          <w:position w:val="-3"/>
          <w:sz w:val="24"/>
          <w:highlight w:val="none"/>
          <w:lang w:eastAsia="zh-CN"/>
        </w:rPr>
        <w:t>（评定分离适用）</w:t>
      </w:r>
    </w:p>
    <w:p>
      <w:pPr>
        <w:spacing w:before="360" w:beforeLines="150" w:after="360" w:afterLines="15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考察事项表</w:t>
      </w:r>
    </w:p>
    <w:p>
      <w:pPr>
        <w:widowControl/>
        <w:tabs>
          <w:tab w:val="center" w:pos="5495"/>
        </w:tabs>
        <w:spacing w:after="5"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p>
    <w:p>
      <w:pPr>
        <w:widowControl/>
        <w:tabs>
          <w:tab w:val="center" w:pos="5495"/>
        </w:tabs>
        <w:spacing w:after="5"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p>
    <w:tbl>
      <w:tblPr>
        <w:tblStyle w:val="42"/>
        <w:tblW w:w="0" w:type="auto"/>
        <w:tblInd w:w="141" w:type="dxa"/>
        <w:tblLayout w:type="fixed"/>
        <w:tblCellMar>
          <w:top w:w="39" w:type="dxa"/>
          <w:left w:w="0" w:type="dxa"/>
          <w:bottom w:w="0" w:type="dxa"/>
          <w:right w:w="29" w:type="dxa"/>
        </w:tblCellMar>
      </w:tblPr>
      <w:tblGrid>
        <w:gridCol w:w="594"/>
        <w:gridCol w:w="2310"/>
        <w:gridCol w:w="4620"/>
        <w:gridCol w:w="1470"/>
      </w:tblGrid>
      <w:tr>
        <w:tblPrEx>
          <w:tblCellMar>
            <w:top w:w="39" w:type="dxa"/>
            <w:left w:w="0" w:type="dxa"/>
            <w:bottom w:w="0" w:type="dxa"/>
            <w:right w:w="29" w:type="dxa"/>
          </w:tblCellMar>
        </w:tblPrEx>
        <w:trPr>
          <w:trHeight w:val="818" w:hRule="atLeast"/>
        </w:trPr>
        <w:tc>
          <w:tcPr>
            <w:tcW w:w="594"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color w:val="auto"/>
                <w:szCs w:val="21"/>
                <w:highlight w:val="none"/>
              </w:rPr>
            </w:pPr>
            <w:r>
              <w:rPr>
                <w:rFonts w:hint="eastAsia" w:ascii="宋体" w:hAnsi="宋体" w:cs="黑体"/>
                <w:color w:val="auto"/>
                <w:szCs w:val="21"/>
                <w:highlight w:val="none"/>
              </w:rPr>
              <w:t>序号</w:t>
            </w: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color w:val="auto"/>
                <w:szCs w:val="21"/>
                <w:highlight w:val="none"/>
              </w:rPr>
            </w:pPr>
            <w:r>
              <w:rPr>
                <w:rFonts w:hint="eastAsia" w:ascii="宋体" w:hAnsi="宋体" w:cs="黑体"/>
                <w:color w:val="auto"/>
                <w:szCs w:val="21"/>
                <w:highlight w:val="none"/>
              </w:rPr>
              <w:t>考察因素</w:t>
            </w:r>
          </w:p>
        </w:tc>
        <w:tc>
          <w:tcPr>
            <w:tcW w:w="462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color w:val="auto"/>
                <w:szCs w:val="21"/>
                <w:highlight w:val="none"/>
              </w:rPr>
            </w:pPr>
            <w:r>
              <w:rPr>
                <w:rFonts w:hint="eastAsia" w:ascii="宋体" w:hAnsi="宋体" w:cs="黑体"/>
                <w:color w:val="auto"/>
                <w:szCs w:val="21"/>
                <w:highlight w:val="none"/>
              </w:rPr>
              <w:t>具体考察内容</w:t>
            </w:r>
          </w:p>
        </w:tc>
        <w:tc>
          <w:tcPr>
            <w:tcW w:w="147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color w:val="auto"/>
                <w:szCs w:val="21"/>
                <w:highlight w:val="none"/>
              </w:rPr>
            </w:pPr>
            <w:r>
              <w:rPr>
                <w:rFonts w:hint="eastAsia" w:ascii="宋体" w:hAnsi="宋体" w:cs="黑体"/>
                <w:color w:val="auto"/>
                <w:szCs w:val="21"/>
                <w:highlight w:val="none"/>
              </w:rPr>
              <w:t>备注</w:t>
            </w:r>
          </w:p>
        </w:tc>
      </w:tr>
      <w:tr>
        <w:tblPrEx>
          <w:tblCellMar>
            <w:top w:w="39" w:type="dxa"/>
            <w:left w:w="0" w:type="dxa"/>
            <w:bottom w:w="0" w:type="dxa"/>
            <w:right w:w="29" w:type="dxa"/>
          </w:tblCellMar>
        </w:tblPrEx>
        <w:trPr>
          <w:trHeight w:val="932" w:hRule="atLeast"/>
        </w:trPr>
        <w:tc>
          <w:tcPr>
            <w:tcW w:w="594"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462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147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r>
        <w:tblPrEx>
          <w:tblCellMar>
            <w:top w:w="39" w:type="dxa"/>
            <w:left w:w="0" w:type="dxa"/>
            <w:bottom w:w="0" w:type="dxa"/>
            <w:right w:w="29" w:type="dxa"/>
          </w:tblCellMar>
        </w:tblPrEx>
        <w:trPr>
          <w:trHeight w:val="932" w:hRule="atLeast"/>
        </w:trPr>
        <w:tc>
          <w:tcPr>
            <w:tcW w:w="594"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462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147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bl>
    <w:p>
      <w:pPr>
        <w:widowControl/>
        <w:spacing w:line="360" w:lineRule="auto"/>
        <w:ind w:hanging="8"/>
        <w:rPr>
          <w:rFonts w:hint="eastAsia" w:ascii="宋体" w:hAnsi="宋体" w:cs="宋体"/>
          <w:color w:val="auto"/>
          <w:kern w:val="0"/>
          <w:szCs w:val="21"/>
          <w:highlight w:val="none"/>
        </w:rPr>
      </w:pPr>
    </w:p>
    <w:p>
      <w:pPr>
        <w:pStyle w:val="41"/>
        <w:ind w:firstLine="0" w:firstLineChars="0"/>
        <w:rPr>
          <w:rFonts w:hint="eastAsia" w:ascii="宋体"/>
          <w:color w:val="auto"/>
          <w:szCs w:val="21"/>
          <w:highlight w:val="none"/>
        </w:rPr>
      </w:pPr>
    </w:p>
    <w:p>
      <w:pPr>
        <w:pStyle w:val="38"/>
        <w:rPr>
          <w:rFonts w:hint="eastAsia" w:ascii="黑体" w:hAnsi="宋体" w:eastAsia="黑体"/>
          <w:color w:val="auto"/>
          <w:sz w:val="28"/>
          <w:szCs w:val="28"/>
          <w:highlight w:val="none"/>
          <w:lang w:eastAsia="zh-CN"/>
        </w:rPr>
      </w:pPr>
      <w:r>
        <w:rPr>
          <w:rFonts w:ascii="黑体" w:eastAsia="黑体"/>
          <w:color w:val="auto"/>
          <w:sz w:val="36"/>
          <w:szCs w:val="36"/>
          <w:highlight w:val="none"/>
        </w:rPr>
        <w:br w:type="page"/>
      </w:r>
      <w:bookmarkStart w:id="24" w:name="_Toc2047765272"/>
      <w:bookmarkStart w:id="25" w:name="_Toc1880262001"/>
      <w:bookmarkStart w:id="26" w:name="_Toc712157196"/>
      <w:bookmarkStart w:id="27" w:name="_Toc28964995"/>
      <w:r>
        <w:rPr>
          <w:rFonts w:hint="eastAsia" w:ascii="宋体" w:hAnsi="宋体" w:eastAsia="宋体"/>
          <w:color w:val="auto"/>
          <w:sz w:val="36"/>
          <w:szCs w:val="36"/>
          <w:highlight w:val="none"/>
        </w:rPr>
        <w:t>第三章  评标办法</w:t>
      </w:r>
      <w:bookmarkEnd w:id="24"/>
      <w:bookmarkEnd w:id="25"/>
      <w:bookmarkEnd w:id="26"/>
    </w:p>
    <w:p>
      <w:pPr>
        <w:spacing w:after="120" w:afterLines="50"/>
        <w:outlineLvl w:val="2"/>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t>评标办法前附</w:t>
      </w:r>
      <w:r>
        <w:rPr>
          <w:rFonts w:ascii="黑体" w:hAnsi="宋体" w:eastAsia="黑体"/>
          <w:color w:val="auto"/>
          <w:sz w:val="28"/>
          <w:szCs w:val="28"/>
          <w:highlight w:val="none"/>
        </w:rPr>
        <w:t>表</w:t>
      </w:r>
    </w:p>
    <w:tbl>
      <w:tblPr>
        <w:tblStyle w:val="42"/>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4"/>
        <w:gridCol w:w="1171"/>
        <w:gridCol w:w="2145"/>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1815" w:type="dxa"/>
            <w:gridSpan w:val="2"/>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条款号</w:t>
            </w:r>
          </w:p>
        </w:tc>
        <w:tc>
          <w:tcPr>
            <w:tcW w:w="2145"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评审因素</w:t>
            </w:r>
          </w:p>
        </w:tc>
        <w:tc>
          <w:tcPr>
            <w:tcW w:w="5898"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restart"/>
            <w:noWrap w:val="0"/>
            <w:vAlign w:val="center"/>
          </w:tcPr>
          <w:p>
            <w:pPr>
              <w:jc w:val="center"/>
              <w:rPr>
                <w:rFonts w:hint="eastAsia" w:ascii="宋体" w:hAnsi="宋体"/>
                <w:b/>
                <w:bCs/>
                <w:color w:val="auto"/>
                <w:szCs w:val="21"/>
                <w:highlight w:val="none"/>
              </w:rPr>
            </w:pPr>
            <w:r>
              <w:rPr>
                <w:rFonts w:ascii="宋体" w:hAnsi="宋体"/>
                <w:b/>
                <w:bCs/>
                <w:color w:val="auto"/>
                <w:szCs w:val="21"/>
                <w:highlight w:val="none"/>
              </w:rPr>
              <w:t>4</w:t>
            </w:r>
            <w:r>
              <w:rPr>
                <w:rFonts w:hint="eastAsia" w:ascii="宋体" w:hAnsi="宋体"/>
                <w:b/>
                <w:bCs/>
                <w:color w:val="auto"/>
                <w:szCs w:val="21"/>
                <w:highlight w:val="none"/>
              </w:rPr>
              <w:t>.1.1</w:t>
            </w:r>
          </w:p>
        </w:tc>
        <w:tc>
          <w:tcPr>
            <w:tcW w:w="1171" w:type="dxa"/>
            <w:vMerge w:val="restart"/>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资格（形式、响应）评审标准</w:t>
            </w: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营业执照</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安全生产许可证</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具备有效的安全生产许可证（园林绿化企业不需提供）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投标人资格</w:t>
            </w:r>
            <w:r>
              <w:rPr>
                <w:rFonts w:hint="eastAsia" w:ascii="宋体" w:hAnsi="宋体"/>
                <w:color w:val="auto"/>
                <w:szCs w:val="21"/>
                <w:highlight w:val="none"/>
                <w:lang w:val="en-US" w:eastAsia="zh-CN"/>
              </w:rPr>
              <w:t>条件</w:t>
            </w:r>
            <w:r>
              <w:rPr>
                <w:rFonts w:hint="eastAsia" w:ascii="宋体" w:hAnsi="宋体"/>
                <w:color w:val="auto"/>
                <w:szCs w:val="21"/>
                <w:highlight w:val="none"/>
              </w:rPr>
              <w:t>要求</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第1.4</w:t>
            </w:r>
            <w:r>
              <w:rPr>
                <w:rFonts w:hint="eastAsia" w:ascii="宋体" w:hAnsi="宋体"/>
                <w:color w:val="auto"/>
                <w:szCs w:val="21"/>
                <w:highlight w:val="none"/>
                <w:lang w:val="en-US" w:eastAsia="zh-CN"/>
              </w:rPr>
              <w:t>.1</w:t>
            </w:r>
            <w:r>
              <w:rPr>
                <w:rFonts w:hint="eastAsia"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联合体投标人（如有）</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投标保证金</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投标人名称</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投标文件格式</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hAnsi="宋体"/>
                <w:color w:val="auto"/>
                <w:szCs w:val="21"/>
                <w:highlight w:val="none"/>
              </w:rPr>
            </w:pPr>
            <w:r>
              <w:rPr>
                <w:rFonts w:hint="eastAsia" w:hAnsi="宋体"/>
                <w:color w:val="auto"/>
                <w:szCs w:val="21"/>
                <w:highlight w:val="none"/>
              </w:rPr>
              <w:t>投标文件</w:t>
            </w:r>
            <w:r>
              <w:rPr>
                <w:rFonts w:hint="eastAsia" w:ascii="宋体" w:hAnsi="宋体"/>
                <w:color w:val="auto"/>
                <w:szCs w:val="21"/>
                <w:highlight w:val="none"/>
              </w:rPr>
              <w:t>签</w:t>
            </w:r>
            <w:r>
              <w:rPr>
                <w:rFonts w:hint="eastAsia" w:ascii="宋体" w:hAnsi="宋体"/>
                <w:color w:val="auto"/>
                <w:szCs w:val="21"/>
                <w:highlight w:val="none"/>
                <w:lang w:eastAsia="zh-CN"/>
              </w:rPr>
              <w:t>名盖</w:t>
            </w:r>
            <w:r>
              <w:rPr>
                <w:rFonts w:hint="eastAsia" w:hAnsi="宋体"/>
                <w:color w:val="auto"/>
                <w:szCs w:val="21"/>
                <w:highlight w:val="none"/>
              </w:rPr>
              <w:t>章</w:t>
            </w:r>
          </w:p>
        </w:tc>
        <w:tc>
          <w:tcPr>
            <w:tcW w:w="5898" w:type="dxa"/>
            <w:noWrap w:val="0"/>
            <w:vAlign w:val="center"/>
          </w:tcPr>
          <w:p>
            <w:pPr>
              <w:rPr>
                <w:rFonts w:hint="eastAsia" w:hAnsi="宋体"/>
                <w:color w:val="auto"/>
                <w:szCs w:val="21"/>
                <w:highlight w:val="none"/>
              </w:rPr>
            </w:pPr>
            <w:r>
              <w:rPr>
                <w:rFonts w:hint="eastAsia" w:hAnsi="宋体"/>
                <w:color w:val="auto"/>
                <w:szCs w:val="21"/>
                <w:highlight w:val="none"/>
              </w:rPr>
              <w:t>符合招标文件中有关签</w:t>
            </w:r>
            <w:r>
              <w:rPr>
                <w:rFonts w:hint="eastAsia" w:hAnsi="宋体"/>
                <w:color w:val="auto"/>
                <w:szCs w:val="21"/>
                <w:highlight w:val="none"/>
                <w:lang w:eastAsia="zh-CN"/>
              </w:rPr>
              <w:t>名</w:t>
            </w:r>
            <w:r>
              <w:rPr>
                <w:rFonts w:hint="eastAsia" w:hAnsi="宋体"/>
                <w:color w:val="auto"/>
                <w:szCs w:val="21"/>
                <w:highlight w:val="none"/>
              </w:rPr>
              <w:t>或盖章的要求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投标函签</w:t>
            </w:r>
            <w:r>
              <w:rPr>
                <w:rFonts w:hint="eastAsia" w:ascii="宋体" w:hAnsi="宋体"/>
                <w:color w:val="auto"/>
                <w:szCs w:val="21"/>
                <w:highlight w:val="none"/>
                <w:lang w:eastAsia="zh-CN"/>
              </w:rPr>
              <w:t>名</w:t>
            </w:r>
            <w:r>
              <w:rPr>
                <w:rFonts w:hint="eastAsia" w:ascii="宋体" w:hAnsi="宋体"/>
                <w:color w:val="auto"/>
                <w:szCs w:val="21"/>
                <w:highlight w:val="none"/>
              </w:rPr>
              <w:t>盖章</w:t>
            </w:r>
          </w:p>
        </w:tc>
        <w:tc>
          <w:tcPr>
            <w:tcW w:w="5898" w:type="dxa"/>
            <w:noWrap w:val="0"/>
            <w:vAlign w:val="center"/>
          </w:tcPr>
          <w:p>
            <w:pPr>
              <w:rPr>
                <w:rFonts w:hint="eastAsia" w:ascii="宋体" w:hAnsi="宋体"/>
                <w:color w:val="auto"/>
                <w:szCs w:val="21"/>
                <w:highlight w:val="none"/>
              </w:rPr>
            </w:pPr>
            <w:r>
              <w:rPr>
                <w:rFonts w:hint="eastAsia" w:hAnsi="宋体"/>
                <w:color w:val="auto"/>
                <w:szCs w:val="21"/>
                <w:highlight w:val="none"/>
              </w:rPr>
              <w:t>符合招标文件中有关签</w:t>
            </w:r>
            <w:r>
              <w:rPr>
                <w:rFonts w:hint="eastAsia" w:hAnsi="宋体"/>
                <w:color w:val="auto"/>
                <w:szCs w:val="21"/>
                <w:highlight w:val="none"/>
                <w:lang w:eastAsia="zh-CN"/>
              </w:rPr>
              <w:t>名</w:t>
            </w:r>
            <w:r>
              <w:rPr>
                <w:rFonts w:hint="eastAsia" w:hAnsi="宋体"/>
                <w:color w:val="auto"/>
                <w:szCs w:val="21"/>
                <w:highlight w:val="none"/>
              </w:rPr>
              <w:t>或盖章的要求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投标报价</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只能有一个有效报价，符合</w:t>
            </w:r>
            <w:r>
              <w:rPr>
                <w:rFonts w:hint="eastAsia" w:ascii="宋体" w:hAnsi="宋体"/>
                <w:color w:val="auto"/>
                <w:szCs w:val="21"/>
                <w:highlight w:val="none"/>
                <w:lang w:eastAsia="zh-CN"/>
              </w:rPr>
              <w:t>“</w:t>
            </w:r>
            <w:r>
              <w:rPr>
                <w:rFonts w:hint="eastAsia" w:ascii="宋体" w:hAnsi="宋体"/>
                <w:color w:val="auto"/>
                <w:szCs w:val="21"/>
                <w:highlight w:val="none"/>
              </w:rPr>
              <w:t>投标人须知</w:t>
            </w:r>
            <w:r>
              <w:rPr>
                <w:rFonts w:hint="eastAsia" w:ascii="宋体" w:hAnsi="宋体"/>
                <w:color w:val="auto"/>
                <w:szCs w:val="21"/>
                <w:highlight w:val="none"/>
                <w:lang w:eastAsia="zh-CN"/>
              </w:rPr>
              <w:t>正文”</w:t>
            </w:r>
            <w:r>
              <w:rPr>
                <w:rFonts w:hint="eastAsia" w:ascii="宋体" w:hAnsi="宋体"/>
                <w:color w:val="auto"/>
                <w:szCs w:val="21"/>
                <w:highlight w:val="none"/>
              </w:rPr>
              <w:t>第</w:t>
            </w:r>
            <w:r>
              <w:rPr>
                <w:rFonts w:hint="eastAsia" w:ascii="宋体" w:hAnsi="宋体"/>
                <w:color w:val="auto"/>
                <w:szCs w:val="21"/>
                <w:highlight w:val="none"/>
                <w:lang w:val="en-US" w:eastAsia="zh-CN"/>
              </w:rPr>
              <w:t>3.2</w:t>
            </w:r>
            <w:r>
              <w:rPr>
                <w:rFonts w:hint="eastAsia"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投标内容</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工期</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工程质量</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已标价工程量清单</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招标人</w:t>
            </w:r>
            <w:r>
              <w:rPr>
                <w:rFonts w:hint="eastAsia" w:ascii="宋体" w:hAnsi="宋体"/>
                <w:color w:val="auto"/>
                <w:szCs w:val="21"/>
                <w:highlight w:val="none"/>
              </w:rPr>
              <w:t>工程量清单给出的子目编码、子目名称、子目特征、计量单位和工程量。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color w:val="auto"/>
                <w:highlight w:val="none"/>
              </w:rPr>
              <w:t>承诺书</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eastAsia="zh-CN"/>
              </w:rPr>
              <w:t>按招标文件要求作出</w:t>
            </w:r>
            <w:r>
              <w:rPr>
                <w:rFonts w:hint="eastAsia" w:ascii="宋体" w:hAnsi="宋体"/>
                <w:color w:val="auto"/>
                <w:szCs w:val="21"/>
                <w:highlight w:val="none"/>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权利义务</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符合“合同条款及格式”的规定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分包计划（如有）</w:t>
            </w:r>
          </w:p>
        </w:tc>
        <w:tc>
          <w:tcPr>
            <w:tcW w:w="5898" w:type="dxa"/>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符合</w:t>
            </w:r>
            <w:r>
              <w:rPr>
                <w:rFonts w:hint="eastAsia" w:ascii="宋体" w:hAnsi="宋体"/>
                <w:color w:val="auto"/>
                <w:szCs w:val="21"/>
                <w:highlight w:val="none"/>
                <w:lang w:eastAsia="zh-CN"/>
              </w:rPr>
              <w:t>“</w:t>
            </w:r>
            <w:r>
              <w:rPr>
                <w:rFonts w:hint="eastAsia" w:ascii="宋体" w:hAnsi="宋体"/>
                <w:color w:val="auto"/>
                <w:szCs w:val="21"/>
                <w:highlight w:val="none"/>
              </w:rPr>
              <w:t>投标人须知正文</w:t>
            </w:r>
            <w:r>
              <w:rPr>
                <w:rFonts w:hint="eastAsia" w:ascii="宋体" w:hAnsi="宋体"/>
                <w:color w:val="auto"/>
                <w:szCs w:val="21"/>
                <w:highlight w:val="none"/>
                <w:lang w:eastAsia="zh-CN"/>
              </w:rPr>
              <w:t>”</w:t>
            </w:r>
            <w:r>
              <w:rPr>
                <w:rFonts w:hint="eastAsia" w:ascii="宋体" w:hAnsi="宋体"/>
                <w:color w:val="auto"/>
                <w:szCs w:val="21"/>
                <w:highlight w:val="none"/>
              </w:rPr>
              <w:t>第1.10款规定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4" w:type="dxa"/>
            <w:vMerge w:val="continue"/>
            <w:noWrap w:val="0"/>
            <w:vAlign w:val="center"/>
          </w:tcPr>
          <w:p>
            <w:pPr>
              <w:jc w:val="center"/>
              <w:rPr>
                <w:rFonts w:hint="eastAsia"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否决性条款</w:t>
            </w:r>
          </w:p>
        </w:tc>
        <w:tc>
          <w:tcPr>
            <w:tcW w:w="589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按招标文件中“否决性条款摘要”的内容判断其投标是否被否决。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atLeast"/>
          <w:jc w:val="center"/>
        </w:trPr>
        <w:tc>
          <w:tcPr>
            <w:tcW w:w="1815" w:type="dxa"/>
            <w:gridSpan w:val="2"/>
            <w:noWrap w:val="0"/>
            <w:vAlign w:val="center"/>
          </w:tcPr>
          <w:p>
            <w:pPr>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条款号</w:t>
            </w:r>
          </w:p>
        </w:tc>
        <w:tc>
          <w:tcPr>
            <w:tcW w:w="2145" w:type="dxa"/>
            <w:noWrap w:val="0"/>
            <w:vAlign w:val="center"/>
          </w:tcPr>
          <w:p>
            <w:pPr>
              <w:jc w:val="center"/>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评分因素</w:t>
            </w:r>
          </w:p>
        </w:tc>
        <w:tc>
          <w:tcPr>
            <w:tcW w:w="5898" w:type="dxa"/>
            <w:noWrap w:val="0"/>
            <w:vAlign w:val="center"/>
          </w:tcPr>
          <w:p>
            <w:pPr>
              <w:jc w:val="center"/>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评审标准（</w:t>
            </w:r>
            <w:r>
              <w:rPr>
                <w:rFonts w:hint="eastAsia" w:ascii="宋体" w:hAnsi="宋体" w:eastAsia="宋体" w:cs="Times New Roman"/>
                <w:b/>
                <w:bCs/>
                <w:color w:val="auto"/>
                <w:szCs w:val="21"/>
                <w:highlight w:val="none"/>
                <w:lang w:val="en-US" w:eastAsia="zh-CN"/>
              </w:rPr>
              <w:t>具体描述，分差设置不低于分项分值的10%）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restart"/>
            <w:noWrap w:val="0"/>
            <w:vAlign w:val="center"/>
          </w:tcPr>
          <w:p>
            <w:pPr>
              <w:jc w:val="center"/>
              <w:rPr>
                <w:rFonts w:hint="default" w:ascii="宋体" w:hAnsi="宋体" w:eastAsia="宋体"/>
                <w:b/>
                <w:bCs/>
                <w:color w:val="auto"/>
                <w:szCs w:val="21"/>
                <w:highlight w:val="none"/>
                <w:lang w:val="en-US" w:eastAsia="zh-CN"/>
              </w:rPr>
            </w:pPr>
            <w:r>
              <w:rPr>
                <w:rFonts w:ascii="宋体" w:hAnsi="宋体"/>
                <w:b/>
                <w:bCs/>
                <w:color w:val="auto"/>
                <w:szCs w:val="21"/>
                <w:highlight w:val="none"/>
              </w:rPr>
              <w:t>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2.1</w:t>
            </w:r>
          </w:p>
        </w:tc>
        <w:tc>
          <w:tcPr>
            <w:tcW w:w="1171" w:type="dxa"/>
            <w:vMerge w:val="restart"/>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w:t>
            </w:r>
          </w:p>
          <w:p>
            <w:pPr>
              <w:jc w:val="center"/>
              <w:rPr>
                <w:rFonts w:hint="eastAsia" w:ascii="宋体" w:hAnsi="宋体"/>
                <w:b/>
                <w:bCs/>
                <w:color w:val="auto"/>
                <w:szCs w:val="21"/>
                <w:highlight w:val="none"/>
              </w:rPr>
            </w:pPr>
            <w:r>
              <w:rPr>
                <w:rFonts w:hint="eastAsia" w:ascii="宋体" w:hAnsi="宋体"/>
                <w:b/>
                <w:bCs/>
                <w:color w:val="auto"/>
                <w:szCs w:val="21"/>
                <w:highlight w:val="none"/>
              </w:rPr>
              <w:t>评审标准</w:t>
            </w:r>
          </w:p>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(评分法)</w:t>
            </w:r>
          </w:p>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（100分）</w:t>
            </w: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施工组织及施工方案（</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eastAsia="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施工进度计划图（双代号网络图）和各阶段进度的保证措施（</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施工平面布置和临时设施布置（</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机械设备、劳动力投入计划（</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restart"/>
            <w:noWrap w:val="0"/>
            <w:vAlign w:val="center"/>
          </w:tcPr>
          <w:p>
            <w:pPr>
              <w:jc w:val="center"/>
              <w:rPr>
                <w:rFonts w:hint="default" w:ascii="宋体" w:hAnsi="宋体" w:eastAsia="宋体"/>
                <w:b/>
                <w:bCs/>
                <w:color w:val="auto"/>
                <w:szCs w:val="21"/>
                <w:highlight w:val="none"/>
                <w:lang w:val="en-US" w:eastAsia="zh-CN"/>
              </w:rPr>
            </w:pPr>
            <w:r>
              <w:rPr>
                <w:rFonts w:ascii="宋体" w:hAnsi="宋体"/>
                <w:b/>
                <w:bCs/>
                <w:color w:val="auto"/>
                <w:szCs w:val="21"/>
                <w:highlight w:val="none"/>
              </w:rPr>
              <w:t>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2.1</w:t>
            </w:r>
          </w:p>
        </w:tc>
        <w:tc>
          <w:tcPr>
            <w:tcW w:w="1171" w:type="dxa"/>
            <w:vMerge w:val="restart"/>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w:t>
            </w:r>
          </w:p>
          <w:p>
            <w:pPr>
              <w:jc w:val="center"/>
              <w:rPr>
                <w:rFonts w:hint="eastAsia" w:ascii="宋体" w:hAnsi="宋体"/>
                <w:b/>
                <w:bCs/>
                <w:color w:val="auto"/>
                <w:szCs w:val="21"/>
                <w:highlight w:val="none"/>
              </w:rPr>
            </w:pPr>
            <w:r>
              <w:rPr>
                <w:rFonts w:hint="eastAsia" w:ascii="宋体" w:hAnsi="宋体"/>
                <w:b/>
                <w:bCs/>
                <w:color w:val="auto"/>
                <w:szCs w:val="21"/>
                <w:highlight w:val="none"/>
              </w:rPr>
              <w:t>评审标准</w:t>
            </w:r>
          </w:p>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(评分法)</w:t>
            </w:r>
          </w:p>
          <w:p>
            <w:pPr>
              <w:jc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（100分）</w:t>
            </w: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lang w:eastAsia="zh-CN"/>
              </w:rPr>
              <w:t>安全生产</w:t>
            </w:r>
            <w:r>
              <w:rPr>
                <w:rFonts w:hint="eastAsia" w:ascii="宋体" w:hAnsi="宋体"/>
                <w:szCs w:val="21"/>
                <w:highlight w:val="none"/>
              </w:rPr>
              <w:t>措施（</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eastAsia="zh-CN"/>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质量保证措施（</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snapToGrid w:val="0"/>
              <w:jc w:val="center"/>
              <w:rPr>
                <w:rFonts w:hint="eastAsia" w:ascii="宋体" w:hAnsi="宋体"/>
                <w:color w:val="auto"/>
                <w:szCs w:val="21"/>
                <w:highlight w:val="none"/>
              </w:rPr>
            </w:pPr>
            <w:r>
              <w:rPr>
                <w:rFonts w:hint="eastAsia" w:ascii="宋体" w:hAnsi="宋体"/>
                <w:szCs w:val="21"/>
                <w:highlight w:val="none"/>
              </w:rPr>
              <w:t>新技术应用（</w:t>
            </w:r>
            <w:r>
              <w:rPr>
                <w:rFonts w:hint="eastAsia" w:ascii="宋体" w:hAnsi="宋体"/>
                <w:szCs w:val="21"/>
                <w:highlight w:val="none"/>
                <w:lang w:val="en-US" w:eastAsia="zh-CN"/>
              </w:rPr>
              <w:t xml:space="preserve">  </w:t>
            </w:r>
            <w:r>
              <w:rPr>
                <w:rFonts w:hint="eastAsia" w:ascii="宋体" w:hAnsi="宋体"/>
                <w:szCs w:val="21"/>
                <w:highlight w:val="none"/>
              </w:rPr>
              <w:t>分）</w:t>
            </w:r>
          </w:p>
        </w:tc>
        <w:tc>
          <w:tcPr>
            <w:tcW w:w="5898" w:type="dxa"/>
            <w:noWrap w:val="0"/>
            <w:vAlign w:val="center"/>
          </w:tcPr>
          <w:p>
            <w:pPr>
              <w:snapToGrid w:val="0"/>
              <w:rPr>
                <w:rFonts w:hint="eastAsia" w:ascii="宋体" w:hAnsi="宋体" w:eastAsia="宋体"/>
                <w:szCs w:val="21"/>
                <w:highlight w:val="none"/>
                <w:lang w:eastAsia="zh-CN"/>
              </w:rPr>
            </w:pPr>
            <w:r>
              <w:rPr>
                <w:rFonts w:hint="eastAsia" w:ascii="宋体" w:hAnsi="宋体"/>
                <w:szCs w:val="21"/>
                <w:highlight w:val="none"/>
              </w:rPr>
              <w:t>【优】</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【良】</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rPr>
                <w:rFonts w:hint="eastAsia" w:ascii="宋体" w:hAnsi="宋体" w:eastAsia="宋体"/>
                <w:szCs w:val="21"/>
                <w:highlight w:val="none"/>
                <w:lang w:eastAsia="zh-CN"/>
              </w:rPr>
            </w:pPr>
            <w:r>
              <w:rPr>
                <w:rFonts w:hint="eastAsia" w:ascii="宋体" w:hAnsi="宋体"/>
                <w:szCs w:val="21"/>
                <w:highlight w:val="none"/>
              </w:rPr>
              <w:t>【中】</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p>
            <w:pPr>
              <w:snapToGrid w:val="0"/>
              <w:jc w:val="both"/>
              <w:rPr>
                <w:rFonts w:hint="eastAsia" w:ascii="宋体" w:hAnsi="宋体"/>
                <w:color w:val="auto"/>
                <w:kern w:val="2"/>
                <w:sz w:val="21"/>
                <w:szCs w:val="21"/>
                <w:highlight w:val="none"/>
                <w:lang w:val="en-US" w:eastAsia="zh-CN" w:bidi="ar-SA"/>
              </w:rPr>
            </w:pPr>
            <w:r>
              <w:rPr>
                <w:rFonts w:hint="eastAsia" w:ascii="宋体" w:hAnsi="宋体"/>
                <w:szCs w:val="21"/>
                <w:highlight w:val="none"/>
              </w:rPr>
              <w:t>【差】</w:t>
            </w:r>
            <w:r>
              <w:rPr>
                <w:rFonts w:hint="eastAsia" w:ascii="宋体" w:hAnsi="宋体"/>
                <w:szCs w:val="21"/>
                <w:highlight w:val="none"/>
                <w:u w:val="single"/>
                <w:lang w:val="en-US" w:eastAsia="zh-CN"/>
              </w:rPr>
              <w:t xml:space="preserve">              </w:t>
            </w:r>
            <w:r>
              <w:rPr>
                <w:rFonts w:hint="eastAsia" w:ascii="宋体" w:hAnsi="宋体"/>
                <w:szCs w:val="21"/>
                <w:highlight w:val="none"/>
              </w:rPr>
              <w:t>得</w:t>
            </w:r>
            <w:r>
              <w:rPr>
                <w:rFonts w:hint="default" w:ascii="宋体" w:hAnsi="宋体"/>
                <w:szCs w:val="21"/>
                <w:highlight w:val="none"/>
                <w:lang w:val="en-US"/>
              </w:rPr>
              <w:t>[</w:t>
            </w:r>
            <w:r>
              <w:rPr>
                <w:rFonts w:hint="eastAsia" w:ascii="宋体" w:hAnsi="宋体"/>
                <w:szCs w:val="21"/>
                <w:highlight w:val="none"/>
                <w:lang w:val="en-US" w:eastAsia="zh-CN"/>
              </w:rPr>
              <w:t xml:space="preserve">  </w:t>
            </w:r>
            <w:r>
              <w:rPr>
                <w:rFonts w:hint="default" w:ascii="宋体" w:hAnsi="宋体"/>
                <w:szCs w:val="21"/>
                <w:highlight w:val="none"/>
                <w:lang w:val="en-US"/>
              </w:rPr>
              <w:t>]</w:t>
            </w:r>
            <w:r>
              <w:rPr>
                <w:rFonts w:hint="eastAsia" w:ascii="宋体" w:hAnsi="宋体"/>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1" w:hRule="atLeast"/>
          <w:jc w:val="center"/>
        </w:trPr>
        <w:tc>
          <w:tcPr>
            <w:tcW w:w="644" w:type="dxa"/>
            <w:noWrap w:val="0"/>
            <w:vAlign w:val="center"/>
          </w:tcPr>
          <w:p>
            <w:pPr>
              <w:jc w:val="center"/>
              <w:rPr>
                <w:rFonts w:hint="eastAsia" w:ascii="宋体" w:hAnsi="宋体" w:eastAsia="宋体" w:cs="Times New Roman"/>
                <w:b/>
                <w:bCs/>
                <w:color w:val="auto"/>
                <w:kern w:val="2"/>
                <w:sz w:val="21"/>
                <w:szCs w:val="21"/>
                <w:highlight w:val="none"/>
                <w:lang w:val="en-US" w:eastAsia="zh-CN" w:bidi="ar-SA"/>
              </w:rPr>
            </w:pPr>
            <w:r>
              <w:rPr>
                <w:rFonts w:ascii="宋体" w:hAnsi="宋体"/>
                <w:b/>
                <w:bCs/>
                <w:color w:val="auto"/>
                <w:szCs w:val="21"/>
                <w:highlight w:val="none"/>
              </w:rPr>
              <w:t>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1</w:t>
            </w:r>
          </w:p>
        </w:tc>
        <w:tc>
          <w:tcPr>
            <w:tcW w:w="1171"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技术</w:t>
            </w:r>
          </w:p>
          <w:p>
            <w:pPr>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评审标准</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评价法）</w:t>
            </w:r>
          </w:p>
        </w:tc>
        <w:tc>
          <w:tcPr>
            <w:tcW w:w="2145" w:type="dxa"/>
            <w:noWrap w:val="0"/>
            <w:vAlign w:val="center"/>
          </w:tcPr>
          <w:p>
            <w:pPr>
              <w:snapToGrid w:val="0"/>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…………（工程重点难点与技术措施）</w:t>
            </w:r>
          </w:p>
        </w:tc>
        <w:tc>
          <w:tcPr>
            <w:tcW w:w="5898" w:type="dxa"/>
            <w:noWrap w:val="0"/>
            <w:vAlign w:val="center"/>
          </w:tcPr>
          <w:p>
            <w:pPr>
              <w:snapToGrid w:val="0"/>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…………（工程重点难点、对应技术措施和施工关键技术工艺把握及应用情况，技术标准和要求应符合“技术标准和要求”规定</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7" w:hRule="atLeast"/>
          <w:jc w:val="center"/>
        </w:trPr>
        <w:tc>
          <w:tcPr>
            <w:tcW w:w="644" w:type="dxa"/>
            <w:vMerge w:val="restart"/>
            <w:noWrap w:val="0"/>
            <w:vAlign w:val="center"/>
          </w:tcPr>
          <w:p>
            <w:pPr>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4.4.1</w:t>
            </w:r>
          </w:p>
        </w:tc>
        <w:tc>
          <w:tcPr>
            <w:tcW w:w="1171" w:type="dxa"/>
            <w:vMerge w:val="restart"/>
            <w:noWrap w:val="0"/>
            <w:vAlign w:val="center"/>
          </w:tcPr>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商务</w:t>
            </w:r>
          </w:p>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评审标准</w:t>
            </w:r>
          </w:p>
          <w:p>
            <w:pPr>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（评分法）</w:t>
            </w:r>
          </w:p>
          <w:p>
            <w:pPr>
              <w:jc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（100分）</w:t>
            </w:r>
          </w:p>
        </w:tc>
        <w:tc>
          <w:tcPr>
            <w:tcW w:w="2145" w:type="dxa"/>
            <w:noWrap w:val="0"/>
            <w:vAlign w:val="center"/>
          </w:tcPr>
          <w:p>
            <w:pPr>
              <w:tabs>
                <w:tab w:val="left" w:pos="639"/>
              </w:tabs>
              <w:jc w:val="center"/>
              <w:rPr>
                <w:rFonts w:hint="default" w:ascii="宋体" w:hAnsi="宋体"/>
                <w:color w:val="auto"/>
                <w:highlight w:val="none"/>
                <w:lang w:val="en-US" w:eastAsia="zh-CN"/>
              </w:rPr>
            </w:pPr>
            <w:r>
              <w:rPr>
                <w:rFonts w:hint="eastAsia" w:ascii="宋体" w:hAnsi="宋体"/>
                <w:color w:val="auto"/>
                <w:highlight w:val="none"/>
                <w:lang w:val="en-US" w:eastAsia="zh-CN"/>
              </w:rPr>
              <w:t>企业业绩（  分）</w:t>
            </w:r>
          </w:p>
        </w:tc>
        <w:tc>
          <w:tcPr>
            <w:tcW w:w="5898" w:type="dxa"/>
            <w:noWrap w:val="0"/>
            <w:vAlign w:val="center"/>
          </w:tcPr>
          <w:p>
            <w:pPr>
              <w:tabs>
                <w:tab w:val="left" w:pos="639"/>
              </w:tabs>
              <w:rPr>
                <w:rFonts w:hint="eastAsia" w:ascii="宋体" w:hAnsi="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tabs>
                <w:tab w:val="left" w:pos="639"/>
              </w:tabs>
              <w:jc w:val="center"/>
              <w:rPr>
                <w:rFonts w:hint="default" w:ascii="宋体" w:hAnsi="宋体"/>
                <w:color w:val="auto"/>
                <w:highlight w:val="none"/>
                <w:lang w:val="en-US" w:eastAsia="zh-CN"/>
              </w:rPr>
            </w:pPr>
            <w:r>
              <w:rPr>
                <w:rFonts w:hint="eastAsia" w:ascii="宋体" w:hAnsi="宋体"/>
                <w:color w:val="auto"/>
                <w:highlight w:val="none"/>
                <w:lang w:val="en-US" w:eastAsia="zh-CN"/>
              </w:rPr>
              <w:t>企业荣誉（  分）</w:t>
            </w:r>
          </w:p>
        </w:tc>
        <w:tc>
          <w:tcPr>
            <w:tcW w:w="5898" w:type="dxa"/>
            <w:noWrap w:val="0"/>
            <w:vAlign w:val="center"/>
          </w:tcPr>
          <w:p>
            <w:pPr>
              <w:tabs>
                <w:tab w:val="left" w:pos="639"/>
              </w:tabs>
              <w:rPr>
                <w:rFonts w:hint="eastAsia" w:ascii="宋体" w:hAnsi="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2" w:hRule="atLeast"/>
          <w:jc w:val="center"/>
        </w:trPr>
        <w:tc>
          <w:tcPr>
            <w:tcW w:w="644" w:type="dxa"/>
            <w:vMerge w:val="continue"/>
            <w:noWrap w:val="0"/>
            <w:vAlign w:val="center"/>
          </w:tcPr>
          <w:p>
            <w:pPr>
              <w:jc w:val="center"/>
              <w:rPr>
                <w:rFonts w:ascii="宋体" w:hAnsi="宋体"/>
                <w:b/>
                <w:bCs/>
                <w:color w:val="auto"/>
                <w:szCs w:val="21"/>
                <w:highlight w:val="none"/>
              </w:rPr>
            </w:pPr>
          </w:p>
        </w:tc>
        <w:tc>
          <w:tcPr>
            <w:tcW w:w="1171" w:type="dxa"/>
            <w:vMerge w:val="continue"/>
            <w:noWrap w:val="0"/>
            <w:vAlign w:val="center"/>
          </w:tcPr>
          <w:p>
            <w:pPr>
              <w:jc w:val="center"/>
              <w:rPr>
                <w:rFonts w:hint="eastAsia" w:ascii="宋体" w:hAnsi="宋体"/>
                <w:b/>
                <w:bCs/>
                <w:color w:val="auto"/>
                <w:szCs w:val="21"/>
                <w:highlight w:val="none"/>
              </w:rPr>
            </w:pPr>
          </w:p>
        </w:tc>
        <w:tc>
          <w:tcPr>
            <w:tcW w:w="2145" w:type="dxa"/>
            <w:noWrap w:val="0"/>
            <w:vAlign w:val="center"/>
          </w:tcPr>
          <w:p>
            <w:pPr>
              <w:tabs>
                <w:tab w:val="left" w:pos="639"/>
              </w:tabs>
              <w:jc w:val="center"/>
              <w:rPr>
                <w:rFonts w:hint="eastAsia" w:ascii="宋体" w:hAnsi="宋体"/>
                <w:color w:val="auto"/>
                <w:highlight w:val="none"/>
                <w:lang w:val="en-US" w:eastAsia="zh-CN"/>
              </w:rPr>
            </w:pPr>
            <w:r>
              <w:rPr>
                <w:rFonts w:hint="eastAsia" w:ascii="宋体" w:hAnsi="宋体"/>
                <w:color w:val="auto"/>
                <w:highlight w:val="none"/>
                <w:lang w:val="en-US" w:eastAsia="zh-CN"/>
              </w:rPr>
              <w:t>拟投入人员情况</w:t>
            </w:r>
          </w:p>
          <w:p>
            <w:pPr>
              <w:tabs>
                <w:tab w:val="left" w:pos="639"/>
              </w:tabs>
              <w:jc w:val="center"/>
              <w:rPr>
                <w:rFonts w:hint="default" w:ascii="宋体" w:hAnsi="宋体"/>
                <w:color w:val="auto"/>
                <w:highlight w:val="none"/>
                <w:lang w:val="en-US" w:eastAsia="zh-CN"/>
              </w:rPr>
            </w:pPr>
            <w:r>
              <w:rPr>
                <w:rFonts w:hint="eastAsia" w:ascii="宋体" w:hAnsi="宋体"/>
                <w:color w:val="auto"/>
                <w:highlight w:val="none"/>
                <w:lang w:val="en-US" w:eastAsia="zh-CN"/>
              </w:rPr>
              <w:t>（  分）</w:t>
            </w:r>
          </w:p>
        </w:tc>
        <w:tc>
          <w:tcPr>
            <w:tcW w:w="5898" w:type="dxa"/>
            <w:noWrap w:val="0"/>
            <w:vAlign w:val="center"/>
          </w:tcPr>
          <w:p>
            <w:pPr>
              <w:tabs>
                <w:tab w:val="left" w:pos="639"/>
              </w:tabs>
              <w:rPr>
                <w:rFonts w:hint="eastAsia" w:ascii="宋体" w:hAnsi="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815" w:type="dxa"/>
            <w:gridSpan w:val="2"/>
            <w:noWrap w:val="0"/>
            <w:vAlign w:val="center"/>
          </w:tcPr>
          <w:p>
            <w:pPr>
              <w:jc w:val="center"/>
              <w:rPr>
                <w:rFonts w:hint="default" w:ascii="宋体" w:hAnsi="宋体"/>
                <w:color w:val="auto"/>
                <w:highlight w:val="none"/>
                <w:lang w:val="en-US" w:eastAsia="zh-CN"/>
              </w:rPr>
            </w:pPr>
            <w:r>
              <w:rPr>
                <w:rFonts w:hint="eastAsia" w:ascii="宋体" w:hAnsi="宋体" w:eastAsia="宋体" w:cs="Times New Roman"/>
                <w:b/>
                <w:bCs/>
                <w:color w:val="auto"/>
                <w:szCs w:val="21"/>
                <w:highlight w:val="none"/>
              </w:rPr>
              <w:t>条款号</w:t>
            </w:r>
          </w:p>
        </w:tc>
        <w:tc>
          <w:tcPr>
            <w:tcW w:w="8043" w:type="dxa"/>
            <w:gridSpan w:val="2"/>
            <w:noWrap w:val="0"/>
            <w:vAlign w:val="center"/>
          </w:tcPr>
          <w:p>
            <w:pPr>
              <w:jc w:val="center"/>
              <w:rPr>
                <w:rFonts w:hint="default" w:ascii="宋体" w:hAnsi="宋体"/>
                <w:color w:val="auto"/>
                <w:highlight w:val="none"/>
                <w:lang w:val="en-US" w:eastAsia="zh-CN"/>
              </w:rPr>
            </w:pPr>
            <w:r>
              <w:rPr>
                <w:rFonts w:hint="eastAsia" w:ascii="宋体" w:hAnsi="宋体" w:eastAsia="宋体" w:cs="Times New Roman"/>
                <w:b/>
                <w:bCs/>
                <w:color w:val="auto"/>
                <w:szCs w:val="21"/>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7" w:hRule="atLeast"/>
          <w:jc w:val="center"/>
        </w:trPr>
        <w:tc>
          <w:tcPr>
            <w:tcW w:w="644" w:type="dxa"/>
            <w:noWrap w:val="0"/>
            <w:vAlign w:val="center"/>
          </w:tcPr>
          <w:p>
            <w:pPr>
              <w:jc w:val="center"/>
              <w:rPr>
                <w:rFonts w:hint="default" w:ascii="宋体" w:hAnsi="宋体" w:eastAsia="宋体"/>
                <w:b/>
                <w:bCs/>
                <w:color w:val="auto"/>
                <w:szCs w:val="21"/>
                <w:highlight w:val="none"/>
                <w:lang w:val="en-US" w:eastAsia="zh-CN"/>
              </w:rPr>
            </w:pPr>
            <w:r>
              <w:rPr>
                <w:rFonts w:ascii="宋体" w:hAnsi="宋体"/>
                <w:b/>
                <w:bCs/>
                <w:color w:val="auto"/>
                <w:szCs w:val="21"/>
                <w:highlight w:val="none"/>
              </w:rPr>
              <w:t>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5.1</w:t>
            </w:r>
          </w:p>
        </w:tc>
        <w:tc>
          <w:tcPr>
            <w:tcW w:w="1171" w:type="dxa"/>
            <w:noWrap w:val="0"/>
            <w:vAlign w:val="center"/>
          </w:tcPr>
          <w:p>
            <w:pPr>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投标报价</w:t>
            </w:r>
          </w:p>
          <w:p>
            <w:pPr>
              <w:jc w:val="center"/>
              <w:rPr>
                <w:rFonts w:hint="eastAsia" w:ascii="宋体" w:hAnsi="宋体"/>
                <w:b/>
                <w:bCs/>
                <w:color w:val="auto"/>
                <w:szCs w:val="21"/>
                <w:highlight w:val="none"/>
              </w:rPr>
            </w:pPr>
            <w:r>
              <w:rPr>
                <w:rFonts w:hint="eastAsia" w:ascii="宋体" w:hAnsi="宋体"/>
                <w:b/>
                <w:bCs/>
                <w:color w:val="auto"/>
                <w:szCs w:val="21"/>
                <w:highlight w:val="none"/>
              </w:rPr>
              <w:t>评审标准</w:t>
            </w:r>
          </w:p>
        </w:tc>
        <w:tc>
          <w:tcPr>
            <w:tcW w:w="8043" w:type="dxa"/>
            <w:gridSpan w:val="2"/>
            <w:noWrap w:val="0"/>
            <w:vAlign w:val="center"/>
          </w:tcPr>
          <w:p>
            <w:pPr>
              <w:tabs>
                <w:tab w:val="left" w:pos="639"/>
              </w:tabs>
              <w:rPr>
                <w:rFonts w:hint="default" w:ascii="宋体" w:hAnsi="宋体" w:eastAsia="宋体"/>
                <w:color w:val="auto"/>
                <w:highlight w:val="none"/>
                <w:lang w:val="en-US" w:eastAsia="zh-CN"/>
              </w:rPr>
            </w:pPr>
            <w:r>
              <w:rPr>
                <w:rFonts w:hint="eastAsia" w:ascii="宋体" w:hAnsi="宋体"/>
                <w:color w:val="auto"/>
                <w:highlight w:val="none"/>
              </w:rPr>
              <w:t>根据</w:t>
            </w:r>
            <w:r>
              <w:rPr>
                <w:rFonts w:hint="eastAsia" w:ascii="宋体" w:hAnsi="宋体"/>
                <w:color w:val="auto"/>
                <w:highlight w:val="none"/>
                <w:lang w:eastAsia="zh-CN"/>
              </w:rPr>
              <w:t>“</w:t>
            </w:r>
            <w:r>
              <w:rPr>
                <w:rFonts w:hint="eastAsia" w:ascii="宋体" w:hAnsi="宋体"/>
                <w:color w:val="auto"/>
                <w:highlight w:val="none"/>
              </w:rPr>
              <w:t>投标人须知前附表</w:t>
            </w:r>
            <w:r>
              <w:rPr>
                <w:rFonts w:hint="eastAsia" w:ascii="宋体" w:hAnsi="宋体"/>
                <w:color w:val="auto"/>
                <w:highlight w:val="none"/>
                <w:lang w:eastAsia="zh-CN"/>
              </w:rPr>
              <w:t>”</w:t>
            </w:r>
            <w:r>
              <w:rPr>
                <w:rFonts w:hint="eastAsia" w:ascii="宋体" w:hAnsi="宋体"/>
                <w:color w:val="auto"/>
                <w:highlight w:val="none"/>
              </w:rPr>
              <w:t>第</w:t>
            </w:r>
            <w:r>
              <w:rPr>
                <w:rFonts w:hint="eastAsia" w:ascii="宋体" w:hAnsi="宋体"/>
                <w:color w:val="auto"/>
                <w:highlight w:val="none"/>
                <w:lang w:val="en-US" w:eastAsia="zh-CN"/>
              </w:rPr>
              <w:t>8.3.2</w:t>
            </w:r>
            <w:r>
              <w:rPr>
                <w:rFonts w:hint="eastAsia" w:ascii="宋体" w:hAnsi="宋体"/>
                <w:color w:val="auto"/>
                <w:highlight w:val="none"/>
              </w:rPr>
              <w:t>款</w:t>
            </w:r>
            <w:r>
              <w:rPr>
                <w:rFonts w:hint="eastAsia" w:ascii="宋体" w:hAnsi="宋体"/>
                <w:color w:val="auto"/>
                <w:highlight w:val="none"/>
                <w:lang w:val="en-US" w:eastAsia="zh-CN"/>
              </w:rPr>
              <w:t>选定的</w:t>
            </w:r>
            <w:r>
              <w:rPr>
                <w:rFonts w:hint="eastAsia" w:ascii="宋体" w:hAnsi="宋体"/>
                <w:color w:val="auto"/>
                <w:highlight w:val="none"/>
                <w:lang w:eastAsia="zh-CN"/>
              </w:rPr>
              <w:t>“投标报价</w:t>
            </w:r>
            <w:r>
              <w:rPr>
                <w:rFonts w:hint="eastAsia" w:ascii="宋体" w:hAnsi="宋体"/>
                <w:color w:val="auto"/>
                <w:highlight w:val="none"/>
                <w:lang w:val="en-US" w:eastAsia="zh-CN"/>
              </w:rPr>
              <w:t>评审标准”，由</w:t>
            </w:r>
            <w:r>
              <w:rPr>
                <w:rFonts w:hint="eastAsia" w:ascii="宋体" w:hAnsi="宋体"/>
                <w:color w:val="auto"/>
                <w:highlight w:val="none"/>
              </w:rPr>
              <w:t>评标委员会</w:t>
            </w:r>
            <w:r>
              <w:rPr>
                <w:rFonts w:hint="eastAsia"/>
                <w:color w:val="auto"/>
                <w:highlight w:val="none"/>
              </w:rPr>
              <w:t>对所有进入本评审环节的投标人</w:t>
            </w:r>
            <w:r>
              <w:rPr>
                <w:rFonts w:hint="eastAsia"/>
                <w:color w:val="auto"/>
                <w:highlight w:val="none"/>
                <w:lang w:val="en-US" w:eastAsia="zh-CN"/>
              </w:rPr>
              <w:t>投标报价</w:t>
            </w:r>
            <w:r>
              <w:rPr>
                <w:rFonts w:hint="eastAsia" w:ascii="宋体" w:hAnsi="宋体"/>
                <w:color w:val="auto"/>
                <w:highlight w:val="none"/>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2" w:hRule="atLeast"/>
          <w:jc w:val="center"/>
        </w:trPr>
        <w:tc>
          <w:tcPr>
            <w:tcW w:w="644" w:type="dxa"/>
            <w:noWrap w:val="0"/>
            <w:vAlign w:val="center"/>
          </w:tcPr>
          <w:p>
            <w:pPr>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5</w:t>
            </w:r>
          </w:p>
        </w:tc>
        <w:tc>
          <w:tcPr>
            <w:tcW w:w="1171" w:type="dxa"/>
            <w:noWrap w:val="0"/>
            <w:vAlign w:val="center"/>
          </w:tcPr>
          <w:p>
            <w:pPr>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评标总得分</w:t>
            </w:r>
          </w:p>
        </w:tc>
        <w:tc>
          <w:tcPr>
            <w:tcW w:w="8043" w:type="dxa"/>
            <w:gridSpan w:val="2"/>
            <w:noWrap w:val="0"/>
            <w:vAlign w:val="center"/>
          </w:tcPr>
          <w:p>
            <w:pPr>
              <w:rPr>
                <w:rFonts w:hint="eastAsia" w:ascii="宋体" w:hAnsi="宋体"/>
                <w:color w:val="auto"/>
                <w:szCs w:val="21"/>
                <w:highlight w:val="none"/>
                <w:lang w:val="en-US" w:eastAsia="zh-CN"/>
              </w:rPr>
            </w:pPr>
            <w:r>
              <w:rPr>
                <w:rFonts w:hint="eastAsia" w:ascii="宋体" w:hAnsi="宋体"/>
                <w:color w:val="auto"/>
                <w:szCs w:val="21"/>
                <w:highlight w:val="none"/>
              </w:rPr>
              <w:t>评标总得分=</w:t>
            </w:r>
            <w:r>
              <w:rPr>
                <w:rFonts w:hint="eastAsia" w:ascii="宋体" w:hAnsi="宋体"/>
                <w:color w:val="auto"/>
                <w:szCs w:val="21"/>
                <w:highlight w:val="none"/>
                <w:lang w:eastAsia="zh-CN"/>
              </w:rPr>
              <w:t>商务标得分</w:t>
            </w:r>
            <w:r>
              <w:rPr>
                <w:rFonts w:hint="default" w:ascii="Arial" w:hAnsi="Arial" w:cs="Arial"/>
                <w:szCs w:val="21"/>
                <w:highlight w:val="none"/>
              </w:rPr>
              <w:t>×</w:t>
            </w:r>
            <w:r>
              <w:rPr>
                <w:rFonts w:hint="eastAsia" w:ascii="宋体" w:hAnsi="宋体"/>
                <w:color w:val="auto"/>
                <w:szCs w:val="21"/>
                <w:highlight w:val="none"/>
                <w:lang w:eastAsia="zh-CN"/>
              </w:rPr>
              <w:t>商务标</w:t>
            </w:r>
            <w:r>
              <w:rPr>
                <w:rFonts w:hint="eastAsia" w:ascii="宋体" w:hAnsi="宋体"/>
                <w:color w:val="auto"/>
                <w:szCs w:val="21"/>
                <w:highlight w:val="none"/>
                <w:lang w:val="en-US" w:eastAsia="zh-CN"/>
              </w:rPr>
              <w:t>权重+</w:t>
            </w:r>
            <w:r>
              <w:rPr>
                <w:rFonts w:hint="eastAsia" w:ascii="Arial" w:hAnsi="Arial" w:cs="Arial"/>
                <w:szCs w:val="21"/>
                <w:highlight w:val="none"/>
                <w:lang w:eastAsia="zh-CN"/>
              </w:rPr>
              <w:t>技术标得分</w:t>
            </w:r>
            <w:r>
              <w:rPr>
                <w:rFonts w:hint="default" w:ascii="Arial" w:hAnsi="Arial" w:cs="Arial"/>
                <w:szCs w:val="21"/>
                <w:highlight w:val="none"/>
              </w:rPr>
              <w:t>×</w:t>
            </w:r>
            <w:r>
              <w:rPr>
                <w:rFonts w:hint="eastAsia" w:ascii="Arial" w:hAnsi="Arial" w:cs="Arial"/>
                <w:szCs w:val="21"/>
                <w:highlight w:val="none"/>
                <w:lang w:eastAsia="zh-CN"/>
              </w:rPr>
              <w:t>技术标权重</w:t>
            </w:r>
            <w:r>
              <w:rPr>
                <w:rFonts w:hint="eastAsia" w:ascii="宋体" w:hAnsi="宋体"/>
                <w:color w:val="auto"/>
                <w:szCs w:val="21"/>
                <w:highlight w:val="none"/>
                <w:lang w:val="en-US" w:eastAsia="zh-CN"/>
              </w:rPr>
              <w:t>+投标报价得分</w:t>
            </w:r>
            <w:r>
              <w:rPr>
                <w:rFonts w:hint="default" w:ascii="Arial" w:hAnsi="Arial" w:cs="Arial"/>
                <w:szCs w:val="21"/>
                <w:highlight w:val="none"/>
              </w:rPr>
              <w:t>×</w:t>
            </w:r>
            <w:r>
              <w:rPr>
                <w:rFonts w:hint="eastAsia" w:ascii="宋体" w:hAnsi="宋体"/>
                <w:color w:val="auto"/>
                <w:szCs w:val="21"/>
                <w:highlight w:val="none"/>
                <w:lang w:val="en-US" w:eastAsia="zh-CN"/>
              </w:rPr>
              <w:t>投标报价权重</w:t>
            </w:r>
          </w:p>
          <w:p>
            <w:pPr>
              <w:rPr>
                <w:rFonts w:hint="eastAsia" w:ascii="宋体" w:hAnsi="宋体"/>
                <w:color w:val="auto"/>
                <w:szCs w:val="21"/>
                <w:highlight w:val="none"/>
              </w:rPr>
            </w:pPr>
            <w:r>
              <w:rPr>
                <w:rFonts w:hint="eastAsia" w:ascii="宋体" w:hAnsi="宋体"/>
                <w:color w:val="auto"/>
                <w:szCs w:val="21"/>
                <w:highlight w:val="none"/>
                <w:lang w:val="en-US" w:eastAsia="zh-CN"/>
              </w:rPr>
              <w:t>其中：</w:t>
            </w:r>
            <w:r>
              <w:rPr>
                <w:rFonts w:hint="eastAsia" w:ascii="宋体" w:hAnsi="宋体"/>
                <w:color w:val="auto"/>
                <w:szCs w:val="21"/>
                <w:highlight w:val="none"/>
                <w:lang w:eastAsia="zh-CN"/>
              </w:rPr>
              <w:t>商务标</w:t>
            </w:r>
            <w:r>
              <w:rPr>
                <w:rFonts w:hint="eastAsia" w:ascii="宋体" w:hAnsi="宋体"/>
                <w:color w:val="auto"/>
                <w:szCs w:val="21"/>
                <w:highlight w:val="none"/>
                <w:lang w:val="en-US" w:eastAsia="zh-CN"/>
              </w:rPr>
              <w:t>权重：</w:t>
            </w:r>
            <w:r>
              <w:rPr>
                <w:rFonts w:hint="eastAsia" w:ascii="宋体" w:hAnsi="宋体"/>
                <w:color w:val="auto"/>
                <w:szCs w:val="21"/>
                <w:highlight w:val="none"/>
                <w:u w:val="single"/>
                <w:lang w:val="en-US" w:eastAsia="zh-CN"/>
              </w:rPr>
              <w:t xml:space="preserve">       </w:t>
            </w:r>
            <w:r>
              <w:rPr>
                <w:rFonts w:hint="eastAsia" w:ascii="Arial" w:hAnsi="Arial" w:cs="Arial"/>
                <w:szCs w:val="21"/>
                <w:highlight w:val="none"/>
                <w:lang w:eastAsia="zh-CN"/>
              </w:rPr>
              <w:t>技术标权重</w:t>
            </w:r>
            <w:r>
              <w:rPr>
                <w:rFonts w:hint="eastAsia" w:ascii="宋体" w:hAnsi="宋体"/>
                <w:color w:val="auto"/>
                <w:szCs w:val="21"/>
                <w:highlight w:val="none"/>
                <w:lang w:val="en-US"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投标报价权重：</w:t>
            </w:r>
            <w:r>
              <w:rPr>
                <w:rFonts w:hint="eastAsia" w:ascii="宋体" w:hAnsi="宋体"/>
                <w:color w:val="auto"/>
                <w:szCs w:val="21"/>
                <w:highlight w:val="none"/>
                <w:u w:val="single"/>
                <w:lang w:val="en-US" w:eastAsia="zh-CN"/>
              </w:rPr>
              <w:t xml:space="preserve">       </w:t>
            </w:r>
          </w:p>
          <w:p>
            <w:pPr>
              <w:rPr>
                <w:rFonts w:hint="eastAsia" w:ascii="宋体" w:hAnsi="宋体" w:eastAsia="宋体" w:cs="宋体"/>
                <w:color w:val="auto"/>
                <w:szCs w:val="21"/>
                <w:highlight w:val="none"/>
                <w:lang w:val="en-US" w:eastAsia="zh-CN"/>
              </w:rPr>
            </w:pPr>
            <w:r>
              <w:rPr>
                <w:rFonts w:hint="eastAsia" w:ascii="Arial" w:hAnsi="Arial" w:cs="Arial"/>
                <w:szCs w:val="21"/>
                <w:highlight w:val="none"/>
                <w:lang w:val="en-US" w:eastAsia="zh-CN"/>
              </w:rPr>
              <w:t>注：</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投标报价权重不低于60%。</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2.技术评审使用评价法时，技术标权重为0。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44" w:type="dxa"/>
            <w:noWrap w:val="0"/>
            <w:vAlign w:val="center"/>
          </w:tcPr>
          <w:p>
            <w:pPr>
              <w:jc w:val="center"/>
              <w:rPr>
                <w:rFonts w:hint="eastAsia" w:ascii="宋体" w:hAnsi="宋体"/>
                <w:b/>
                <w:bCs/>
                <w:color w:val="auto"/>
                <w:kern w:val="2"/>
                <w:sz w:val="21"/>
                <w:szCs w:val="21"/>
                <w:highlight w:val="none"/>
                <w:lang w:val="en-US" w:eastAsia="zh-CN" w:bidi="ar-SA"/>
              </w:rPr>
            </w:pPr>
            <w:r>
              <w:rPr>
                <w:rFonts w:ascii="宋体" w:hAnsi="宋体"/>
                <w:b/>
                <w:bCs/>
                <w:color w:val="auto"/>
                <w:szCs w:val="21"/>
                <w:highlight w:val="none"/>
              </w:rPr>
              <w:t>4.5</w:t>
            </w:r>
          </w:p>
        </w:tc>
        <w:tc>
          <w:tcPr>
            <w:tcW w:w="1171" w:type="dxa"/>
            <w:noWrap w:val="0"/>
            <w:vAlign w:val="center"/>
          </w:tcPr>
          <w:p>
            <w:pPr>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Cs w:val="21"/>
                <w:highlight w:val="none"/>
              </w:rPr>
              <w:t>否决性条件</w:t>
            </w:r>
          </w:p>
        </w:tc>
        <w:tc>
          <w:tcPr>
            <w:tcW w:w="8043" w:type="dxa"/>
            <w:gridSpan w:val="2"/>
            <w:noWrap w:val="0"/>
            <w:vAlign w:val="center"/>
          </w:tcPr>
          <w:p>
            <w:pP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详见</w:t>
            </w:r>
            <w:r>
              <w:rPr>
                <w:rFonts w:hint="eastAsia"/>
                <w:color w:val="auto"/>
                <w:highlight w:val="none"/>
              </w:rPr>
              <w:t>投标文件否决性条款摘要</w:t>
            </w:r>
          </w:p>
        </w:tc>
      </w:tr>
    </w:tbl>
    <w:p>
      <w:pPr>
        <w:spacing w:after="120" w:afterLines="50"/>
        <w:outlineLvl w:val="2"/>
        <w:rPr>
          <w:rFonts w:hint="eastAsia" w:ascii="黑体" w:hAnsi="宋体" w:eastAsia="黑体"/>
          <w:color w:val="auto"/>
          <w:sz w:val="28"/>
          <w:szCs w:val="28"/>
          <w:highlight w:val="none"/>
          <w:lang w:eastAsia="zh-CN"/>
        </w:rPr>
      </w:pPr>
      <w:r>
        <w:rPr>
          <w:rFonts w:ascii="黑体" w:hAnsi="宋体" w:eastAsia="黑体"/>
          <w:color w:val="auto"/>
          <w:sz w:val="28"/>
          <w:szCs w:val="28"/>
          <w:highlight w:val="none"/>
        </w:rPr>
        <w:br w:type="page"/>
      </w:r>
      <w:r>
        <w:rPr>
          <w:rFonts w:hint="eastAsia" w:ascii="黑体" w:hAnsi="宋体" w:eastAsia="黑体"/>
          <w:color w:val="auto"/>
          <w:sz w:val="28"/>
          <w:szCs w:val="28"/>
          <w:highlight w:val="none"/>
        </w:rPr>
        <w:t>评标办法正文部分</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1</w:t>
      </w:r>
      <w:r>
        <w:rPr>
          <w:rFonts w:hint="eastAsia" w:ascii="宋体" w:hAnsi="宋体" w:eastAsia="宋体"/>
          <w:color w:val="auto"/>
          <w:highlight w:val="none"/>
        </w:rPr>
        <w:t>.</w:t>
      </w:r>
      <w:r>
        <w:rPr>
          <w:rFonts w:hint="eastAsia" w:ascii="宋体" w:hAnsi="宋体" w:eastAsia="宋体"/>
          <w:b/>
          <w:color w:val="auto"/>
          <w:sz w:val="24"/>
          <w:szCs w:val="24"/>
          <w:highlight w:val="none"/>
        </w:rPr>
        <w:t>评标方法</w:t>
      </w:r>
    </w:p>
    <w:p>
      <w:pPr>
        <w:ind w:firstLine="420" w:firstLineChars="200"/>
        <w:rPr>
          <w:rFonts w:ascii="宋体" w:hAnsi="宋体"/>
          <w:color w:val="auto"/>
          <w:highlight w:val="none"/>
        </w:rPr>
      </w:pPr>
      <w:r>
        <w:rPr>
          <w:rFonts w:hint="eastAsia" w:ascii="宋体" w:hAnsi="宋体"/>
          <w:color w:val="auto"/>
          <w:highlight w:val="none"/>
        </w:rPr>
        <w:t>评标委员会根据招标文件的要求，对进入评标环节</w:t>
      </w:r>
      <w:r>
        <w:rPr>
          <w:rFonts w:hint="eastAsia" w:ascii="宋体" w:hAnsi="宋体"/>
          <w:color w:val="auto"/>
          <w:highlight w:val="none"/>
          <w:lang w:val="en-US" w:eastAsia="zh-CN"/>
        </w:rPr>
        <w:t>的</w:t>
      </w:r>
      <w:r>
        <w:rPr>
          <w:rFonts w:hint="eastAsia" w:ascii="宋体" w:hAnsi="宋体"/>
          <w:color w:val="auto"/>
          <w:highlight w:val="none"/>
        </w:rPr>
        <w:t>投标人</w:t>
      </w:r>
      <w:r>
        <w:rPr>
          <w:rFonts w:hint="eastAsia" w:ascii="宋体" w:hAnsi="宋体"/>
          <w:color w:val="auto"/>
          <w:highlight w:val="none"/>
          <w:lang w:val="en-US" w:eastAsia="zh-CN"/>
        </w:rPr>
        <w:t>进行综合性</w:t>
      </w:r>
      <w:r>
        <w:rPr>
          <w:rFonts w:hint="eastAsia" w:ascii="宋体" w:hAnsi="宋体"/>
          <w:color w:val="auto"/>
          <w:highlight w:val="none"/>
        </w:rPr>
        <w:t>评审。</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2.评标程序</w:t>
      </w:r>
    </w:p>
    <w:p>
      <w:pPr>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评标活动将按以下三个步骤进行：</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2.综合性评审；</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3.确定</w:t>
      </w:r>
      <w:r>
        <w:rPr>
          <w:rFonts w:hint="eastAsia" w:ascii="宋体" w:hAnsi="宋体"/>
          <w:color w:val="auto"/>
          <w:szCs w:val="21"/>
          <w:highlight w:val="none"/>
          <w:lang w:val="en-US" w:eastAsia="zh-CN"/>
        </w:rPr>
        <w:t>中标候选人/</w:t>
      </w:r>
      <w:r>
        <w:rPr>
          <w:rFonts w:hint="eastAsia" w:ascii="宋体" w:hAnsi="宋体"/>
          <w:color w:val="auto"/>
          <w:szCs w:val="21"/>
          <w:highlight w:val="none"/>
        </w:rPr>
        <w:t>定标候选人。</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3.评标准备</w:t>
      </w:r>
    </w:p>
    <w:p>
      <w:pPr>
        <w:rPr>
          <w:rFonts w:hint="eastAsia" w:ascii="宋体" w:hAnsi="宋体"/>
          <w:b/>
          <w:color w:val="auto"/>
          <w:szCs w:val="21"/>
          <w:highlight w:val="none"/>
        </w:rPr>
      </w:pPr>
      <w:r>
        <w:rPr>
          <w:rFonts w:hint="eastAsia" w:ascii="宋体" w:hAnsi="宋体"/>
          <w:b/>
          <w:color w:val="auto"/>
          <w:szCs w:val="21"/>
          <w:highlight w:val="none"/>
        </w:rPr>
        <w:t>3.1评标前工作</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3.1.1评标委员会成员到达评标现场时应在签到表上签到以证明其出席。评标委员会签到表见附表</w:t>
      </w:r>
      <w:r>
        <w:rPr>
          <w:rFonts w:hint="eastAsia" w:ascii="宋体" w:hAnsi="宋体"/>
          <w:color w:val="auto"/>
          <w:szCs w:val="21"/>
          <w:highlight w:val="none"/>
          <w:lang w:val="en-US" w:eastAsia="zh-CN"/>
        </w:rPr>
        <w:t>9</w:t>
      </w:r>
      <w:r>
        <w:rPr>
          <w:rFonts w:hint="eastAsia" w:ascii="宋体" w:hAnsi="宋体"/>
          <w:color w:val="auto"/>
          <w:szCs w:val="21"/>
          <w:highlight w:val="none"/>
        </w:rPr>
        <w:t>。</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3.1.2招标</w:t>
      </w:r>
      <w:r>
        <w:rPr>
          <w:rFonts w:hint="eastAsia" w:ascii="宋体" w:hAnsi="宋体"/>
          <w:color w:val="auto"/>
          <w:szCs w:val="21"/>
          <w:highlight w:val="none"/>
          <w:lang w:eastAsia="zh-CN"/>
        </w:rPr>
        <w:t>人（招标代理）</w:t>
      </w:r>
      <w:r>
        <w:rPr>
          <w:rFonts w:hint="eastAsia" w:ascii="宋体" w:hAnsi="宋体"/>
          <w:color w:val="auto"/>
          <w:szCs w:val="21"/>
          <w:highlight w:val="none"/>
        </w:rPr>
        <w:t>向评标委员会移交评标需要的资料，包括开标</w:t>
      </w:r>
      <w:r>
        <w:rPr>
          <w:rFonts w:hint="eastAsia" w:ascii="宋体" w:hAnsi="宋体"/>
          <w:color w:val="auto"/>
          <w:szCs w:val="21"/>
          <w:highlight w:val="none"/>
          <w:lang w:eastAsia="zh-CN"/>
        </w:rPr>
        <w:t>过程资料</w:t>
      </w:r>
      <w:r>
        <w:rPr>
          <w:rFonts w:hint="eastAsia" w:ascii="宋体" w:hAnsi="宋体"/>
          <w:color w:val="auto"/>
          <w:szCs w:val="21"/>
          <w:highlight w:val="none"/>
        </w:rPr>
        <w:t>和进入评标环节投标人的投标文件（评标部分）</w:t>
      </w:r>
      <w:r>
        <w:rPr>
          <w:rFonts w:hint="eastAsia" w:ascii="宋体" w:hAnsi="宋体"/>
          <w:color w:val="auto"/>
          <w:szCs w:val="21"/>
          <w:highlight w:val="none"/>
          <w:lang w:eastAsia="zh-CN"/>
        </w:rPr>
        <w:t>，或</w:t>
      </w:r>
      <w:r>
        <w:rPr>
          <w:rFonts w:hint="eastAsia" w:ascii="宋体" w:hAnsi="宋体"/>
          <w:color w:val="auto"/>
          <w:szCs w:val="21"/>
          <w:highlight w:val="none"/>
        </w:rPr>
        <w:t>评标委员会认为必要的其他信息</w:t>
      </w:r>
      <w:r>
        <w:rPr>
          <w:rFonts w:hint="eastAsia" w:ascii="宋体" w:hAnsi="宋体"/>
          <w:color w:val="auto"/>
          <w:szCs w:val="21"/>
          <w:highlight w:val="none"/>
          <w:lang w:eastAsia="zh-CN"/>
        </w:rPr>
        <w:t>。</w:t>
      </w:r>
    </w:p>
    <w:p>
      <w:pPr>
        <w:ind w:firstLine="420" w:firstLineChars="200"/>
        <w:rPr>
          <w:rFonts w:ascii="宋体" w:hAnsi="宋体"/>
          <w:color w:val="auto"/>
          <w:szCs w:val="21"/>
          <w:highlight w:val="none"/>
        </w:rPr>
      </w:pPr>
      <w:r>
        <w:rPr>
          <w:rFonts w:hint="eastAsia" w:ascii="宋体" w:hAnsi="宋体"/>
          <w:color w:val="auto"/>
          <w:szCs w:val="21"/>
          <w:highlight w:val="none"/>
        </w:rPr>
        <w:t>3.1.3评标活动开始前，招标代理应先向评标委员会宣读附</w:t>
      </w:r>
      <w:r>
        <w:rPr>
          <w:rFonts w:hint="eastAsia" w:ascii="宋体" w:hAnsi="宋体"/>
          <w:color w:val="auto"/>
          <w:szCs w:val="21"/>
          <w:highlight w:val="none"/>
          <w:lang w:val="en-US" w:eastAsia="zh-CN"/>
        </w:rPr>
        <w:t>件11，并由评标专家分别签署附件10</w:t>
      </w:r>
      <w:r>
        <w:rPr>
          <w:rFonts w:hint="eastAsia"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3.1.4评标委员会首先推选一名评标委员会组长。评标委员会组长负责评标活动的组织领导工作。评标委员会组长在与其他评标委员会成员商议的基础上可以将评标委员会划分为技术组和商务组。</w:t>
      </w:r>
    </w:p>
    <w:p>
      <w:pPr>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.2熟悉文件资料</w:t>
      </w:r>
    </w:p>
    <w:p>
      <w:pPr>
        <w:ind w:firstLine="420" w:firstLineChars="200"/>
        <w:rPr>
          <w:rFonts w:hint="eastAsia" w:ascii="宋体" w:hAnsi="宋体"/>
          <w:color w:val="auto"/>
          <w:szCs w:val="21"/>
          <w:highlight w:val="none"/>
        </w:rPr>
      </w:pPr>
      <w:r>
        <w:rPr>
          <w:rFonts w:hint="eastAsia" w:ascii="宋体" w:hAnsi="宋体"/>
          <w:color w:val="auto"/>
          <w:szCs w:val="21"/>
          <w:highlight w:val="none"/>
        </w:rPr>
        <w:t>评标委员会组长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rPr>
          <w:rFonts w:hint="eastAsia" w:ascii="宋体" w:hAnsi="宋体"/>
          <w:b/>
          <w:color w:val="auto"/>
          <w:szCs w:val="21"/>
          <w:highlight w:val="none"/>
        </w:rPr>
      </w:pPr>
      <w:r>
        <w:rPr>
          <w:rFonts w:hint="eastAsia" w:ascii="宋体" w:hAnsi="宋体"/>
          <w:b/>
          <w:color w:val="auto"/>
          <w:szCs w:val="21"/>
          <w:highlight w:val="none"/>
        </w:rPr>
        <w:t>3.3对投标文件进行基础性数据分析和整理工作</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1在不改变投标人投标文件实质性内容的前提下，评标委员会应当对投标文件进行基础性数据分析和整理，从而发现并提取其中可能存在的对招标范围理解的偏差、投标报价的算术性错误、错漏项、投标报价构成不合理、不平衡报价等存在明显异常的问题，并就这些问题整理形成报告。评标委员会对报告审议后，决定需要投标人进行书面澄清、说明或补正的问题，形成质疑问卷，向投标人发出问题澄清通知（包括质疑问卷）。</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.2投标人接到评标委员会发出的问题澄清通知后，应按评标委员会的要求提供书面澄清资料并按要求进行密封，在规定的时间递交到指定地点。投标人递交的书面澄清资料由评标委员会开启。</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ascii="宋体" w:hAnsi="宋体" w:eastAsia="宋体"/>
          <w:b/>
          <w:color w:val="auto"/>
          <w:sz w:val="24"/>
          <w:szCs w:val="24"/>
          <w:highlight w:val="none"/>
        </w:rPr>
      </w:pPr>
      <w:r>
        <w:rPr>
          <w:rFonts w:hint="eastAsia" w:ascii="宋体" w:hAnsi="宋体" w:eastAsia="宋体"/>
          <w:b/>
          <w:color w:val="auto"/>
          <w:sz w:val="24"/>
          <w:szCs w:val="24"/>
          <w:highlight w:val="none"/>
        </w:rPr>
        <w:t>4.综合性评审</w:t>
      </w:r>
    </w:p>
    <w:p>
      <w:pPr>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1</w:t>
      </w:r>
      <w:r>
        <w:rPr>
          <w:rFonts w:hint="eastAsia" w:ascii="宋体" w:hAnsi="宋体"/>
          <w:b/>
          <w:color w:val="auto"/>
          <w:szCs w:val="21"/>
          <w:highlight w:val="none"/>
        </w:rPr>
        <w:t>资格（形式、响应）评审</w:t>
      </w:r>
    </w:p>
    <w:p>
      <w:pPr>
        <w:ind w:firstLine="420" w:firstLineChars="200"/>
        <w:rPr>
          <w:rFonts w:hint="eastAsia" w:ascii="宋体" w:hAnsi="宋体" w:eastAsia="宋体"/>
          <w:b/>
          <w:color w:val="auto"/>
          <w:szCs w:val="21"/>
          <w:highlight w:val="none"/>
          <w:lang w:eastAsia="zh-CN"/>
        </w:rPr>
      </w:pPr>
      <w:r>
        <w:rPr>
          <w:rFonts w:hint="eastAsia" w:ascii="宋体" w:hAnsi="宋体"/>
          <w:color w:val="auto"/>
          <w:highlight w:val="none"/>
          <w:lang w:val="en-US" w:eastAsia="zh-CN"/>
        </w:rPr>
        <w:t>4.1.1具体</w:t>
      </w:r>
      <w:r>
        <w:rPr>
          <w:rFonts w:hint="eastAsia" w:ascii="宋体" w:hAnsi="宋体"/>
          <w:color w:val="auto"/>
          <w:highlight w:val="none"/>
        </w:rPr>
        <w:t>评审标准见本章前附表</w:t>
      </w:r>
      <w:r>
        <w:rPr>
          <w:rFonts w:hint="eastAsia" w:ascii="宋体" w:hAnsi="宋体"/>
          <w:color w:val="auto"/>
          <w:highlight w:val="none"/>
          <w:lang w:eastAsia="zh-CN"/>
        </w:rPr>
        <w:t>。</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评标委员会按照</w:t>
      </w:r>
      <w:r>
        <w:rPr>
          <w:rFonts w:hint="eastAsia" w:ascii="宋体" w:hAnsi="宋体"/>
          <w:color w:val="auto"/>
          <w:szCs w:val="21"/>
          <w:highlight w:val="none"/>
          <w:lang w:val="en-US" w:eastAsia="zh-CN"/>
        </w:rPr>
        <w:t>本章</w:t>
      </w:r>
      <w:r>
        <w:rPr>
          <w:rFonts w:hint="eastAsia" w:ascii="宋体" w:hAnsi="宋体"/>
          <w:color w:val="auto"/>
          <w:szCs w:val="21"/>
          <w:highlight w:val="none"/>
        </w:rPr>
        <w:t>前附表明确的评审因素和标准，对进入</w:t>
      </w:r>
      <w:r>
        <w:rPr>
          <w:rFonts w:ascii="宋体" w:hAnsi="宋体"/>
          <w:color w:val="auto"/>
          <w:szCs w:val="21"/>
          <w:highlight w:val="none"/>
        </w:rPr>
        <w:t>本</w:t>
      </w:r>
      <w:r>
        <w:rPr>
          <w:rFonts w:hint="eastAsia" w:ascii="宋体" w:hAnsi="宋体"/>
          <w:color w:val="auto"/>
          <w:szCs w:val="21"/>
          <w:highlight w:val="none"/>
        </w:rPr>
        <w:t>评审</w:t>
      </w:r>
      <w:r>
        <w:rPr>
          <w:rFonts w:ascii="宋体" w:hAnsi="宋体"/>
          <w:color w:val="auto"/>
          <w:szCs w:val="21"/>
          <w:highlight w:val="none"/>
        </w:rPr>
        <w:t>环节</w:t>
      </w:r>
      <w:r>
        <w:rPr>
          <w:rFonts w:hint="eastAsia" w:ascii="宋体" w:hAnsi="宋体"/>
          <w:color w:val="auto"/>
          <w:szCs w:val="21"/>
          <w:highlight w:val="none"/>
        </w:rPr>
        <w:t>投标</w:t>
      </w:r>
      <w:r>
        <w:rPr>
          <w:rFonts w:ascii="宋体" w:hAnsi="宋体"/>
          <w:color w:val="auto"/>
          <w:szCs w:val="21"/>
          <w:highlight w:val="none"/>
        </w:rPr>
        <w:t>人的</w:t>
      </w:r>
      <w:r>
        <w:rPr>
          <w:rFonts w:hint="eastAsia" w:ascii="宋体" w:hAnsi="宋体"/>
          <w:color w:val="auto"/>
          <w:szCs w:val="21"/>
          <w:highlight w:val="none"/>
        </w:rPr>
        <w:t>投标文件进行符合性评审，并使用附表1记录评审结果。</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评审结果分为“合格”或“不合格”。评审任一项评审因素为不合格的，评审结果为不合格的不进入下一评审环节，</w:t>
      </w:r>
      <w:r>
        <w:rPr>
          <w:rFonts w:ascii="宋体" w:hAnsi="宋体"/>
          <w:color w:val="auto"/>
          <w:szCs w:val="21"/>
          <w:highlight w:val="none"/>
        </w:rPr>
        <w:t>并</w:t>
      </w:r>
      <w:r>
        <w:rPr>
          <w:rFonts w:hint="eastAsia" w:ascii="宋体" w:hAnsi="宋体"/>
          <w:color w:val="auto"/>
          <w:szCs w:val="21"/>
          <w:highlight w:val="none"/>
        </w:rPr>
        <w:t>明确</w:t>
      </w:r>
      <w:r>
        <w:rPr>
          <w:rFonts w:ascii="宋体" w:hAnsi="宋体"/>
          <w:color w:val="auto"/>
          <w:szCs w:val="21"/>
          <w:highlight w:val="none"/>
        </w:rPr>
        <w:t>记录不合格</w:t>
      </w:r>
      <w:r>
        <w:rPr>
          <w:rFonts w:hint="eastAsia" w:ascii="宋体" w:hAnsi="宋体"/>
          <w:color w:val="auto"/>
          <w:szCs w:val="21"/>
          <w:highlight w:val="none"/>
        </w:rPr>
        <w:t>理由。所有评审因素均为合格的，不得以</w:t>
      </w:r>
      <w:r>
        <w:rPr>
          <w:rFonts w:hint="eastAsia" w:ascii="宋体" w:hAnsi="宋体"/>
          <w:color w:val="auto"/>
          <w:szCs w:val="21"/>
          <w:highlight w:val="none"/>
          <w:lang w:eastAsia="zh-CN"/>
        </w:rPr>
        <w:t>其他</w:t>
      </w:r>
      <w:r>
        <w:rPr>
          <w:rFonts w:hint="eastAsia" w:ascii="宋体" w:hAnsi="宋体"/>
          <w:color w:val="auto"/>
          <w:szCs w:val="21"/>
          <w:highlight w:val="none"/>
        </w:rPr>
        <w:t>理由认定评审结果为不合格。</w:t>
      </w:r>
    </w:p>
    <w:p>
      <w:pPr>
        <w:adjustRightInd w:val="0"/>
        <w:snapToGrid w:val="0"/>
        <w:ind w:firstLine="0" w:firstLineChars="0"/>
        <w:rPr>
          <w:rFonts w:hint="eastAsia" w:ascii="宋体" w:hAnsi="宋体" w:eastAsia="宋体"/>
          <w:color w:val="auto"/>
          <w:szCs w:val="21"/>
          <w:highlight w:val="none"/>
          <w:lang w:eastAsia="zh-CN"/>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2技术评审</w:t>
      </w:r>
      <w:r>
        <w:rPr>
          <w:rFonts w:hint="eastAsia" w:ascii="宋体" w:hAnsi="宋体"/>
          <w:b/>
          <w:color w:val="auto"/>
          <w:szCs w:val="21"/>
          <w:highlight w:val="none"/>
          <w:lang w:eastAsia="zh-CN"/>
        </w:rPr>
        <w:t>（评分法）</w:t>
      </w:r>
    </w:p>
    <w:p>
      <w:pPr>
        <w:adjustRightInd w:val="0"/>
        <w:snapToGrid w:val="0"/>
        <w:ind w:firstLine="420" w:firstLineChars="200"/>
        <w:rPr>
          <w:rFonts w:hint="eastAsia" w:ascii="宋体" w:hAnsi="宋体"/>
          <w:color w:val="auto"/>
          <w:highlight w:val="none"/>
          <w:lang w:eastAsia="zh-CN"/>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w:t>
      </w:r>
      <w:r>
        <w:rPr>
          <w:rFonts w:hint="eastAsia" w:ascii="宋体" w:hAnsi="宋体"/>
          <w:color w:val="auto"/>
          <w:highlight w:val="none"/>
          <w:lang w:val="en-US" w:eastAsia="zh-CN"/>
        </w:rPr>
        <w:t>1具体评审</w:t>
      </w:r>
      <w:r>
        <w:rPr>
          <w:rFonts w:hint="eastAsia" w:ascii="宋体" w:hAnsi="宋体"/>
          <w:color w:val="auto"/>
          <w:highlight w:val="none"/>
        </w:rPr>
        <w:t>标准见本章前附表</w:t>
      </w:r>
      <w:r>
        <w:rPr>
          <w:rFonts w:hint="eastAsia" w:ascii="宋体" w:hAnsi="宋体"/>
          <w:color w:val="auto"/>
          <w:highlight w:val="none"/>
          <w:lang w:eastAsia="zh-CN"/>
        </w:rPr>
        <w:t>。</w:t>
      </w:r>
    </w:p>
    <w:p>
      <w:pPr>
        <w:adjustRightInd w:val="0"/>
        <w:snapToGrid w:val="0"/>
        <w:ind w:firstLine="0" w:firstLineChars="0"/>
        <w:rPr>
          <w:rFonts w:hint="eastAsia" w:ascii="宋体" w:hAnsi="宋体" w:eastAsia="宋体"/>
          <w:b/>
          <w:color w:val="auto"/>
          <w:szCs w:val="21"/>
          <w:highlight w:val="none"/>
          <w:lang w:eastAsia="zh-CN"/>
        </w:rPr>
      </w:pPr>
      <w:r>
        <w:rPr>
          <w:rFonts w:hint="eastAsia" w:ascii="宋体" w:hAnsi="宋体"/>
          <w:color w:val="auto"/>
          <w:szCs w:val="21"/>
          <w:highlight w:val="none"/>
          <w:lang w:val="en-US" w:eastAsia="zh-CN"/>
        </w:rPr>
        <w:t>4.2.2</w:t>
      </w:r>
      <w:r>
        <w:rPr>
          <w:rFonts w:hint="eastAsia" w:ascii="宋体" w:hAnsi="宋体"/>
          <w:color w:val="auto"/>
          <w:szCs w:val="21"/>
          <w:highlight w:val="none"/>
        </w:rPr>
        <w:t>评标委员会按照</w:t>
      </w:r>
      <w:r>
        <w:rPr>
          <w:rFonts w:hint="eastAsia" w:ascii="宋体" w:hAnsi="宋体"/>
          <w:color w:val="auto"/>
          <w:szCs w:val="21"/>
          <w:highlight w:val="none"/>
          <w:lang w:val="en-US" w:eastAsia="zh-CN"/>
        </w:rPr>
        <w:t>本章</w:t>
      </w:r>
      <w:r>
        <w:rPr>
          <w:rFonts w:hint="eastAsia" w:ascii="宋体" w:hAnsi="宋体"/>
          <w:color w:val="auto"/>
          <w:szCs w:val="21"/>
          <w:highlight w:val="none"/>
        </w:rPr>
        <w:t>前附表明确的评审因素和标准，对进入</w:t>
      </w:r>
      <w:r>
        <w:rPr>
          <w:rFonts w:ascii="宋体" w:hAnsi="宋体"/>
          <w:color w:val="auto"/>
          <w:szCs w:val="21"/>
          <w:highlight w:val="none"/>
        </w:rPr>
        <w:t>本</w:t>
      </w:r>
      <w:r>
        <w:rPr>
          <w:rFonts w:hint="eastAsia" w:ascii="宋体" w:hAnsi="宋体"/>
          <w:color w:val="auto"/>
          <w:szCs w:val="21"/>
          <w:highlight w:val="none"/>
        </w:rPr>
        <w:t>评审</w:t>
      </w:r>
      <w:r>
        <w:rPr>
          <w:rFonts w:ascii="宋体" w:hAnsi="宋体"/>
          <w:color w:val="auto"/>
          <w:szCs w:val="21"/>
          <w:highlight w:val="none"/>
        </w:rPr>
        <w:t>环节</w:t>
      </w:r>
      <w:r>
        <w:rPr>
          <w:rFonts w:hint="eastAsia" w:ascii="宋体" w:hAnsi="宋体"/>
          <w:color w:val="auto"/>
          <w:szCs w:val="21"/>
          <w:highlight w:val="none"/>
        </w:rPr>
        <w:t>投标</w:t>
      </w:r>
      <w:r>
        <w:rPr>
          <w:rFonts w:ascii="宋体" w:hAnsi="宋体"/>
          <w:color w:val="auto"/>
          <w:szCs w:val="21"/>
          <w:highlight w:val="none"/>
        </w:rPr>
        <w:t>人的</w:t>
      </w:r>
      <w:r>
        <w:rPr>
          <w:rFonts w:hint="eastAsia" w:ascii="宋体" w:hAnsi="宋体"/>
          <w:color w:val="auto"/>
          <w:szCs w:val="21"/>
          <w:highlight w:val="none"/>
        </w:rPr>
        <w:t>投标文件进行评</w:t>
      </w:r>
      <w:r>
        <w:rPr>
          <w:rFonts w:hint="eastAsia" w:ascii="宋体" w:hAnsi="宋体"/>
          <w:color w:val="auto"/>
          <w:szCs w:val="21"/>
          <w:highlight w:val="none"/>
          <w:lang w:eastAsia="zh-CN"/>
        </w:rPr>
        <w:t>审</w:t>
      </w:r>
      <w:r>
        <w:rPr>
          <w:rFonts w:hint="eastAsia" w:ascii="宋体" w:hAnsi="宋体"/>
          <w:color w:val="auto"/>
          <w:szCs w:val="21"/>
          <w:highlight w:val="none"/>
        </w:rPr>
        <w:t>，并使用附表</w:t>
      </w:r>
      <w:r>
        <w:rPr>
          <w:rFonts w:hint="default" w:ascii="宋体" w:hAnsi="宋体"/>
          <w:color w:val="auto"/>
          <w:szCs w:val="21"/>
          <w:highlight w:val="none"/>
          <w:lang w:val="en-US"/>
        </w:rPr>
        <w:t>2</w:t>
      </w:r>
      <w:r>
        <w:rPr>
          <w:rFonts w:hint="eastAsia" w:ascii="宋体" w:hAnsi="宋体"/>
          <w:color w:val="auto"/>
          <w:szCs w:val="21"/>
          <w:highlight w:val="none"/>
        </w:rPr>
        <w:t>记录评审结果。</w:t>
      </w: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3</w:t>
      </w:r>
      <w:r>
        <w:rPr>
          <w:rFonts w:hint="eastAsia" w:ascii="宋体" w:hAnsi="宋体"/>
          <w:b/>
          <w:color w:val="auto"/>
          <w:szCs w:val="21"/>
          <w:highlight w:val="none"/>
        </w:rPr>
        <w:t>技术评审</w:t>
      </w:r>
      <w:r>
        <w:rPr>
          <w:rFonts w:hint="eastAsia" w:ascii="宋体" w:hAnsi="宋体"/>
          <w:b/>
          <w:color w:val="auto"/>
          <w:szCs w:val="21"/>
          <w:highlight w:val="none"/>
          <w:lang w:eastAsia="zh-CN"/>
        </w:rPr>
        <w:t>（评价法）</w:t>
      </w:r>
    </w:p>
    <w:p>
      <w:pPr>
        <w:adjustRightInd/>
        <w:snapToGrid/>
        <w:ind w:firstLine="420" w:firstLineChars="200"/>
        <w:rPr>
          <w:rFonts w:hint="eastAsia" w:ascii="宋体" w:hAnsi="宋体" w:eastAsia="宋体"/>
          <w:color w:val="auto"/>
          <w:szCs w:val="21"/>
          <w:highlight w:val="none"/>
          <w:lang w:eastAsia="zh-CN"/>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color w:val="auto"/>
          <w:highlight w:val="none"/>
          <w:lang w:val="en-US" w:eastAsia="zh-CN"/>
        </w:rPr>
        <w:t>1具体评审</w:t>
      </w:r>
      <w:r>
        <w:rPr>
          <w:rFonts w:hint="eastAsia" w:ascii="宋体" w:hAnsi="宋体"/>
          <w:color w:val="auto"/>
          <w:highlight w:val="none"/>
        </w:rPr>
        <w:t>标准见本章前附表</w:t>
      </w:r>
      <w:r>
        <w:rPr>
          <w:rFonts w:hint="eastAsia" w:ascii="宋体" w:hAnsi="宋体"/>
          <w:color w:val="auto"/>
          <w:highlight w:val="none"/>
          <w:lang w:eastAsia="zh-CN"/>
        </w:rPr>
        <w:t>。</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评标委员会按照</w:t>
      </w:r>
      <w:r>
        <w:rPr>
          <w:rFonts w:hint="eastAsia" w:ascii="宋体" w:hAnsi="宋体"/>
          <w:color w:val="auto"/>
          <w:szCs w:val="21"/>
          <w:highlight w:val="none"/>
          <w:lang w:val="en-US" w:eastAsia="zh-CN"/>
        </w:rPr>
        <w:t>本章</w:t>
      </w:r>
      <w:r>
        <w:rPr>
          <w:rFonts w:hint="eastAsia" w:ascii="宋体" w:hAnsi="宋体"/>
          <w:color w:val="auto"/>
          <w:szCs w:val="21"/>
          <w:highlight w:val="none"/>
        </w:rPr>
        <w:t>前附表明确的评审因素和标准，对进入</w:t>
      </w:r>
      <w:r>
        <w:rPr>
          <w:rFonts w:ascii="宋体" w:hAnsi="宋体"/>
          <w:color w:val="auto"/>
          <w:szCs w:val="21"/>
          <w:highlight w:val="none"/>
        </w:rPr>
        <w:t>本</w:t>
      </w:r>
      <w:r>
        <w:rPr>
          <w:rFonts w:hint="eastAsia" w:ascii="宋体" w:hAnsi="宋体"/>
          <w:color w:val="auto"/>
          <w:szCs w:val="21"/>
          <w:highlight w:val="none"/>
        </w:rPr>
        <w:t>评审</w:t>
      </w:r>
      <w:r>
        <w:rPr>
          <w:rFonts w:ascii="宋体" w:hAnsi="宋体"/>
          <w:color w:val="auto"/>
          <w:szCs w:val="21"/>
          <w:highlight w:val="none"/>
        </w:rPr>
        <w:t>环节</w:t>
      </w:r>
      <w:r>
        <w:rPr>
          <w:rFonts w:hint="eastAsia" w:ascii="宋体" w:hAnsi="宋体"/>
          <w:color w:val="auto"/>
          <w:szCs w:val="21"/>
          <w:highlight w:val="none"/>
        </w:rPr>
        <w:t>投标</w:t>
      </w:r>
      <w:r>
        <w:rPr>
          <w:rFonts w:ascii="宋体" w:hAnsi="宋体"/>
          <w:color w:val="auto"/>
          <w:szCs w:val="21"/>
          <w:highlight w:val="none"/>
        </w:rPr>
        <w:t>人的</w:t>
      </w:r>
      <w:r>
        <w:rPr>
          <w:rFonts w:hint="eastAsia" w:ascii="宋体" w:hAnsi="宋体"/>
          <w:color w:val="auto"/>
          <w:szCs w:val="21"/>
          <w:highlight w:val="none"/>
        </w:rPr>
        <w:t>投标文件技术评审材料进行符合性评审，按照各评审因素逐条指出存在优点的具体事项，或指出存在缺陷或签订合同前应注意和澄清的具体事项，并使用附表</w:t>
      </w:r>
      <w:r>
        <w:rPr>
          <w:rFonts w:hint="default" w:ascii="宋体" w:hAnsi="宋体"/>
          <w:color w:val="auto"/>
          <w:szCs w:val="21"/>
          <w:highlight w:val="none"/>
          <w:lang w:val="en-US"/>
        </w:rPr>
        <w:t>3</w:t>
      </w:r>
      <w:r>
        <w:rPr>
          <w:rFonts w:hint="eastAsia" w:ascii="宋体" w:hAnsi="宋体"/>
          <w:color w:val="auto"/>
          <w:szCs w:val="21"/>
          <w:highlight w:val="none"/>
        </w:rPr>
        <w:t>记录评审结果。</w:t>
      </w:r>
    </w:p>
    <w:p>
      <w:pPr>
        <w:adjustRightInd w:val="0"/>
        <w:snapToGrid w:val="0"/>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对评审因素逐条评审时，应当给出具体的评审意见，不得以“合格、不合格、可行、不可行、优、良、中、差”等分级、评价性意见代替。</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综合评审结果分为“合格”与“不合格”。其中，不合格仅限于投标文件违反国家强制性条文标准的情形或出现招标文件否决性条款规定的情形，且不进入下一评审环节，并</w:t>
      </w:r>
      <w:r>
        <w:rPr>
          <w:rFonts w:ascii="宋体" w:hAnsi="宋体"/>
          <w:color w:val="auto"/>
          <w:szCs w:val="21"/>
          <w:highlight w:val="none"/>
        </w:rPr>
        <w:t>注</w:t>
      </w:r>
      <w:r>
        <w:rPr>
          <w:rFonts w:hint="eastAsia" w:ascii="宋体" w:hAnsi="宋体"/>
          <w:color w:val="auto"/>
          <w:szCs w:val="21"/>
          <w:highlight w:val="none"/>
        </w:rPr>
        <w:t>明</w:t>
      </w:r>
      <w:r>
        <w:rPr>
          <w:rFonts w:ascii="宋体" w:hAnsi="宋体"/>
          <w:color w:val="auto"/>
          <w:szCs w:val="21"/>
          <w:highlight w:val="none"/>
        </w:rPr>
        <w:t>不合格</w:t>
      </w:r>
      <w:r>
        <w:rPr>
          <w:rFonts w:hint="eastAsia" w:ascii="宋体" w:hAnsi="宋体"/>
          <w:color w:val="auto"/>
          <w:szCs w:val="21"/>
          <w:highlight w:val="none"/>
        </w:rPr>
        <w:t>理由。</w:t>
      </w:r>
    </w:p>
    <w:p>
      <w:pPr>
        <w:rPr>
          <w:rFonts w:hint="eastAsia" w:ascii="宋体" w:hAnsi="宋体" w:eastAsia="宋体"/>
          <w:b/>
          <w:color w:val="auto"/>
          <w:szCs w:val="21"/>
          <w:highlight w:val="none"/>
          <w:lang w:eastAsia="zh-CN"/>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4商务</w:t>
      </w:r>
      <w:r>
        <w:rPr>
          <w:rFonts w:hint="eastAsia" w:ascii="宋体" w:hAnsi="宋体"/>
          <w:b/>
          <w:color w:val="auto"/>
          <w:szCs w:val="21"/>
          <w:highlight w:val="none"/>
        </w:rPr>
        <w:t>评审</w:t>
      </w:r>
      <w:r>
        <w:rPr>
          <w:rFonts w:hint="eastAsia" w:ascii="宋体" w:hAnsi="宋体"/>
          <w:b/>
          <w:color w:val="auto"/>
          <w:szCs w:val="21"/>
          <w:highlight w:val="none"/>
          <w:lang w:eastAsia="zh-CN"/>
        </w:rPr>
        <w:t>（评分法）</w:t>
      </w:r>
    </w:p>
    <w:p>
      <w:pPr>
        <w:adjustRightInd/>
        <w:snapToGrid/>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val="en-US" w:eastAsia="zh-CN"/>
        </w:rPr>
        <w:t>1具体</w:t>
      </w:r>
      <w:r>
        <w:rPr>
          <w:rFonts w:hint="eastAsia" w:ascii="宋体" w:hAnsi="宋体"/>
          <w:color w:val="auto"/>
          <w:highlight w:val="none"/>
        </w:rPr>
        <w:t>评审标准见本章前附表。</w:t>
      </w:r>
    </w:p>
    <w:p>
      <w:pPr>
        <w:adjustRightInd/>
        <w:snapToGrid/>
        <w:ind w:firstLine="420" w:firstLineChars="200"/>
        <w:rPr>
          <w:rFonts w:hint="default" w:ascii="宋体" w:hAnsi="宋体"/>
          <w:color w:val="auto"/>
          <w:highlight w:val="none"/>
          <w:lang w:val="en-US"/>
        </w:rPr>
      </w:pPr>
      <w:r>
        <w:rPr>
          <w:rFonts w:hint="default" w:ascii="宋体" w:hAnsi="宋体"/>
          <w:color w:val="auto"/>
          <w:highlight w:val="none"/>
          <w:lang w:val="en-US"/>
        </w:rPr>
        <w:t>4.4.2</w:t>
      </w:r>
      <w:r>
        <w:rPr>
          <w:rFonts w:hint="eastAsia" w:ascii="宋体" w:hAnsi="宋体"/>
          <w:color w:val="auto"/>
          <w:szCs w:val="21"/>
          <w:highlight w:val="none"/>
        </w:rPr>
        <w:t>评标委员会按照</w:t>
      </w:r>
      <w:r>
        <w:rPr>
          <w:rFonts w:hint="eastAsia" w:ascii="宋体" w:hAnsi="宋体"/>
          <w:color w:val="auto"/>
          <w:szCs w:val="21"/>
          <w:highlight w:val="none"/>
          <w:lang w:val="en-US" w:eastAsia="zh-CN"/>
        </w:rPr>
        <w:t>本章</w:t>
      </w:r>
      <w:r>
        <w:rPr>
          <w:rFonts w:hint="eastAsia" w:ascii="宋体" w:hAnsi="宋体"/>
          <w:color w:val="auto"/>
          <w:szCs w:val="21"/>
          <w:highlight w:val="none"/>
        </w:rPr>
        <w:t>前附表明确的评审因素和标准，对进入</w:t>
      </w:r>
      <w:r>
        <w:rPr>
          <w:rFonts w:ascii="宋体" w:hAnsi="宋体"/>
          <w:color w:val="auto"/>
          <w:szCs w:val="21"/>
          <w:highlight w:val="none"/>
        </w:rPr>
        <w:t>本</w:t>
      </w:r>
      <w:r>
        <w:rPr>
          <w:rFonts w:hint="eastAsia" w:ascii="宋体" w:hAnsi="宋体"/>
          <w:color w:val="auto"/>
          <w:szCs w:val="21"/>
          <w:highlight w:val="none"/>
        </w:rPr>
        <w:t>评审</w:t>
      </w:r>
      <w:r>
        <w:rPr>
          <w:rFonts w:ascii="宋体" w:hAnsi="宋体"/>
          <w:color w:val="auto"/>
          <w:szCs w:val="21"/>
          <w:highlight w:val="none"/>
        </w:rPr>
        <w:t>环节</w:t>
      </w:r>
      <w:r>
        <w:rPr>
          <w:rFonts w:hint="eastAsia" w:ascii="宋体" w:hAnsi="宋体"/>
          <w:color w:val="auto"/>
          <w:szCs w:val="21"/>
          <w:highlight w:val="none"/>
        </w:rPr>
        <w:t>投标</w:t>
      </w:r>
      <w:r>
        <w:rPr>
          <w:rFonts w:ascii="宋体" w:hAnsi="宋体"/>
          <w:color w:val="auto"/>
          <w:szCs w:val="21"/>
          <w:highlight w:val="none"/>
        </w:rPr>
        <w:t>人的</w:t>
      </w:r>
      <w:r>
        <w:rPr>
          <w:rFonts w:hint="eastAsia" w:ascii="宋体" w:hAnsi="宋体"/>
          <w:color w:val="auto"/>
          <w:szCs w:val="21"/>
          <w:highlight w:val="none"/>
        </w:rPr>
        <w:t>投标文件进行评</w:t>
      </w:r>
      <w:r>
        <w:rPr>
          <w:rFonts w:hint="eastAsia" w:ascii="宋体" w:hAnsi="宋体"/>
          <w:color w:val="auto"/>
          <w:szCs w:val="21"/>
          <w:highlight w:val="none"/>
          <w:lang w:eastAsia="zh-CN"/>
        </w:rPr>
        <w:t>审</w:t>
      </w:r>
      <w:r>
        <w:rPr>
          <w:rFonts w:hint="eastAsia" w:ascii="宋体" w:hAnsi="宋体"/>
          <w:color w:val="auto"/>
          <w:szCs w:val="21"/>
          <w:highlight w:val="none"/>
        </w:rPr>
        <w:t>，并使用附表</w:t>
      </w:r>
      <w:r>
        <w:rPr>
          <w:rFonts w:hint="default" w:ascii="宋体" w:hAnsi="宋体"/>
          <w:color w:val="auto"/>
          <w:szCs w:val="21"/>
          <w:highlight w:val="none"/>
          <w:lang w:val="en-US"/>
        </w:rPr>
        <w:t>4</w:t>
      </w:r>
      <w:r>
        <w:rPr>
          <w:rFonts w:hint="eastAsia" w:ascii="宋体" w:hAnsi="宋体"/>
          <w:color w:val="auto"/>
          <w:szCs w:val="21"/>
          <w:highlight w:val="none"/>
        </w:rPr>
        <w:t>记录评审结果。</w:t>
      </w:r>
    </w:p>
    <w:p>
      <w:pPr>
        <w:adjustRightInd/>
        <w:snapToGrid/>
        <w:ind w:firstLine="0" w:firstLineChars="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4.5投标报价评审</w:t>
      </w:r>
    </w:p>
    <w:p>
      <w:pPr>
        <w:adjustRightInd w:val="0"/>
        <w:snapToGrid w:val="0"/>
        <w:ind w:firstLine="420" w:firstLineChars="200"/>
        <w:rPr>
          <w:rFonts w:hint="eastAsia" w:ascii="宋体" w:hAnsi="宋体"/>
          <w:color w:val="auto"/>
          <w:szCs w:val="21"/>
          <w:highlight w:val="none"/>
        </w:rPr>
      </w:pPr>
      <w:r>
        <w:rPr>
          <w:rFonts w:hint="default" w:ascii="宋体" w:hAnsi="宋体"/>
          <w:color w:val="auto"/>
          <w:szCs w:val="21"/>
          <w:highlight w:val="none"/>
          <w:lang w:val="en-US"/>
        </w:rPr>
        <w:t>4.5.1</w:t>
      </w:r>
      <w:r>
        <w:rPr>
          <w:rFonts w:hint="eastAsia" w:ascii="宋体" w:hAnsi="宋体"/>
          <w:color w:val="auto"/>
          <w:highlight w:val="none"/>
          <w:lang w:val="en-US" w:eastAsia="zh-CN"/>
        </w:rPr>
        <w:t>评标委员会使用本章附则</w:t>
      </w:r>
      <w:r>
        <w:rPr>
          <w:rFonts w:hint="eastAsia" w:ascii="宋体" w:hAnsi="宋体"/>
          <w:color w:val="auto"/>
          <w:szCs w:val="21"/>
          <w:highlight w:val="none"/>
        </w:rPr>
        <w:t>对进入</w:t>
      </w:r>
      <w:r>
        <w:rPr>
          <w:rFonts w:ascii="宋体" w:hAnsi="宋体"/>
          <w:color w:val="auto"/>
          <w:szCs w:val="21"/>
          <w:highlight w:val="none"/>
        </w:rPr>
        <w:t>本</w:t>
      </w:r>
      <w:r>
        <w:rPr>
          <w:rFonts w:hint="eastAsia" w:ascii="宋体" w:hAnsi="宋体"/>
          <w:color w:val="auto"/>
          <w:szCs w:val="21"/>
          <w:highlight w:val="none"/>
        </w:rPr>
        <w:t>评审</w:t>
      </w:r>
      <w:r>
        <w:rPr>
          <w:rFonts w:ascii="宋体" w:hAnsi="宋体"/>
          <w:color w:val="auto"/>
          <w:szCs w:val="21"/>
          <w:highlight w:val="none"/>
        </w:rPr>
        <w:t>环节</w:t>
      </w:r>
      <w:r>
        <w:rPr>
          <w:rFonts w:hint="eastAsia" w:ascii="宋体" w:hAnsi="宋体"/>
          <w:color w:val="auto"/>
          <w:szCs w:val="21"/>
          <w:highlight w:val="none"/>
          <w:lang w:val="en-US" w:eastAsia="zh-CN"/>
        </w:rPr>
        <w:t>的</w:t>
      </w:r>
      <w:r>
        <w:rPr>
          <w:rFonts w:hint="eastAsia" w:ascii="宋体" w:hAnsi="宋体"/>
          <w:color w:val="auto"/>
          <w:szCs w:val="21"/>
          <w:highlight w:val="none"/>
        </w:rPr>
        <w:t>投标</w:t>
      </w:r>
      <w:r>
        <w:rPr>
          <w:rFonts w:ascii="宋体" w:hAnsi="宋体"/>
          <w:color w:val="auto"/>
          <w:szCs w:val="21"/>
          <w:highlight w:val="none"/>
        </w:rPr>
        <w:t>人</w:t>
      </w:r>
      <w:r>
        <w:rPr>
          <w:rFonts w:hint="eastAsia" w:ascii="宋体" w:hAnsi="宋体"/>
          <w:color w:val="auto"/>
          <w:szCs w:val="21"/>
          <w:highlight w:val="none"/>
        </w:rPr>
        <w:t>投标</w:t>
      </w:r>
      <w:r>
        <w:rPr>
          <w:rFonts w:hint="eastAsia" w:ascii="宋体" w:hAnsi="宋体"/>
          <w:color w:val="auto"/>
          <w:szCs w:val="21"/>
          <w:highlight w:val="none"/>
          <w:lang w:val="en-US" w:eastAsia="zh-CN"/>
        </w:rPr>
        <w:t>报价</w:t>
      </w:r>
      <w:r>
        <w:rPr>
          <w:rFonts w:hint="eastAsia" w:ascii="宋体" w:hAnsi="宋体"/>
          <w:color w:val="auto"/>
          <w:szCs w:val="21"/>
          <w:highlight w:val="none"/>
        </w:rPr>
        <w:t>进行评</w:t>
      </w:r>
      <w:r>
        <w:rPr>
          <w:rFonts w:hint="eastAsia" w:ascii="宋体" w:hAnsi="宋体"/>
          <w:color w:val="auto"/>
          <w:szCs w:val="21"/>
          <w:highlight w:val="none"/>
          <w:lang w:eastAsia="zh-CN"/>
        </w:rPr>
        <w:t>审</w:t>
      </w:r>
      <w:r>
        <w:rPr>
          <w:rFonts w:hint="eastAsia" w:ascii="宋体" w:hAnsi="宋体"/>
          <w:color w:val="auto"/>
          <w:szCs w:val="21"/>
          <w:highlight w:val="none"/>
        </w:rPr>
        <w:t>，并使用附表</w:t>
      </w:r>
      <w:r>
        <w:rPr>
          <w:rFonts w:hint="eastAsia" w:ascii="宋体" w:hAnsi="宋体"/>
          <w:color w:val="auto"/>
          <w:szCs w:val="21"/>
          <w:highlight w:val="none"/>
          <w:lang w:val="en-US" w:eastAsia="zh-CN"/>
        </w:rPr>
        <w:t>5</w:t>
      </w:r>
      <w:r>
        <w:rPr>
          <w:rFonts w:hint="eastAsia" w:ascii="宋体" w:hAnsi="宋体"/>
          <w:color w:val="auto"/>
          <w:szCs w:val="21"/>
          <w:highlight w:val="none"/>
        </w:rPr>
        <w:t>记录评审结果。</w:t>
      </w:r>
    </w:p>
    <w:p>
      <w:pPr>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判断投标是否</w:t>
      </w:r>
      <w:r>
        <w:rPr>
          <w:rFonts w:hint="eastAsia" w:ascii="宋体" w:hAnsi="宋体"/>
          <w:b/>
          <w:color w:val="auto"/>
          <w:szCs w:val="21"/>
          <w:highlight w:val="none"/>
          <w:lang w:val="en-US" w:eastAsia="zh-CN"/>
        </w:rPr>
        <w:t>应</w:t>
      </w:r>
      <w:r>
        <w:rPr>
          <w:rFonts w:hint="eastAsia" w:ascii="宋体" w:hAnsi="宋体"/>
          <w:b/>
          <w:color w:val="auto"/>
          <w:szCs w:val="21"/>
          <w:highlight w:val="none"/>
        </w:rPr>
        <w:t>被否决</w:t>
      </w:r>
    </w:p>
    <w:p>
      <w:pPr>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.1判断投标人的投标是否有否决性条件的全部条件中的条件，在投标文件否决性条款摘要中集中列示。</w:t>
      </w:r>
    </w:p>
    <w:p>
      <w:pPr>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.2投标人须知和本章正文部分包括的否决性条件不应与投标文件否决性条款摘要集中列示的否决性条件抵触，如果出现相互矛盾的情况，以投标文件否决性条款摘要的规定为准。</w:t>
      </w:r>
    </w:p>
    <w:p>
      <w:pPr>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.3评标委员会在评标过程中，依据投标文件否决性条款摘要中规定的否决性条件判断投标人的投标是否被否决。</w:t>
      </w:r>
    </w:p>
    <w:p>
      <w:pPr>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lang w:eastAsia="zh-CN"/>
        </w:rPr>
        <w:t>投标报价</w:t>
      </w:r>
      <w:r>
        <w:rPr>
          <w:rFonts w:hint="eastAsia" w:ascii="宋体" w:hAnsi="宋体"/>
          <w:b/>
          <w:color w:val="auto"/>
          <w:szCs w:val="21"/>
          <w:highlight w:val="none"/>
        </w:rPr>
        <w:t>修正</w:t>
      </w:r>
    </w:p>
    <w:p>
      <w:pPr>
        <w:ind w:firstLine="420" w:firstLineChars="200"/>
        <w:rPr>
          <w:rFonts w:hint="eastAsia" w:ascii="宋体" w:hAnsi="宋体"/>
          <w:color w:val="auto"/>
          <w:highlight w:val="none"/>
        </w:rPr>
      </w:pPr>
      <w:r>
        <w:rPr>
          <w:rFonts w:hint="eastAsia" w:ascii="宋体" w:hAnsi="宋体"/>
          <w:color w:val="auto"/>
          <w:highlight w:val="none"/>
          <w:lang w:val="en-US" w:eastAsia="zh-CN"/>
        </w:rPr>
        <w:t>4.7.1投标人的投标文件存在算术误差及细微偏差，或存在报价合理性疑问及漏报未报的，可按现行实施的《建设工程工程量清单计价标准》的规定进行修正，但投标总价不得做任何调整，修正报价汇总后的总价应与投标函内填报的投标总价一致。</w:t>
      </w:r>
    </w:p>
    <w:p>
      <w:pPr>
        <w:ind w:firstLine="420" w:firstLineChars="200"/>
        <w:rPr>
          <w:rFonts w:hint="eastAsia" w:ascii="宋体" w:hAnsi="宋体" w:eastAsia="宋体" w:cs="宋体"/>
          <w:color w:val="auto"/>
          <w:highlight w:val="none"/>
          <w:lang w:eastAsia="zh-CN"/>
        </w:rPr>
      </w:pPr>
      <w:r>
        <w:rPr>
          <w:rFonts w:hint="eastAsia" w:ascii="宋体" w:hAnsi="宋体"/>
          <w:color w:val="auto"/>
          <w:highlight w:val="none"/>
          <w:lang w:val="en-US" w:eastAsia="zh-CN"/>
        </w:rPr>
        <w:t>4.7.2</w:t>
      </w:r>
      <w:r>
        <w:rPr>
          <w:rFonts w:hint="eastAsia" w:ascii="宋体" w:hAnsi="宋体" w:eastAsia="宋体" w:cs="宋体"/>
          <w:color w:val="auto"/>
          <w:highlight w:val="none"/>
        </w:rPr>
        <w:t>投标文件中</w:t>
      </w:r>
      <w:r>
        <w:rPr>
          <w:rFonts w:hint="eastAsia" w:ascii="宋体" w:hAnsi="宋体" w:eastAsia="宋体" w:cs="宋体"/>
          <w:color w:val="auto"/>
          <w:highlight w:val="none"/>
          <w:lang w:eastAsia="zh-CN"/>
        </w:rPr>
        <w:t>填报</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投标总价</w:t>
      </w:r>
      <w:r>
        <w:rPr>
          <w:rFonts w:hint="eastAsia" w:ascii="宋体" w:hAnsi="宋体" w:eastAsia="宋体" w:cs="宋体"/>
          <w:color w:val="auto"/>
          <w:highlight w:val="none"/>
        </w:rPr>
        <w:t>大写金额与小写金额不一致的，以大写金额为准</w:t>
      </w:r>
      <w:r>
        <w:rPr>
          <w:rFonts w:hint="eastAsia" w:ascii="宋体" w:hAnsi="宋体" w:eastAsia="宋体" w:cs="宋体"/>
          <w:color w:val="auto"/>
          <w:highlight w:val="none"/>
          <w:lang w:eastAsia="zh-CN"/>
        </w:rPr>
        <w:t>，修正相应小写金额。</w:t>
      </w:r>
    </w:p>
    <w:p>
      <w:pPr>
        <w:ind w:firstLine="420" w:firstLineChars="200"/>
        <w:rPr>
          <w:rFonts w:hint="eastAsia"/>
          <w:color w:val="auto"/>
          <w:highlight w:val="none"/>
        </w:rPr>
      </w:pPr>
      <w:r>
        <w:rPr>
          <w:rFonts w:hint="eastAsia" w:ascii="宋体" w:hAnsi="宋体"/>
          <w:color w:val="auto"/>
          <w:highlight w:val="none"/>
          <w:lang w:val="en-US" w:eastAsia="zh-CN"/>
        </w:rPr>
        <w:t>4.7.3</w:t>
      </w:r>
      <w:r>
        <w:rPr>
          <w:rFonts w:hint="eastAsia" w:ascii="宋体" w:hAnsi="宋体"/>
          <w:color w:val="auto"/>
          <w:highlight w:val="none"/>
        </w:rPr>
        <w:t>修正的价格经投标人书面确认后具有约束力。投标人不接受修正价格的，否决其投标。</w:t>
      </w:r>
    </w:p>
    <w:p>
      <w:pPr>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澄清、说明或补正</w:t>
      </w:r>
    </w:p>
    <w:p>
      <w:pPr>
        <w:ind w:firstLine="420" w:firstLineChars="200"/>
        <w:rPr>
          <w:rFonts w:hint="default" w:ascii="宋体" w:hAnsi="宋体" w:eastAsia="宋体"/>
          <w:color w:val="auto"/>
          <w:highlight w:val="none"/>
          <w:lang w:val="en-US" w:eastAsia="zh-CN"/>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.1在评标过程中，评标委员会可要求投标人对所提交投标文件中不明确的内容</w:t>
      </w:r>
      <w:r>
        <w:rPr>
          <w:rFonts w:hint="eastAsia" w:ascii="宋体" w:hAnsi="宋体"/>
          <w:color w:val="auto"/>
          <w:szCs w:val="21"/>
          <w:highlight w:val="none"/>
        </w:rPr>
        <w:t>在</w:t>
      </w:r>
      <w:r>
        <w:rPr>
          <w:rFonts w:ascii="宋体" w:hAnsi="宋体"/>
          <w:color w:val="auto"/>
          <w:szCs w:val="21"/>
          <w:highlight w:val="none"/>
        </w:rPr>
        <w:t>规定的时间内</w:t>
      </w:r>
      <w:r>
        <w:rPr>
          <w:rFonts w:hint="eastAsia" w:ascii="宋体" w:hAnsi="宋体"/>
          <w:color w:val="auto"/>
          <w:highlight w:val="none"/>
        </w:rPr>
        <w:t>进行澄清或说明，或者对细微偏差进行补正。</w:t>
      </w:r>
      <w:r>
        <w:rPr>
          <w:rFonts w:hint="eastAsia" w:ascii="宋体" w:hAnsi="宋体"/>
          <w:color w:val="auto"/>
          <w:highlight w:val="none"/>
          <w:lang w:eastAsia="zh-CN"/>
        </w:rPr>
        <w:t>其中，</w:t>
      </w:r>
      <w:r>
        <w:rPr>
          <w:rFonts w:hint="eastAsia" w:ascii="宋体" w:hAnsi="宋体"/>
          <w:color w:val="auto"/>
          <w:highlight w:val="none"/>
          <w:lang w:val="en-US" w:eastAsia="zh-CN"/>
        </w:rPr>
        <w:t>对于投标人已标价工程量清单的澄清和说明，按现行实施的《建设工程工程量清单计价标准》的规定进行。</w:t>
      </w:r>
      <w:r>
        <w:rPr>
          <w:rFonts w:hint="eastAsia" w:ascii="宋体" w:hAnsi="宋体"/>
          <w:color w:val="auto"/>
          <w:szCs w:val="21"/>
          <w:highlight w:val="none"/>
        </w:rPr>
        <w:t>投标人</w:t>
      </w:r>
      <w:r>
        <w:rPr>
          <w:rFonts w:hint="eastAsia" w:ascii="宋体" w:hAnsi="宋体"/>
          <w:color w:val="auto"/>
          <w:szCs w:val="21"/>
          <w:highlight w:val="none"/>
          <w:lang w:eastAsia="zh-CN"/>
        </w:rPr>
        <w:t>按要求逐项</w:t>
      </w:r>
      <w:r>
        <w:rPr>
          <w:rFonts w:hint="eastAsia" w:ascii="宋体" w:hAnsi="宋体"/>
          <w:color w:val="auto"/>
          <w:szCs w:val="21"/>
          <w:highlight w:val="none"/>
        </w:rPr>
        <w:t>予以澄清、说明或者补正。</w:t>
      </w:r>
      <w:r>
        <w:rPr>
          <w:rFonts w:hint="eastAsia" w:ascii="宋体" w:hAnsi="宋体"/>
          <w:color w:val="auto"/>
          <w:szCs w:val="21"/>
          <w:highlight w:val="none"/>
          <w:lang w:eastAsia="zh-CN"/>
        </w:rPr>
        <w:t>相关格式参考使用“投标人须知”附表二、三。</w:t>
      </w:r>
    </w:p>
    <w:p>
      <w:pPr>
        <w:ind w:firstLine="420" w:firstLineChars="200"/>
        <w:rPr>
          <w:rFonts w:hint="eastAsia" w:ascii="宋体" w:hAnsi="宋体"/>
          <w:color w:val="auto"/>
          <w:highlight w:val="none"/>
        </w:rPr>
      </w:pPr>
      <w:r>
        <w:rPr>
          <w:rFonts w:hint="eastAsia" w:ascii="宋体" w:hAnsi="宋体"/>
          <w:color w:val="auto"/>
          <w:highlight w:val="none"/>
          <w:lang w:val="en-US" w:eastAsia="zh-CN"/>
        </w:rPr>
        <w:t>4.8.2</w:t>
      </w:r>
      <w:r>
        <w:rPr>
          <w:rFonts w:hint="eastAsia" w:ascii="宋体" w:hAnsi="宋体"/>
          <w:color w:val="auto"/>
          <w:highlight w:val="none"/>
        </w:rPr>
        <w:t>评标委员会不接受投标人主动提出的澄清、说明或补正。</w:t>
      </w:r>
    </w:p>
    <w:p>
      <w:pPr>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澄清、说明和补正不得改变投标文件的实质性内容（</w:t>
      </w:r>
      <w:r>
        <w:rPr>
          <w:rFonts w:hint="eastAsia" w:ascii="宋体" w:hAnsi="宋体"/>
          <w:color w:val="auto"/>
          <w:highlight w:val="none"/>
          <w:lang w:eastAsia="zh-CN"/>
        </w:rPr>
        <w:t>已标价工程量清单可按相关规定进行</w:t>
      </w:r>
      <w:r>
        <w:rPr>
          <w:rFonts w:hint="eastAsia" w:ascii="宋体" w:hAnsi="宋体"/>
          <w:color w:val="auto"/>
          <w:highlight w:val="none"/>
        </w:rPr>
        <w:t>修正）。投标人的书面澄清、说明和补正属于投标文件的组成部分。</w:t>
      </w:r>
    </w:p>
    <w:p>
      <w:pPr>
        <w:ind w:firstLine="420" w:firstLineChars="20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评标委员会对投标人提交的澄清、说明或补正有疑问的，可以要求投标人进一步澄清、说明或补正，直至满足评标委员会的要求。</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hint="eastAsia" w:ascii="宋体" w:hAnsi="宋体" w:eastAsia="宋体"/>
          <w:b/>
          <w:color w:val="auto"/>
          <w:sz w:val="24"/>
          <w:szCs w:val="24"/>
          <w:highlight w:val="none"/>
          <w:lang w:val="en-US" w:eastAsia="zh-CN"/>
        </w:rPr>
      </w:pPr>
      <w:r>
        <w:rPr>
          <w:rFonts w:ascii="宋体" w:hAnsi="宋体" w:eastAsia="宋体"/>
          <w:b/>
          <w:color w:val="auto"/>
          <w:sz w:val="24"/>
          <w:szCs w:val="24"/>
          <w:highlight w:val="none"/>
        </w:rPr>
        <w:t>5</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val="en-US" w:eastAsia="zh-CN"/>
        </w:rPr>
        <w:t>推荐中标候选人/</w:t>
      </w:r>
      <w:r>
        <w:rPr>
          <w:rFonts w:hint="eastAsia" w:ascii="宋体" w:hAnsi="宋体" w:eastAsia="宋体"/>
          <w:b/>
          <w:color w:val="auto"/>
          <w:sz w:val="24"/>
          <w:szCs w:val="24"/>
          <w:highlight w:val="none"/>
        </w:rPr>
        <w:t>定标候选人</w:t>
      </w:r>
    </w:p>
    <w:p>
      <w:pPr>
        <w:rPr>
          <w:rFonts w:hint="eastAsia"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.1</w:t>
      </w:r>
      <w:r>
        <w:rPr>
          <w:rFonts w:hint="eastAsia" w:ascii="宋体" w:hAnsi="宋体"/>
          <w:b/>
          <w:color w:val="auto"/>
          <w:szCs w:val="21"/>
          <w:highlight w:val="none"/>
          <w:lang w:val="en-US" w:eastAsia="zh-CN"/>
        </w:rPr>
        <w:t>推荐中</w:t>
      </w:r>
      <w:r>
        <w:rPr>
          <w:rFonts w:hint="eastAsia" w:ascii="宋体" w:hAnsi="宋体"/>
          <w:b/>
          <w:color w:val="auto"/>
          <w:szCs w:val="21"/>
          <w:highlight w:val="none"/>
        </w:rPr>
        <w:t>标候选人名单</w:t>
      </w:r>
    </w:p>
    <w:p>
      <w:pPr>
        <w:adjustRightInd/>
        <w:snapToGrid/>
        <w:ind w:firstLine="420" w:firstLineChars="200"/>
        <w:rPr>
          <w:rFonts w:hint="eastAsia" w:ascii="宋体" w:hAnsi="宋体" w:eastAsia="宋体" w:cs="宋体"/>
          <w:color w:val="auto"/>
          <w:highlight w:val="none"/>
          <w:lang w:val="en-US" w:eastAsia="zh-CN"/>
        </w:rPr>
      </w:pPr>
      <w:r>
        <w:rPr>
          <w:rFonts w:hint="eastAsia" w:ascii="宋体" w:hAnsi="宋体"/>
          <w:color w:val="auto"/>
          <w:highlight w:val="none"/>
          <w:lang w:val="en-US" w:eastAsia="zh-CN"/>
        </w:rPr>
        <w:t>5.1.1非评定分离项目适用本条，由</w:t>
      </w:r>
      <w:r>
        <w:rPr>
          <w:rFonts w:hint="eastAsia" w:ascii="宋体" w:hAnsi="宋体" w:eastAsia="宋体" w:cs="宋体"/>
          <w:color w:val="auto"/>
          <w:highlight w:val="none"/>
          <w:lang w:val="en-US" w:eastAsia="zh-CN"/>
        </w:rPr>
        <w:t>评标委员会推荐中标候选人。</w:t>
      </w:r>
    </w:p>
    <w:p>
      <w:pPr>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评标委员会</w:t>
      </w:r>
      <w:r>
        <w:rPr>
          <w:rFonts w:hint="eastAsia" w:ascii="宋体" w:hAnsi="宋体" w:eastAsia="宋体" w:cs="宋体"/>
          <w:color w:val="auto"/>
          <w:highlight w:val="none"/>
          <w:lang w:val="en-US" w:eastAsia="zh-CN"/>
        </w:rPr>
        <w:t>计算评标总得分并使用附表6记录。按照</w:t>
      </w:r>
      <w:r>
        <w:rPr>
          <w:rFonts w:hint="eastAsia" w:ascii="宋体" w:hAnsi="宋体" w:eastAsia="宋体" w:cs="宋体"/>
          <w:color w:val="auto"/>
          <w:highlight w:val="none"/>
        </w:rPr>
        <w:t>评标总得分由高到低的顺序依次排序</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推荐规定数量的</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标候选人</w:t>
      </w:r>
      <w:r>
        <w:rPr>
          <w:rFonts w:hint="eastAsia" w:ascii="宋体" w:hAnsi="宋体" w:eastAsia="宋体" w:cs="宋体"/>
          <w:color w:val="auto"/>
          <w:szCs w:val="21"/>
          <w:highlight w:val="none"/>
          <w:lang w:eastAsia="zh-CN"/>
        </w:rPr>
        <w:t>名单。</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en-US" w:eastAsia="zh-CN"/>
        </w:rPr>
        <w:t>2推荐</w:t>
      </w:r>
      <w:r>
        <w:rPr>
          <w:rFonts w:hint="eastAsia" w:ascii="宋体" w:hAnsi="宋体" w:eastAsia="宋体" w:cs="宋体"/>
          <w:b/>
          <w:color w:val="auto"/>
          <w:szCs w:val="21"/>
          <w:highlight w:val="none"/>
        </w:rPr>
        <w:t>定标候选人名单</w:t>
      </w:r>
    </w:p>
    <w:p>
      <w:pPr>
        <w:adjustRightInd w:val="0"/>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评定分离项目适用本条，由评标委员会推荐定标候选人。</w:t>
      </w:r>
    </w:p>
    <w:p>
      <w:pPr>
        <w:adjustRightInd w:val="0"/>
        <w:snapToGrid w:val="0"/>
        <w:ind w:firstLine="420" w:firstLineChars="200"/>
        <w:rPr>
          <w:rFonts w:hint="eastAsia" w:ascii="宋体" w:hAnsi="宋体" w:eastAsia="宋体"/>
          <w:color w:val="auto"/>
          <w:highlight w:val="none"/>
          <w:lang w:val="en-US"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.2评标委员会</w:t>
      </w:r>
      <w:r>
        <w:rPr>
          <w:rFonts w:hint="eastAsia" w:ascii="宋体" w:hAnsi="宋体" w:eastAsia="宋体" w:cs="宋体"/>
          <w:color w:val="auto"/>
          <w:highlight w:val="none"/>
          <w:lang w:val="en-US" w:eastAsia="zh-CN"/>
        </w:rPr>
        <w:t>计算评标总得分并使用附表6记录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按照评标总得分</w:t>
      </w:r>
      <w:r>
        <w:rPr>
          <w:rFonts w:hint="eastAsia" w:ascii="宋体" w:hAnsi="宋体" w:eastAsia="宋体" w:cs="宋体"/>
          <w:color w:val="auto"/>
          <w:highlight w:val="none"/>
          <w:lang w:val="en-US" w:eastAsia="zh-CN"/>
        </w:rPr>
        <w:t>由高到低的顺序推荐</w:t>
      </w:r>
      <w:r>
        <w:rPr>
          <w:rFonts w:hint="eastAsia" w:ascii="宋体" w:hAnsi="宋体" w:eastAsia="宋体" w:cs="宋体"/>
          <w:color w:val="auto"/>
          <w:szCs w:val="21"/>
          <w:highlight w:val="none"/>
        </w:rPr>
        <w:t>规定数量</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定标候选人</w:t>
      </w:r>
      <w:r>
        <w:rPr>
          <w:rFonts w:hint="eastAsia" w:ascii="宋体" w:hAnsi="宋体" w:eastAsia="宋体" w:cs="宋体"/>
          <w:color w:val="auto"/>
          <w:szCs w:val="21"/>
          <w:highlight w:val="none"/>
          <w:lang w:val="en-US" w:eastAsia="zh-CN"/>
        </w:rPr>
        <w:t>名单，</w:t>
      </w:r>
      <w:r>
        <w:rPr>
          <w:rFonts w:hint="eastAsia" w:ascii="宋体" w:hAnsi="宋体" w:eastAsia="宋体" w:cs="宋体"/>
          <w:color w:val="auto"/>
          <w:highlight w:val="none"/>
        </w:rPr>
        <w:t>如定标候选人不</w:t>
      </w:r>
      <w:r>
        <w:rPr>
          <w:rFonts w:hint="eastAsia"/>
          <w:color w:val="auto"/>
          <w:highlight w:val="none"/>
        </w:rPr>
        <w:t>足上述数量时，则按实际数量推荐</w:t>
      </w:r>
      <w:r>
        <w:rPr>
          <w:rFonts w:hint="eastAsia"/>
          <w:color w:val="auto"/>
          <w:highlight w:val="none"/>
          <w:lang w:eastAsia="zh-CN"/>
        </w:rPr>
        <w:t>。</w:t>
      </w:r>
    </w:p>
    <w:p>
      <w:pPr>
        <w:adjustRightInd w:val="0"/>
        <w:snapToGrid w:val="0"/>
        <w:ind w:firstLine="42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lang w:val="en-US" w:eastAsia="zh-CN"/>
        </w:rPr>
        <w:t>2</w:t>
      </w: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使用</w:t>
      </w:r>
      <w:r>
        <w:rPr>
          <w:rFonts w:hint="eastAsia" w:ascii="宋体" w:hAnsi="宋体" w:eastAsia="宋体" w:cs="Times New Roman"/>
          <w:color w:val="auto"/>
          <w:highlight w:val="none"/>
          <w:lang w:val="en-US" w:eastAsia="zh-CN"/>
        </w:rPr>
        <w:t>附表7</w:t>
      </w:r>
      <w:r>
        <w:rPr>
          <w:rFonts w:hint="eastAsia" w:ascii="宋体" w:hAnsi="宋体"/>
          <w:color w:val="auto"/>
          <w:highlight w:val="none"/>
        </w:rPr>
        <w:t>对</w:t>
      </w:r>
      <w:r>
        <w:rPr>
          <w:rFonts w:hint="eastAsia" w:ascii="宋体" w:hAnsi="宋体"/>
          <w:color w:val="auto"/>
          <w:szCs w:val="21"/>
          <w:highlight w:val="none"/>
        </w:rPr>
        <w:t>定标候选人</w:t>
      </w:r>
      <w:r>
        <w:rPr>
          <w:rFonts w:hint="eastAsia" w:ascii="宋体" w:hAnsi="宋体"/>
          <w:color w:val="auto"/>
          <w:highlight w:val="none"/>
        </w:rPr>
        <w:t>的</w:t>
      </w:r>
      <w:r>
        <w:rPr>
          <w:rFonts w:ascii="宋体" w:hAnsi="宋体"/>
          <w:color w:val="auto"/>
          <w:highlight w:val="none"/>
        </w:rPr>
        <w:t>评审意见进行汇总</w:t>
      </w:r>
      <w:r>
        <w:rPr>
          <w:rFonts w:hint="eastAsia" w:ascii="宋体" w:hAnsi="宋体"/>
          <w:color w:val="auto"/>
          <w:highlight w:val="none"/>
          <w:lang w:eastAsia="zh-CN"/>
        </w:rPr>
        <w:t>（如有），</w:t>
      </w:r>
      <w:r>
        <w:rPr>
          <w:rFonts w:hint="eastAsia"/>
          <w:color w:val="auto"/>
          <w:highlight w:val="none"/>
          <w:lang w:val="en-US" w:eastAsia="zh-CN"/>
        </w:rPr>
        <w:t>定标候选人名单不排序。定标候选人情况</w:t>
      </w:r>
      <w:r>
        <w:rPr>
          <w:rFonts w:hint="eastAsia" w:ascii="宋体" w:hAnsi="宋体"/>
          <w:color w:val="auto"/>
          <w:highlight w:val="none"/>
          <w:lang w:eastAsia="zh-CN"/>
        </w:rPr>
        <w:t>汇总表</w:t>
      </w:r>
      <w:r>
        <w:rPr>
          <w:rFonts w:hint="eastAsia" w:ascii="宋体" w:hAnsi="宋体"/>
          <w:color w:val="auto"/>
          <w:szCs w:val="21"/>
          <w:highlight w:val="none"/>
          <w:lang w:eastAsia="zh-CN"/>
        </w:rPr>
        <w:t>、</w:t>
      </w:r>
      <w:r>
        <w:rPr>
          <w:rFonts w:hint="eastAsia" w:ascii="宋体" w:hAnsi="宋体"/>
          <w:color w:val="auto"/>
          <w:szCs w:val="21"/>
          <w:highlight w:val="none"/>
        </w:rPr>
        <w:t>投标文件</w:t>
      </w:r>
      <w:r>
        <w:rPr>
          <w:rFonts w:hint="eastAsia" w:ascii="宋体" w:hAnsi="宋体"/>
          <w:color w:val="auto"/>
          <w:szCs w:val="21"/>
          <w:highlight w:val="none"/>
          <w:lang w:eastAsia="zh-CN"/>
        </w:rPr>
        <w:t>及相关材料一并向</w:t>
      </w:r>
      <w:r>
        <w:rPr>
          <w:rFonts w:ascii="宋体" w:hAnsi="宋体"/>
          <w:color w:val="auto"/>
          <w:szCs w:val="21"/>
          <w:highlight w:val="none"/>
        </w:rPr>
        <w:t>定标</w:t>
      </w:r>
      <w:r>
        <w:rPr>
          <w:rFonts w:hint="eastAsia" w:ascii="宋体" w:hAnsi="宋体"/>
          <w:color w:val="auto"/>
          <w:szCs w:val="21"/>
          <w:highlight w:val="none"/>
        </w:rPr>
        <w:t>委员</w:t>
      </w:r>
      <w:r>
        <w:rPr>
          <w:rFonts w:ascii="宋体" w:hAnsi="宋体"/>
          <w:color w:val="auto"/>
          <w:szCs w:val="21"/>
          <w:highlight w:val="none"/>
        </w:rPr>
        <w:t>会</w:t>
      </w:r>
      <w:r>
        <w:rPr>
          <w:rFonts w:hint="eastAsia" w:ascii="宋体" w:hAnsi="宋体"/>
          <w:color w:val="auto"/>
          <w:szCs w:val="21"/>
          <w:highlight w:val="none"/>
          <w:lang w:eastAsia="zh-CN"/>
        </w:rPr>
        <w:t>提交</w:t>
      </w:r>
      <w:r>
        <w:rPr>
          <w:rFonts w:hint="eastAsia"/>
          <w:color w:val="auto"/>
          <w:highlight w:val="none"/>
        </w:rPr>
        <w:t>。</w:t>
      </w:r>
    </w:p>
    <w:p>
      <w:pPr>
        <w:adjustRightInd w:val="0"/>
        <w:snapToGrid w:val="0"/>
        <w:ind w:firstLine="0" w:firstLineChars="0"/>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5.3其他事项</w:t>
      </w:r>
    </w:p>
    <w:p>
      <w:pPr>
        <w:adjustRightInd w:val="0"/>
        <w:snapToGrid w:val="0"/>
        <w:ind w:firstLine="420" w:firstLineChars="200"/>
        <w:rPr>
          <w:rFonts w:hint="eastAsia" w:ascii="宋体" w:hAnsi="宋体"/>
          <w:color w:val="auto"/>
          <w:highlight w:val="none"/>
        </w:rPr>
      </w:pPr>
      <w:r>
        <w:rPr>
          <w:rFonts w:hint="eastAsia" w:ascii="宋体" w:hAnsi="宋体" w:eastAsia="宋体" w:cs="Times New Roman"/>
          <w:color w:val="auto"/>
          <w:highlight w:val="none"/>
          <w:lang w:val="en-US" w:eastAsia="zh-CN"/>
        </w:rPr>
        <w:t>5.3.1</w:t>
      </w:r>
      <w:r>
        <w:rPr>
          <w:rFonts w:hint="eastAsia"/>
          <w:color w:val="auto"/>
          <w:highlight w:val="none"/>
        </w:rPr>
        <w:t>如果</w:t>
      </w:r>
      <w:r>
        <w:rPr>
          <w:rFonts w:hint="eastAsia"/>
          <w:color w:val="auto"/>
          <w:highlight w:val="none"/>
          <w:lang w:eastAsia="zh-CN"/>
        </w:rPr>
        <w:t>中标候选人</w:t>
      </w:r>
      <w:r>
        <w:rPr>
          <w:rFonts w:hint="eastAsia"/>
          <w:color w:val="auto"/>
          <w:highlight w:val="none"/>
          <w:lang w:val="en-US" w:eastAsia="zh-CN"/>
        </w:rPr>
        <w:t>/定标候选人</w:t>
      </w:r>
      <w:r>
        <w:rPr>
          <w:rFonts w:hint="eastAsia"/>
          <w:color w:val="auto"/>
          <w:highlight w:val="none"/>
        </w:rPr>
        <w:t>出现评标总得分相同的，则以信用等级高的排前；如是联合体投标的，以联合体牵头方信用等级高的排前；如果评标总得分、信用等级均相同的，则对信用等级相同的投标人，由评标委员会采用随机抽取的方式确定排序。</w:t>
      </w:r>
    </w:p>
    <w:p>
      <w:pPr>
        <w:adjustRightInd w:val="0"/>
        <w:snapToGrid w:val="0"/>
        <w:ind w:firstLine="420" w:firstLineChars="200"/>
        <w:rPr>
          <w:rFonts w:hint="eastAsia" w:ascii="宋体" w:hAnsi="宋体"/>
          <w:color w:val="auto"/>
          <w:szCs w:val="21"/>
          <w:highlight w:val="none"/>
        </w:rPr>
      </w:pPr>
      <w:r>
        <w:rPr>
          <w:rFonts w:hint="eastAsia" w:ascii="宋体" w:hAnsi="宋体"/>
          <w:color w:val="auto"/>
          <w:highlight w:val="none"/>
          <w:lang w:val="en-US" w:eastAsia="zh-CN"/>
        </w:rPr>
        <w:t>5.3.2</w:t>
      </w:r>
      <w:r>
        <w:rPr>
          <w:rFonts w:hint="eastAsia" w:ascii="宋体" w:hAnsi="宋体"/>
          <w:color w:val="auto"/>
          <w:highlight w:val="none"/>
        </w:rPr>
        <w:t>评标委员会根据评标结果出具</w:t>
      </w:r>
      <w:r>
        <w:rPr>
          <w:rFonts w:hint="eastAsia" w:ascii="宋体" w:hAnsi="宋体"/>
          <w:color w:val="auto"/>
          <w:szCs w:val="21"/>
          <w:highlight w:val="none"/>
        </w:rPr>
        <w:t>评标报告</w:t>
      </w:r>
      <w:r>
        <w:rPr>
          <w:rFonts w:hint="eastAsia" w:ascii="宋体" w:hAnsi="宋体"/>
          <w:color w:val="auto"/>
          <w:highlight w:val="none"/>
        </w:rPr>
        <w:t>，</w:t>
      </w:r>
      <w:r>
        <w:rPr>
          <w:rFonts w:hint="eastAsia" w:ascii="宋体" w:hAnsi="宋体"/>
          <w:color w:val="auto"/>
          <w:szCs w:val="21"/>
          <w:highlight w:val="none"/>
        </w:rPr>
        <w:t>评标报告应当由全体评标委员会成员签</w:t>
      </w:r>
      <w:r>
        <w:rPr>
          <w:rFonts w:hint="eastAsia" w:ascii="宋体" w:hAnsi="宋体"/>
          <w:color w:val="auto"/>
          <w:szCs w:val="21"/>
          <w:highlight w:val="none"/>
          <w:lang w:eastAsia="zh-CN"/>
        </w:rPr>
        <w:t>名</w:t>
      </w:r>
      <w:r>
        <w:rPr>
          <w:rFonts w:hint="eastAsia" w:ascii="宋体" w:hAnsi="宋体"/>
          <w:color w:val="auto"/>
          <w:szCs w:val="21"/>
          <w:highlight w:val="none"/>
        </w:rPr>
        <w:t>。</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outlineLvl w:val="3"/>
        <w:rPr>
          <w:rFonts w:hint="eastAsia" w:ascii="宋体" w:hAnsi="宋体" w:eastAsia="宋体"/>
          <w:b/>
          <w:color w:val="auto"/>
          <w:sz w:val="24"/>
          <w:szCs w:val="24"/>
          <w:highlight w:val="none"/>
        </w:rPr>
      </w:pPr>
      <w:r>
        <w:rPr>
          <w:rFonts w:ascii="宋体" w:hAnsi="宋体" w:eastAsia="宋体"/>
          <w:b/>
          <w:color w:val="auto"/>
          <w:sz w:val="24"/>
          <w:szCs w:val="24"/>
          <w:highlight w:val="none"/>
        </w:rPr>
        <w:t>6</w:t>
      </w:r>
      <w:r>
        <w:rPr>
          <w:rFonts w:hint="eastAsia" w:ascii="宋体" w:hAnsi="宋体" w:eastAsia="宋体"/>
          <w:b/>
          <w:color w:val="auto"/>
          <w:sz w:val="24"/>
          <w:szCs w:val="24"/>
          <w:highlight w:val="none"/>
        </w:rPr>
        <w:t>.特殊情况的处置程序</w:t>
      </w:r>
    </w:p>
    <w:p>
      <w:pPr>
        <w:rPr>
          <w:rFonts w:hint="eastAsia"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w:t>
      </w:r>
      <w:r>
        <w:rPr>
          <w:rFonts w:ascii="宋体" w:hAnsi="宋体"/>
          <w:b/>
          <w:color w:val="auto"/>
          <w:szCs w:val="21"/>
          <w:highlight w:val="none"/>
        </w:rPr>
        <w:t>1</w:t>
      </w:r>
      <w:r>
        <w:rPr>
          <w:rFonts w:hint="eastAsia" w:ascii="宋体" w:hAnsi="宋体"/>
          <w:b/>
          <w:color w:val="auto"/>
          <w:szCs w:val="21"/>
          <w:highlight w:val="none"/>
        </w:rPr>
        <w:t>关于评标活动暂停</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.1</w:t>
      </w:r>
      <w:r>
        <w:rPr>
          <w:rFonts w:hint="eastAsia" w:ascii="宋体" w:hAnsi="宋体"/>
          <w:color w:val="auto"/>
          <w:highlight w:val="none"/>
        </w:rPr>
        <w:t>评标委员会</w:t>
      </w:r>
      <w:r>
        <w:rPr>
          <w:rFonts w:hint="eastAsia" w:ascii="宋体" w:hAnsi="宋体"/>
          <w:color w:val="auto"/>
          <w:szCs w:val="21"/>
          <w:highlight w:val="none"/>
        </w:rPr>
        <w:t>应当执行连续评标的原则，按评标办法中规定的程序、内容、方法、标准完成全部评标工作。只有发生不可抗力导致评标工作无法继续时，评标活动方可暂停。</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.2发生评标暂停情况时，评标委员会应当封存全部投标文件和评标记录，待不可抗力的影响结束且具备继续评标的条件时，由原评标委员会继续评标。</w:t>
      </w:r>
    </w:p>
    <w:p>
      <w:pPr>
        <w:rPr>
          <w:rFonts w:hint="eastAsia"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.2 关于评标中途更换评委</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.1除非发生下列情况之一，评标委员会成员不得在评标中途更换：</w:t>
      </w:r>
    </w:p>
    <w:p>
      <w:pPr>
        <w:adjustRightInd w:val="0"/>
        <w:snapToGrid w:val="0"/>
        <w:ind w:left="420" w:leftChars="200"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（1）因不可抗拒的客观原因，不能到场或需在评标中途退出评标活动；</w:t>
      </w:r>
    </w:p>
    <w:p>
      <w:pPr>
        <w:adjustRightInd w:val="0"/>
        <w:snapToGrid w:val="0"/>
        <w:ind w:left="420" w:leftChars="200"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（2）根据法律法规规定，某个或某几个评标委员会成员需要回避。</w:t>
      </w:r>
    </w:p>
    <w:p>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.2.2退出评标的评标委员会成员，其已完成的评标行为无效。由招标人根据本招标文件规定的评标委员会成员生产方式另行确定替代者进行评标。</w:t>
      </w:r>
    </w:p>
    <w:p>
      <w:pPr>
        <w:rPr>
          <w:rFonts w:hint="eastAsia"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.3 记名投票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在任何评标环节中，需评标委员会就某项定性的评审结论或</w:t>
      </w:r>
      <w:r>
        <w:rPr>
          <w:rFonts w:ascii="宋体" w:hAnsi="宋体"/>
          <w:color w:val="auto"/>
          <w:szCs w:val="21"/>
          <w:highlight w:val="none"/>
        </w:rPr>
        <w:t>综合评价结果</w:t>
      </w:r>
      <w:r>
        <w:rPr>
          <w:rFonts w:hint="eastAsia" w:ascii="宋体" w:hAnsi="宋体"/>
          <w:color w:val="auto"/>
          <w:szCs w:val="21"/>
          <w:highlight w:val="none"/>
        </w:rPr>
        <w:t>做出表决的，由评标委员会全体成员按照少数服从多数的原则，以记名投票方式表决。</w:t>
      </w:r>
      <w:bookmarkEnd w:id="27"/>
    </w:p>
    <w:p>
      <w:pPr>
        <w:adjustRightInd w:val="0"/>
        <w:snapToGrid w:val="0"/>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br w:type="page"/>
      </w:r>
      <w:r>
        <w:rPr>
          <w:rFonts w:hint="eastAsia" w:ascii="黑体" w:hAnsi="宋体" w:eastAsia="黑体"/>
          <w:color w:val="auto"/>
          <w:sz w:val="28"/>
          <w:szCs w:val="28"/>
          <w:highlight w:val="none"/>
        </w:rPr>
        <w:t>评标办法附则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30"/>
          <w:szCs w:val="30"/>
          <w:highlight w:val="none"/>
        </w:rPr>
      </w:pPr>
      <w:r>
        <w:rPr>
          <w:rFonts w:hint="eastAsia" w:ascii="黑体" w:eastAsia="黑体"/>
          <w:color w:val="auto"/>
          <w:sz w:val="30"/>
          <w:szCs w:val="30"/>
          <w:highlight w:val="none"/>
        </w:rPr>
        <w:t>规则1：有效范围平均值法</w:t>
      </w:r>
    </w:p>
    <w:p>
      <w:pPr>
        <w:spacing w:line="360" w:lineRule="auto"/>
        <w:ind w:firstLine="420" w:firstLineChars="200"/>
        <w:rPr>
          <w:rFonts w:ascii="宋体" w:hAnsi="宋体"/>
          <w:color w:val="auto"/>
          <w:szCs w:val="21"/>
          <w:highlight w:val="none"/>
        </w:rPr>
      </w:pPr>
    </w:p>
    <w:p>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1.规则简述</w:t>
      </w:r>
    </w:p>
    <w:p>
      <w:pPr>
        <w:ind w:firstLine="420" w:firstLineChars="200"/>
        <w:rPr>
          <w:rFonts w:hint="eastAsia" w:ascii="宋体" w:hAnsi="宋体"/>
          <w:color w:val="auto"/>
          <w:szCs w:val="21"/>
          <w:highlight w:val="none"/>
        </w:rPr>
      </w:pPr>
      <w:r>
        <w:rPr>
          <w:rFonts w:ascii="宋体" w:hAnsi="宋体"/>
          <w:color w:val="auto"/>
          <w:szCs w:val="21"/>
          <w:highlight w:val="none"/>
        </w:rPr>
        <w:t>1.1“</w:t>
      </w:r>
      <w:r>
        <w:rPr>
          <w:rFonts w:hint="eastAsia" w:ascii="宋体" w:hAnsi="宋体"/>
          <w:color w:val="auto"/>
          <w:kern w:val="0"/>
          <w:szCs w:val="21"/>
          <w:highlight w:val="none"/>
        </w:rPr>
        <w:t>投标人须知</w:t>
      </w:r>
      <w:r>
        <w:rPr>
          <w:rFonts w:hint="eastAsia" w:ascii="宋体" w:hAnsi="宋体"/>
          <w:color w:val="auto"/>
          <w:szCs w:val="21"/>
          <w:highlight w:val="none"/>
        </w:rPr>
        <w:t>前附表</w:t>
      </w:r>
      <w:r>
        <w:rPr>
          <w:rFonts w:hint="eastAsia" w:ascii="宋体" w:hAnsi="宋体"/>
          <w:color w:val="auto"/>
          <w:szCs w:val="21"/>
          <w:highlight w:val="none"/>
          <w:lang w:eastAsia="zh-CN"/>
        </w:rPr>
        <w:t>”</w:t>
      </w:r>
      <w:r>
        <w:rPr>
          <w:rFonts w:hint="eastAsia" w:ascii="宋体" w:hAnsi="宋体"/>
          <w:color w:val="auto"/>
          <w:szCs w:val="21"/>
          <w:highlight w:val="none"/>
        </w:rPr>
        <w:t>第</w:t>
      </w:r>
      <w:r>
        <w:rPr>
          <w:rFonts w:hint="eastAsia" w:ascii="宋体" w:hAnsi="宋体"/>
          <w:color w:val="auto"/>
          <w:highlight w:val="none"/>
          <w:lang w:val="en-US" w:eastAsia="zh-CN"/>
        </w:rPr>
        <w:t>8.3.2</w:t>
      </w:r>
      <w:r>
        <w:rPr>
          <w:rFonts w:hint="eastAsia" w:ascii="宋体" w:hAnsi="宋体"/>
          <w:color w:val="auto"/>
          <w:szCs w:val="21"/>
          <w:highlight w:val="none"/>
        </w:rPr>
        <w:t>款</w:t>
      </w:r>
      <w:r>
        <w:rPr>
          <w:rFonts w:hint="eastAsia" w:ascii="宋体" w:hAnsi="宋体"/>
          <w:color w:val="auto"/>
          <w:szCs w:val="21"/>
          <w:highlight w:val="none"/>
          <w:lang w:val="en-US" w:eastAsia="zh-CN"/>
        </w:rPr>
        <w:t>明确</w:t>
      </w:r>
      <w:r>
        <w:rPr>
          <w:rFonts w:hint="eastAsia" w:ascii="宋体" w:hAnsi="宋体"/>
          <w:color w:val="auto"/>
          <w:szCs w:val="21"/>
          <w:highlight w:val="none"/>
        </w:rPr>
        <w:t>使用</w:t>
      </w:r>
      <w:r>
        <w:rPr>
          <w:rFonts w:ascii="宋体" w:hAnsi="宋体"/>
          <w:color w:val="auto"/>
          <w:szCs w:val="21"/>
          <w:highlight w:val="none"/>
        </w:rPr>
        <w:t>有效范围</w:t>
      </w:r>
      <w:r>
        <w:rPr>
          <w:rFonts w:hint="eastAsia" w:ascii="宋体" w:hAnsi="宋体"/>
          <w:color w:val="auto"/>
          <w:szCs w:val="21"/>
          <w:highlight w:val="none"/>
        </w:rPr>
        <w:t>的</w:t>
      </w:r>
      <w:r>
        <w:rPr>
          <w:rFonts w:ascii="宋体" w:hAnsi="宋体"/>
          <w:color w:val="auto"/>
          <w:szCs w:val="21"/>
          <w:highlight w:val="none"/>
        </w:rPr>
        <w:t>平均值法</w:t>
      </w:r>
      <w:r>
        <w:rPr>
          <w:rFonts w:hint="eastAsia" w:ascii="宋体" w:hAnsi="宋体"/>
          <w:color w:val="auto"/>
          <w:szCs w:val="21"/>
          <w:highlight w:val="none"/>
        </w:rPr>
        <w:t>的</w:t>
      </w:r>
      <w:r>
        <w:rPr>
          <w:rFonts w:ascii="宋体" w:hAnsi="宋体"/>
          <w:color w:val="auto"/>
          <w:szCs w:val="21"/>
          <w:highlight w:val="none"/>
        </w:rPr>
        <w:t>，适用本</w:t>
      </w:r>
      <w:r>
        <w:rPr>
          <w:rFonts w:hint="eastAsia" w:ascii="宋体" w:hAnsi="宋体"/>
          <w:color w:val="auto"/>
          <w:szCs w:val="21"/>
          <w:highlight w:val="none"/>
        </w:rPr>
        <w:t>规则</w:t>
      </w:r>
      <w:r>
        <w:rPr>
          <w:rFonts w:ascii="宋体" w:hAnsi="宋体"/>
          <w:color w:val="auto"/>
          <w:szCs w:val="21"/>
          <w:highlight w:val="none"/>
        </w:rPr>
        <w:t>。</w:t>
      </w:r>
    </w:p>
    <w:p>
      <w:pPr>
        <w:tabs>
          <w:tab w:val="left" w:pos="7638"/>
        </w:tabs>
        <w:ind w:firstLine="420" w:firstLineChars="200"/>
        <w:rPr>
          <w:rFonts w:hint="eastAsia" w:ascii="宋体" w:hAnsi="宋体"/>
          <w:color w:val="auto"/>
          <w:szCs w:val="21"/>
          <w:highlight w:val="none"/>
        </w:rPr>
      </w:pPr>
      <w:r>
        <w:rPr>
          <w:rFonts w:hint="eastAsia" w:ascii="宋体" w:hAnsi="宋体"/>
          <w:color w:val="auto"/>
          <w:szCs w:val="21"/>
          <w:highlight w:val="none"/>
        </w:rPr>
        <w:t>1.2评标委员会根据本方法确定合理报价范围和投标报价得分，并排序。</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1.3本方法中的“有效投标报价”是指在合理报价范围内的投标报价；“有效报价投标人”是指投标报价在合理报价范围内的投标人。</w:t>
      </w:r>
    </w:p>
    <w:p>
      <w:pPr>
        <w:ind w:firstLine="420" w:firstLineChars="200"/>
        <w:rPr>
          <w:rFonts w:ascii="宋体" w:hAnsi="宋体"/>
          <w:strike/>
          <w:color w:val="auto"/>
          <w:szCs w:val="21"/>
          <w:highlight w:val="none"/>
        </w:rPr>
      </w:pPr>
      <w:r>
        <w:rPr>
          <w:rFonts w:hint="eastAsia" w:ascii="宋体" w:hAnsi="宋体"/>
          <w:color w:val="auto"/>
          <w:szCs w:val="21"/>
          <w:highlight w:val="none"/>
        </w:rPr>
        <w:t>1.4在合理投标报价范围以外的投标报价不参与评标基准价的计算，也不推荐为定标候选人。</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color w:val="auto"/>
          <w:highlight w:val="none"/>
        </w:rPr>
        <w:t>本规则使用附表</w:t>
      </w:r>
      <w:r>
        <w:rPr>
          <w:rFonts w:hint="eastAsia" w:ascii="宋体" w:hAnsi="宋体" w:eastAsia="宋体" w:cs="Times New Roman"/>
          <w:color w:val="auto"/>
          <w:szCs w:val="21"/>
          <w:highlight w:val="none"/>
          <w:lang w:val="en-US" w:eastAsia="zh-CN"/>
        </w:rPr>
        <w:t>5</w:t>
      </w:r>
      <w:r>
        <w:rPr>
          <w:rFonts w:hint="eastAsia"/>
          <w:color w:val="auto"/>
          <w:highlight w:val="none"/>
        </w:rPr>
        <w:t>进</w:t>
      </w:r>
      <w:r>
        <w:rPr>
          <w:color w:val="auto"/>
          <w:highlight w:val="none"/>
        </w:rPr>
        <w:t>行</w:t>
      </w:r>
      <w:r>
        <w:rPr>
          <w:rFonts w:hint="eastAsia"/>
          <w:color w:val="auto"/>
          <w:highlight w:val="none"/>
        </w:rPr>
        <w:t>评标。</w:t>
      </w:r>
    </w:p>
    <w:p>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2</w:t>
      </w:r>
      <w:r>
        <w:rPr>
          <w:rFonts w:ascii="黑体" w:hAnsi="宋体" w:eastAsia="黑体"/>
          <w:color w:val="auto"/>
          <w:sz w:val="28"/>
          <w:szCs w:val="28"/>
          <w:highlight w:val="none"/>
        </w:rPr>
        <w:t>.</w:t>
      </w:r>
      <w:r>
        <w:rPr>
          <w:rFonts w:hint="eastAsia" w:ascii="黑体" w:hAnsi="宋体" w:eastAsia="黑体"/>
          <w:color w:val="auto"/>
          <w:sz w:val="28"/>
          <w:szCs w:val="28"/>
          <w:highlight w:val="none"/>
        </w:rPr>
        <w:t>计算规则</w:t>
      </w:r>
    </w:p>
    <w:p>
      <w:pPr>
        <w:rPr>
          <w:rFonts w:hint="eastAsia" w:ascii="黑体" w:hAnsi="宋体" w:eastAsia="黑体"/>
          <w:color w:val="auto"/>
          <w:sz w:val="24"/>
          <w:highlight w:val="none"/>
        </w:rPr>
      </w:pPr>
      <w:r>
        <w:rPr>
          <w:rFonts w:hint="eastAsia" w:ascii="黑体" w:hAnsi="宋体" w:eastAsia="黑体"/>
          <w:color w:val="auto"/>
          <w:sz w:val="24"/>
          <w:highlight w:val="none"/>
        </w:rPr>
        <w:t>2.1投标报价下浮率上限值、下限值以及K值的确定</w:t>
      </w:r>
      <w:r>
        <w:rPr>
          <w:rFonts w:hint="eastAsia" w:ascii="黑体" w:hAnsi="宋体" w:eastAsia="黑体"/>
          <w:color w:val="auto"/>
          <w:sz w:val="24"/>
          <w:highlight w:val="none"/>
          <w:lang w:eastAsia="zh-CN"/>
        </w:rPr>
        <w:t>（</w:t>
      </w:r>
      <w:r>
        <w:rPr>
          <w:rFonts w:hint="eastAsia" w:ascii="黑体" w:hAnsi="宋体" w:eastAsia="黑体"/>
          <w:b w:val="0"/>
          <w:color w:val="auto"/>
          <w:sz w:val="24"/>
          <w:szCs w:val="24"/>
          <w:highlight w:val="none"/>
        </w:rPr>
        <w:t>招标人在开标现场当众随机抽取</w:t>
      </w:r>
      <w:r>
        <w:rPr>
          <w:rFonts w:hint="eastAsia" w:ascii="黑体" w:hAnsi="宋体" w:eastAsia="黑体"/>
          <w:color w:val="auto"/>
          <w:sz w:val="24"/>
          <w:highlight w:val="none"/>
          <w:lang w:eastAsia="zh-CN"/>
        </w:rPr>
        <w:t>）</w:t>
      </w:r>
      <w:r>
        <w:rPr>
          <w:rFonts w:hint="eastAsia" w:ascii="黑体" w:hAnsi="宋体" w:eastAsia="黑体"/>
          <w:color w:val="auto"/>
          <w:sz w:val="24"/>
          <w:highlight w:val="none"/>
        </w:rPr>
        <w:t>。</w:t>
      </w:r>
    </w:p>
    <w:p>
      <w:pPr>
        <w:snapToGrid w:val="0"/>
        <w:ind w:firstLine="420" w:firstLineChars="200"/>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招标人根据</w:t>
      </w:r>
      <w:r>
        <w:rPr>
          <w:rFonts w:ascii="宋体" w:hAnsi="宋体"/>
          <w:color w:val="auto"/>
          <w:szCs w:val="21"/>
          <w:highlight w:val="none"/>
        </w:rPr>
        <w:t>工程类别在</w:t>
      </w:r>
      <w:r>
        <w:rPr>
          <w:rFonts w:hint="eastAsia" w:ascii="宋体" w:hAnsi="宋体"/>
          <w:color w:val="auto"/>
          <w:szCs w:val="21"/>
          <w:highlight w:val="none"/>
        </w:rPr>
        <w:t>合理报价下浮率上限、下限范围内，分别抽取1次上限值和下限值：</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（1）房建工程：合理报价下浮率上限范围为0%～3％（在0%、0.5%、1%、1.5%、2%、2.5%、3%中随机抽取），合理报价下浮率下限范围8%～12％（在8%、8.5%、9%、9.5%、10%、10.5%、11%、11.5%、12%中随机抽取）；</w:t>
      </w:r>
    </w:p>
    <w:p>
      <w:pPr>
        <w:snapToGrid w:val="0"/>
        <w:ind w:firstLine="420" w:firstLineChars="200"/>
        <w:rPr>
          <w:rFonts w:ascii="宋体" w:hAnsi="宋体"/>
          <w:color w:val="auto"/>
          <w:szCs w:val="21"/>
          <w:highlight w:val="none"/>
        </w:rPr>
      </w:pPr>
      <w:r>
        <w:rPr>
          <w:rFonts w:hint="eastAsia" w:ascii="宋体" w:hAnsi="宋体"/>
          <w:color w:val="auto"/>
          <w:szCs w:val="21"/>
          <w:highlight w:val="none"/>
        </w:rPr>
        <w:t>（2）市政工程：合理报价下浮率上限范围为0%～5％（在0%、0.5%、1%、1.5%、2%、2.5%、3%、3.5%、4%、4.5%、5%中随机抽取），合理报价下浮率下限范围10%～15％（在10%、10.5%、11%、11.5%、12%、12.5%、13%、13.5%、14%、14.5%、15%中随机抽取）。</w:t>
      </w:r>
    </w:p>
    <w:p>
      <w:pPr>
        <w:ind w:firstLine="420" w:firstLineChars="200"/>
        <w:rPr>
          <w:rFonts w:hint="eastAsia"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招标人抽取（1次）计算公式中的K值。（K在40%、45%、50%、55%、60%中随机</w:t>
      </w:r>
      <w:r>
        <w:rPr>
          <w:rFonts w:ascii="宋体" w:hAnsi="宋体"/>
          <w:color w:val="auto"/>
          <w:szCs w:val="21"/>
          <w:highlight w:val="none"/>
        </w:rPr>
        <w:t>抽取</w:t>
      </w:r>
      <w:r>
        <w:rPr>
          <w:rFonts w:hint="eastAsia" w:ascii="宋体" w:hAnsi="宋体"/>
          <w:color w:val="auto"/>
          <w:szCs w:val="21"/>
          <w:highlight w:val="none"/>
        </w:rPr>
        <w:t>）。</w:t>
      </w:r>
    </w:p>
    <w:p>
      <w:pPr>
        <w:rPr>
          <w:rFonts w:hint="eastAsia" w:ascii="黑体" w:hAnsi="宋体" w:eastAsia="黑体"/>
          <w:color w:val="auto"/>
          <w:sz w:val="24"/>
          <w:highlight w:val="none"/>
        </w:rPr>
      </w:pPr>
      <w:r>
        <w:rPr>
          <w:rFonts w:ascii="黑体" w:hAnsi="宋体" w:eastAsia="黑体"/>
          <w:color w:val="auto"/>
          <w:sz w:val="24"/>
          <w:highlight w:val="none"/>
        </w:rPr>
        <w:t>2.2</w:t>
      </w:r>
      <w:r>
        <w:rPr>
          <w:rFonts w:hint="eastAsia" w:ascii="黑体" w:hAnsi="宋体" w:eastAsia="黑体"/>
          <w:color w:val="auto"/>
          <w:sz w:val="24"/>
          <w:highlight w:val="none"/>
        </w:rPr>
        <w:t>合理报价范围的确定</w:t>
      </w:r>
    </w:p>
    <w:p>
      <w:pPr>
        <w:snapToGrid w:val="0"/>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1 根据开标现场抽取的合理报价下浮率上限值、下限值，计算得合理投标报价范围。</w:t>
      </w:r>
    </w:p>
    <w:p>
      <w:pPr>
        <w:snapToGrid w:val="0"/>
        <w:ind w:firstLine="421" w:firstLineChars="200"/>
        <w:rPr>
          <w:rFonts w:hint="eastAsia" w:ascii="宋体" w:hAnsi="宋体"/>
          <w:b/>
          <w:color w:val="auto"/>
          <w:szCs w:val="21"/>
          <w:highlight w:val="none"/>
          <w:u w:val="single"/>
        </w:rPr>
      </w:pPr>
      <w:r>
        <w:rPr>
          <w:rFonts w:hint="eastAsia" w:ascii="宋体" w:hAnsi="宋体"/>
          <w:b/>
          <w:color w:val="auto"/>
          <w:szCs w:val="21"/>
          <w:highlight w:val="none"/>
          <w:u w:val="single"/>
        </w:rPr>
        <w:t>合理报价范围为：</w:t>
      </w:r>
      <w:r>
        <w:rPr>
          <w:rFonts w:hint="eastAsia" w:ascii="宋体" w:hAnsi="宋体"/>
          <w:b/>
          <w:color w:val="auto"/>
          <w:szCs w:val="21"/>
          <w:highlight w:val="none"/>
          <w:u w:val="single"/>
          <w:lang w:eastAsia="zh-CN"/>
        </w:rPr>
        <w:t>最高投标限</w:t>
      </w:r>
      <w:r>
        <w:rPr>
          <w:rFonts w:hint="eastAsia" w:ascii="宋体" w:hAnsi="宋体"/>
          <w:b/>
          <w:color w:val="auto"/>
          <w:szCs w:val="21"/>
          <w:highlight w:val="none"/>
          <w:u w:val="single"/>
        </w:rPr>
        <w:t>价×（1-下浮率上限值）～</w:t>
      </w:r>
      <w:r>
        <w:rPr>
          <w:rFonts w:hint="eastAsia" w:ascii="宋体" w:hAnsi="宋体"/>
          <w:b/>
          <w:color w:val="auto"/>
          <w:szCs w:val="21"/>
          <w:highlight w:val="none"/>
          <w:u w:val="single"/>
          <w:lang w:eastAsia="zh-CN"/>
        </w:rPr>
        <w:t>最高投标限</w:t>
      </w:r>
      <w:r>
        <w:rPr>
          <w:rFonts w:hint="eastAsia" w:ascii="宋体" w:hAnsi="宋体"/>
          <w:b/>
          <w:color w:val="auto"/>
          <w:szCs w:val="21"/>
          <w:highlight w:val="none"/>
          <w:u w:val="single"/>
        </w:rPr>
        <w:t>价×（1-下浮率下限值）</w:t>
      </w:r>
    </w:p>
    <w:p>
      <w:pPr>
        <w:rPr>
          <w:rFonts w:hint="eastAsia" w:ascii="黑体" w:hAnsi="宋体" w:eastAsia="黑体"/>
          <w:color w:val="auto"/>
          <w:sz w:val="24"/>
          <w:highlight w:val="none"/>
        </w:rPr>
      </w:pPr>
      <w:r>
        <w:rPr>
          <w:rFonts w:hint="eastAsia" w:ascii="黑体" w:hAnsi="宋体" w:eastAsia="黑体"/>
          <w:color w:val="auto"/>
          <w:sz w:val="24"/>
          <w:highlight w:val="none"/>
        </w:rPr>
        <w:t>2.3基准价的计算</w:t>
      </w:r>
    </w:p>
    <w:p>
      <w:pPr>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2.3.1当2≤有效报价投标人个数≤5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计算所有有效投标报价的算术平均数A1 。</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计算有效投标报价中的最高价和最低价的算术平均数B1。</w:t>
      </w:r>
    </w:p>
    <w:p>
      <w:pPr>
        <w:snapToGrid w:val="0"/>
        <w:ind w:left="420" w:firstLine="420"/>
        <w:rPr>
          <w:rFonts w:hint="eastAsia" w:ascii="宋体" w:hAnsi="宋体"/>
          <w:b/>
          <w:color w:val="auto"/>
          <w:szCs w:val="21"/>
          <w:highlight w:val="none"/>
          <w:u w:val="single"/>
        </w:rPr>
      </w:pPr>
      <w:r>
        <w:rPr>
          <w:rFonts w:hint="eastAsia" w:ascii="宋体" w:hAnsi="宋体"/>
          <w:b/>
          <w:color w:val="auto"/>
          <w:szCs w:val="21"/>
          <w:highlight w:val="none"/>
          <w:u w:val="single"/>
        </w:rPr>
        <w:t>基准价A＝A1×K+B1×（100%-K）</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2.3.2当6≤有效报价投标人个数</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在所有有效投标报价中，去掉最高价和最低价后，计算剩余报价的算术平均数A1。</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计算有效投标报价中的最高价和最低价的算术平均数B1。</w:t>
      </w:r>
    </w:p>
    <w:p>
      <w:pPr>
        <w:snapToGrid w:val="0"/>
        <w:ind w:left="420" w:firstLine="420"/>
        <w:rPr>
          <w:rFonts w:hint="eastAsia" w:ascii="宋体" w:hAnsi="宋体"/>
          <w:b/>
          <w:color w:val="auto"/>
          <w:szCs w:val="21"/>
          <w:highlight w:val="none"/>
          <w:u w:val="single"/>
        </w:rPr>
      </w:pPr>
      <w:r>
        <w:rPr>
          <w:rFonts w:hint="eastAsia" w:ascii="宋体" w:hAnsi="宋体"/>
          <w:b/>
          <w:color w:val="auto"/>
          <w:szCs w:val="21"/>
          <w:highlight w:val="none"/>
          <w:u w:val="single"/>
        </w:rPr>
        <w:t>基准价A＝A1×K+B1×（100%-K）</w:t>
      </w:r>
    </w:p>
    <w:p>
      <w:pPr>
        <w:rPr>
          <w:rFonts w:hint="eastAsia" w:ascii="黑体" w:hAnsi="宋体" w:eastAsia="黑体"/>
          <w:color w:val="auto"/>
          <w:sz w:val="24"/>
          <w:highlight w:val="none"/>
        </w:rPr>
      </w:pPr>
      <w:r>
        <w:rPr>
          <w:rFonts w:hint="eastAsia" w:ascii="黑体" w:hAnsi="宋体" w:eastAsia="黑体"/>
          <w:color w:val="auto"/>
          <w:sz w:val="24"/>
          <w:highlight w:val="none"/>
        </w:rPr>
        <w:t>2.4投标报价得</w:t>
      </w:r>
      <w:r>
        <w:rPr>
          <w:rFonts w:ascii="黑体" w:hAnsi="宋体" w:eastAsia="黑体"/>
          <w:color w:val="auto"/>
          <w:sz w:val="24"/>
          <w:highlight w:val="none"/>
        </w:rPr>
        <w:t>分的计算</w:t>
      </w:r>
    </w:p>
    <w:p>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w:t>
      </w:r>
      <w:r>
        <w:rPr>
          <w:rFonts w:hint="eastAsia" w:ascii="宋体" w:hAnsi="宋体" w:eastAsia="宋体" w:cs="宋体"/>
          <w:color w:val="auto"/>
          <w:szCs w:val="21"/>
          <w:highlight w:val="none"/>
          <w:lang w:val="en-US"/>
        </w:rPr>
        <w:t>100-(|B-A|×100÷A)×C</w:t>
      </w:r>
      <w:r>
        <w:rPr>
          <w:rFonts w:hint="eastAsia" w:ascii="宋体" w:hAnsi="宋体" w:eastAsia="宋体" w:cs="宋体"/>
          <w:color w:val="auto"/>
          <w:szCs w:val="21"/>
          <w:highlight w:val="none"/>
        </w:rPr>
        <w:t>（得分最低为0分，取值保留到小数点后四位）</w:t>
      </w:r>
    </w:p>
    <w:p>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S—投标报价得分；B—投标人的投标报价；A—基准价；</w:t>
      </w:r>
    </w:p>
    <w:p>
      <w:pPr>
        <w:snapToGrid w:val="0"/>
        <w:ind w:firstLine="420" w:firstLineChars="200"/>
        <w:rPr>
          <w:rFonts w:ascii="宋体" w:hAnsi="宋体"/>
          <w:color w:val="auto"/>
          <w:szCs w:val="21"/>
          <w:highlight w:val="none"/>
        </w:rPr>
      </w:pPr>
      <w:r>
        <w:rPr>
          <w:rFonts w:hint="eastAsia" w:ascii="宋体" w:hAnsi="宋体" w:eastAsia="宋体" w:cs="宋体"/>
          <w:color w:val="auto"/>
          <w:szCs w:val="21"/>
          <w:highlight w:val="none"/>
        </w:rPr>
        <w:t>C—扣分系数，当B&gt;A时，C=3；B&lt;A时，C=</w:t>
      </w:r>
      <w:r>
        <w:rPr>
          <w:rFonts w:hint="eastAsia" w:ascii="宋体" w:hAnsi="宋体"/>
          <w:color w:val="auto"/>
          <w:szCs w:val="21"/>
          <w:highlight w:val="none"/>
        </w:rPr>
        <w:t>1。</w:t>
      </w:r>
    </w:p>
    <w:p>
      <w:pPr>
        <w:ind w:firstLine="420" w:firstLineChars="200"/>
        <w:rPr>
          <w:rFonts w:hint="eastAsia"/>
          <w:color w:val="auto"/>
          <w:highlight w:val="none"/>
        </w:rPr>
      </w:pPr>
    </w:p>
    <w:p>
      <w:pPr>
        <w:ind w:firstLine="420" w:firstLineChars="200"/>
        <w:rPr>
          <w:rFonts w:hint="eastAsia"/>
          <w:color w:val="auto"/>
          <w:highlight w:val="none"/>
        </w:rPr>
      </w:pPr>
    </w:p>
    <w:p>
      <w:pPr>
        <w:jc w:val="center"/>
        <w:rPr>
          <w:rFonts w:ascii="黑体" w:eastAsia="黑体"/>
          <w:color w:val="auto"/>
          <w:sz w:val="30"/>
          <w:szCs w:val="30"/>
          <w:highlight w:val="none"/>
        </w:rPr>
      </w:pPr>
      <w:r>
        <w:rPr>
          <w:rFonts w:hint="eastAsia" w:ascii="黑体" w:eastAsia="黑体"/>
          <w:color w:val="auto"/>
          <w:sz w:val="30"/>
          <w:szCs w:val="30"/>
          <w:highlight w:val="none"/>
        </w:rPr>
        <w:t>规则2：平均值法</w:t>
      </w:r>
    </w:p>
    <w:p>
      <w:pPr>
        <w:spacing w:line="360" w:lineRule="auto"/>
        <w:ind w:firstLine="420" w:firstLineChars="200"/>
        <w:rPr>
          <w:rFonts w:ascii="宋体" w:hAnsi="宋体"/>
          <w:color w:val="auto"/>
          <w:szCs w:val="21"/>
          <w:highlight w:val="none"/>
        </w:rPr>
      </w:pPr>
    </w:p>
    <w:p>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1.规则简述</w:t>
      </w:r>
    </w:p>
    <w:p>
      <w:pPr>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kern w:val="0"/>
          <w:szCs w:val="21"/>
          <w:highlight w:val="none"/>
        </w:rPr>
        <w:t>投标人须知</w:t>
      </w:r>
      <w:r>
        <w:rPr>
          <w:rFonts w:hint="eastAsia" w:ascii="宋体" w:hAnsi="宋体"/>
          <w:color w:val="auto"/>
          <w:szCs w:val="21"/>
          <w:highlight w:val="none"/>
        </w:rPr>
        <w:t>前附表</w:t>
      </w:r>
      <w:r>
        <w:rPr>
          <w:rFonts w:hint="eastAsia" w:ascii="宋体" w:hAnsi="宋体"/>
          <w:color w:val="auto"/>
          <w:szCs w:val="21"/>
          <w:highlight w:val="none"/>
          <w:lang w:eastAsia="zh-CN"/>
        </w:rPr>
        <w:t>”</w:t>
      </w:r>
      <w:r>
        <w:rPr>
          <w:rFonts w:hint="eastAsia" w:ascii="宋体" w:hAnsi="宋体"/>
          <w:color w:val="auto"/>
          <w:szCs w:val="21"/>
          <w:highlight w:val="none"/>
        </w:rPr>
        <w:t>第</w:t>
      </w:r>
      <w:r>
        <w:rPr>
          <w:rFonts w:hint="eastAsia" w:ascii="宋体" w:hAnsi="宋体"/>
          <w:color w:val="auto"/>
          <w:highlight w:val="none"/>
          <w:lang w:val="en-US" w:eastAsia="zh-CN"/>
        </w:rPr>
        <w:t>8.3.2</w:t>
      </w:r>
      <w:r>
        <w:rPr>
          <w:rFonts w:hint="eastAsia" w:ascii="宋体" w:hAnsi="宋体"/>
          <w:color w:val="auto"/>
          <w:szCs w:val="21"/>
          <w:highlight w:val="none"/>
        </w:rPr>
        <w:t>款</w:t>
      </w:r>
      <w:r>
        <w:rPr>
          <w:rFonts w:hint="eastAsia" w:ascii="宋体" w:hAnsi="宋体"/>
          <w:color w:val="auto"/>
          <w:szCs w:val="21"/>
          <w:highlight w:val="none"/>
          <w:lang w:val="en-US" w:eastAsia="zh-CN"/>
        </w:rPr>
        <w:t>明确</w:t>
      </w:r>
      <w:r>
        <w:rPr>
          <w:rFonts w:hint="eastAsia" w:ascii="宋体" w:hAnsi="宋体"/>
          <w:color w:val="auto"/>
          <w:szCs w:val="21"/>
          <w:highlight w:val="none"/>
        </w:rPr>
        <w:t>使用</w:t>
      </w:r>
      <w:r>
        <w:rPr>
          <w:rFonts w:ascii="宋体" w:hAnsi="宋体"/>
          <w:color w:val="auto"/>
          <w:szCs w:val="21"/>
          <w:highlight w:val="none"/>
        </w:rPr>
        <w:t>平均值法</w:t>
      </w:r>
      <w:r>
        <w:rPr>
          <w:rFonts w:hint="eastAsia" w:ascii="宋体" w:hAnsi="宋体"/>
          <w:color w:val="auto"/>
          <w:szCs w:val="21"/>
          <w:highlight w:val="none"/>
        </w:rPr>
        <w:t>排序的</w:t>
      </w:r>
      <w:r>
        <w:rPr>
          <w:rFonts w:ascii="宋体" w:hAnsi="宋体"/>
          <w:color w:val="auto"/>
          <w:szCs w:val="21"/>
          <w:highlight w:val="none"/>
        </w:rPr>
        <w:t>，适用本</w:t>
      </w:r>
      <w:r>
        <w:rPr>
          <w:rFonts w:hint="eastAsia" w:ascii="宋体" w:hAnsi="宋体"/>
          <w:color w:val="auto"/>
          <w:szCs w:val="21"/>
          <w:highlight w:val="none"/>
        </w:rPr>
        <w:t>规则</w:t>
      </w:r>
      <w:r>
        <w:rPr>
          <w:rFonts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color w:val="auto"/>
          <w:highlight w:val="none"/>
        </w:rPr>
        <w:t>本规则使用</w:t>
      </w:r>
      <w:r>
        <w:rPr>
          <w:rFonts w:hint="eastAsia" w:ascii="Times New Roman" w:hAnsi="Times New Roman" w:eastAsia="宋体" w:cs="Times New Roman"/>
          <w:color w:val="auto"/>
          <w:highlight w:val="none"/>
        </w:rPr>
        <w:t>附</w:t>
      </w:r>
      <w:r>
        <w:rPr>
          <w:rFonts w:hint="eastAsia" w:ascii="宋体" w:hAnsi="宋体" w:eastAsia="宋体" w:cs="Times New Roman"/>
          <w:color w:val="auto"/>
          <w:kern w:val="0"/>
          <w:szCs w:val="21"/>
          <w:highlight w:val="none"/>
        </w:rPr>
        <w:t>表</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进</w:t>
      </w:r>
      <w:r>
        <w:rPr>
          <w:rFonts w:hint="eastAsia" w:ascii="Times New Roman" w:hAnsi="Times New Roman" w:eastAsia="宋体" w:cs="Times New Roman"/>
          <w:color w:val="auto"/>
          <w:highlight w:val="none"/>
        </w:rPr>
        <w:t>行</w:t>
      </w:r>
      <w:r>
        <w:rPr>
          <w:rFonts w:hint="eastAsia"/>
          <w:color w:val="auto"/>
          <w:highlight w:val="none"/>
        </w:rPr>
        <w:t>评标。</w:t>
      </w:r>
    </w:p>
    <w:p>
      <w:pPr>
        <w:spacing w:before="120" w:beforeLines="5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2</w:t>
      </w:r>
      <w:r>
        <w:rPr>
          <w:rFonts w:ascii="黑体" w:hAnsi="宋体" w:eastAsia="黑体"/>
          <w:color w:val="auto"/>
          <w:sz w:val="28"/>
          <w:szCs w:val="28"/>
          <w:highlight w:val="none"/>
        </w:rPr>
        <w:t>.</w:t>
      </w:r>
      <w:r>
        <w:rPr>
          <w:rFonts w:hint="eastAsia" w:ascii="黑体" w:hAnsi="宋体" w:eastAsia="黑体"/>
          <w:color w:val="auto"/>
          <w:sz w:val="28"/>
          <w:szCs w:val="28"/>
          <w:highlight w:val="none"/>
        </w:rPr>
        <w:t>计算规则</w:t>
      </w:r>
    </w:p>
    <w:p>
      <w:pPr>
        <w:rPr>
          <w:rFonts w:hint="eastAsia" w:ascii="黑体" w:hAnsi="宋体" w:eastAsia="黑体"/>
          <w:color w:val="auto"/>
          <w:sz w:val="24"/>
          <w:highlight w:val="none"/>
        </w:rPr>
      </w:pPr>
      <w:r>
        <w:rPr>
          <w:rFonts w:hint="eastAsia" w:ascii="黑体" w:hAnsi="宋体" w:eastAsia="黑体"/>
          <w:color w:val="auto"/>
          <w:sz w:val="24"/>
          <w:highlight w:val="none"/>
        </w:rPr>
        <w:t>2.1基准价的计算</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评标委员会将评标候选人的投标报价按由低至高的顺序进行排序，去掉排名最靠前的N个投标人的投标报价，以及排名最靠后的N个投标人的投标报价之后，再对剩余投标人的投标报价取算术平均值，此算术平均值为评标基准价。随后评标环节无论出现何种情形，该基准价不作调整。</w:t>
      </w:r>
    </w:p>
    <w:p>
      <w:pPr>
        <w:spacing w:line="240" w:lineRule="auto"/>
        <w:ind w:firstLine="420" w:firstLineChars="200"/>
        <w:rPr>
          <w:rFonts w:hint="eastAsia" w:ascii="宋体" w:hAnsi="宋体"/>
          <w:color w:val="auto"/>
          <w:szCs w:val="21"/>
          <w:highlight w:val="none"/>
        </w:rPr>
      </w:pPr>
      <w:r>
        <w:rPr>
          <w:rFonts w:hint="eastAsia" w:ascii="宋体" w:hAnsi="宋体"/>
          <w:color w:val="auto"/>
          <w:sz w:val="21"/>
          <w:szCs w:val="21"/>
          <w:highlight w:val="none"/>
          <w:lang w:val="en-US" w:eastAsia="zh-CN"/>
        </w:rPr>
        <w:t>N=</w:t>
      </w:r>
      <w:r>
        <w:rPr>
          <w:rFonts w:hint="default" w:ascii="宋体" w:hAnsi="宋体"/>
          <w:color w:val="auto"/>
          <w:sz w:val="21"/>
          <w:szCs w:val="21"/>
          <w:highlight w:val="none"/>
          <w:lang w:val="en-US"/>
        </w:rPr>
        <w:t>Int</w:t>
      </w:r>
      <w:r>
        <w:rPr>
          <w:rFonts w:hint="eastAsia" w:ascii="宋体" w:hAnsi="宋体"/>
          <w:color w:val="auto"/>
          <w:sz w:val="21"/>
          <w:szCs w:val="21"/>
          <w:highlight w:val="none"/>
          <w:lang w:val="en-US" w:eastAsia="zh-CN"/>
        </w:rPr>
        <w:t>（进入评标环节的投标人</w:t>
      </w:r>
      <w:r>
        <w:rPr>
          <w:rFonts w:hint="eastAsia" w:ascii="宋体" w:hAnsi="宋体" w:eastAsia="宋体" w:cs="Times New Roman"/>
          <w:color w:val="auto"/>
          <w:sz w:val="21"/>
          <w:szCs w:val="21"/>
          <w:highlight w:val="none"/>
          <w:lang w:val="en-US" w:eastAsia="zh-CN"/>
        </w:rPr>
        <w:t>个数</w:t>
      </w:r>
      <w:r>
        <w:rPr>
          <w:rFonts w:hint="default"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4）</w:t>
      </w:r>
      <w:r>
        <w:rPr>
          <w:rFonts w:hint="eastAsia" w:ascii="宋体" w:hAnsi="宋体"/>
          <w:color w:val="auto"/>
          <w:szCs w:val="21"/>
          <w:highlight w:val="none"/>
        </w:rPr>
        <w:t>（其中Int为取整函数，不进行四舍五入）。</w:t>
      </w:r>
    </w:p>
    <w:p>
      <w:pPr>
        <w:rPr>
          <w:rFonts w:hint="eastAsia" w:ascii="黑体" w:hAnsi="宋体" w:eastAsia="黑体"/>
          <w:color w:val="auto"/>
          <w:sz w:val="24"/>
          <w:highlight w:val="none"/>
        </w:rPr>
      </w:pPr>
      <w:r>
        <w:rPr>
          <w:rFonts w:hint="eastAsia" w:ascii="黑体" w:hAnsi="宋体" w:eastAsia="黑体"/>
          <w:color w:val="auto"/>
          <w:sz w:val="24"/>
          <w:highlight w:val="none"/>
        </w:rPr>
        <w:t>2.2投标报价得</w:t>
      </w:r>
      <w:r>
        <w:rPr>
          <w:rFonts w:ascii="黑体" w:hAnsi="宋体" w:eastAsia="黑体"/>
          <w:color w:val="auto"/>
          <w:sz w:val="24"/>
          <w:highlight w:val="none"/>
        </w:rPr>
        <w:t>分的计算</w:t>
      </w:r>
    </w:p>
    <w:p>
      <w:pPr>
        <w:snapToGrid w:val="0"/>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S=</w:t>
      </w:r>
      <w:r>
        <w:rPr>
          <w:rFonts w:hint="eastAsia" w:ascii="宋体" w:hAnsi="宋体" w:eastAsia="宋体" w:cs="宋体"/>
          <w:color w:val="auto"/>
          <w:szCs w:val="21"/>
          <w:highlight w:val="none"/>
          <w:lang w:val="en-US"/>
        </w:rPr>
        <w:t>100-|B-A|×100÷A</w:t>
      </w:r>
      <w:r>
        <w:rPr>
          <w:rFonts w:hint="eastAsia" w:ascii="宋体" w:hAnsi="宋体" w:eastAsia="宋体" w:cs="宋体"/>
          <w:color w:val="auto"/>
          <w:szCs w:val="21"/>
          <w:highlight w:val="none"/>
        </w:rPr>
        <w:t>（得分最低为0分，取值保</w:t>
      </w:r>
      <w:r>
        <w:rPr>
          <w:rFonts w:hint="eastAsia" w:ascii="宋体" w:hAnsi="宋体"/>
          <w:color w:val="auto"/>
          <w:szCs w:val="21"/>
          <w:highlight w:val="none"/>
        </w:rPr>
        <w:t>留到小数点后四位</w:t>
      </w:r>
      <w:r>
        <w:rPr>
          <w:rFonts w:ascii="宋体" w:hAnsi="宋体"/>
          <w:color w:val="auto"/>
          <w:szCs w:val="21"/>
          <w:highlight w:val="none"/>
        </w:rPr>
        <w:t>）</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S—投标报价得分；B—投标人的投标报价；A—基准价；</w:t>
      </w:r>
    </w:p>
    <w:p>
      <w:pPr>
        <w:spacing w:line="360" w:lineRule="auto"/>
        <w:rPr>
          <w:rFonts w:hint="eastAsia" w:ascii="宋体" w:hAnsi="宋体"/>
          <w:color w:val="auto"/>
          <w:szCs w:val="21"/>
          <w:highlight w:val="none"/>
        </w:rPr>
      </w:pPr>
    </w:p>
    <w:p>
      <w:pPr>
        <w:spacing w:before="240" w:line="360" w:lineRule="auto"/>
        <w:jc w:val="center"/>
        <w:rPr>
          <w:rFonts w:hint="eastAsia" w:ascii="黑体" w:eastAsia="黑体"/>
          <w:color w:val="auto"/>
          <w:sz w:val="30"/>
          <w:szCs w:val="30"/>
          <w:highlight w:val="none"/>
        </w:rPr>
      </w:pPr>
      <w:r>
        <w:rPr>
          <w:rFonts w:hint="eastAsia" w:ascii="黑体" w:eastAsia="黑体"/>
          <w:color w:val="auto"/>
          <w:sz w:val="30"/>
          <w:szCs w:val="30"/>
          <w:highlight w:val="none"/>
        </w:rPr>
        <w:t>规则3：</w:t>
      </w:r>
      <w:r>
        <w:rPr>
          <w:rFonts w:hint="eastAsia" w:ascii="黑体" w:eastAsia="黑体"/>
          <w:color w:val="auto"/>
          <w:sz w:val="30"/>
          <w:szCs w:val="30"/>
          <w:highlight w:val="none"/>
          <w:lang w:val="en-US" w:eastAsia="zh-CN"/>
        </w:rPr>
        <w:t>经评审的</w:t>
      </w:r>
      <w:r>
        <w:rPr>
          <w:rFonts w:hint="eastAsia" w:ascii="黑体" w:eastAsia="黑体"/>
          <w:color w:val="auto"/>
          <w:sz w:val="30"/>
          <w:szCs w:val="30"/>
          <w:highlight w:val="none"/>
        </w:rPr>
        <w:t>最低</w:t>
      </w:r>
      <w:r>
        <w:rPr>
          <w:rFonts w:ascii="黑体" w:eastAsia="黑体"/>
          <w:color w:val="auto"/>
          <w:sz w:val="30"/>
          <w:szCs w:val="30"/>
          <w:highlight w:val="none"/>
        </w:rPr>
        <w:t>投标</w:t>
      </w:r>
      <w:r>
        <w:rPr>
          <w:rFonts w:hint="eastAsia" w:ascii="黑体" w:eastAsia="黑体"/>
          <w:color w:val="auto"/>
          <w:sz w:val="30"/>
          <w:szCs w:val="30"/>
          <w:highlight w:val="none"/>
        </w:rPr>
        <w:t>价</w:t>
      </w:r>
      <w:r>
        <w:rPr>
          <w:rFonts w:ascii="黑体" w:eastAsia="黑体"/>
          <w:color w:val="auto"/>
          <w:sz w:val="30"/>
          <w:szCs w:val="30"/>
          <w:highlight w:val="none"/>
        </w:rPr>
        <w:t>法</w:t>
      </w:r>
    </w:p>
    <w:p>
      <w:pPr>
        <w:spacing w:line="360" w:lineRule="auto"/>
        <w:ind w:firstLine="420" w:firstLineChars="200"/>
        <w:rPr>
          <w:rFonts w:ascii="宋体" w:hAnsi="宋体"/>
          <w:color w:val="auto"/>
          <w:szCs w:val="21"/>
          <w:highlight w:val="none"/>
        </w:rPr>
      </w:pPr>
    </w:p>
    <w:p>
      <w:pPr>
        <w:spacing w:before="120" w:beforeLines="5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1.规则简述</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1.1“投标人须知前附表</w:t>
      </w:r>
      <w:r>
        <w:rPr>
          <w:rFonts w:hint="eastAsia" w:ascii="宋体" w:hAnsi="宋体"/>
          <w:color w:val="auto"/>
          <w:szCs w:val="21"/>
          <w:highlight w:val="none"/>
          <w:lang w:eastAsia="zh-CN"/>
        </w:rPr>
        <w:t>”</w:t>
      </w:r>
      <w:r>
        <w:rPr>
          <w:rFonts w:hint="eastAsia" w:ascii="宋体" w:hAnsi="宋体"/>
          <w:color w:val="auto"/>
          <w:szCs w:val="21"/>
          <w:highlight w:val="none"/>
        </w:rPr>
        <w:t>第</w:t>
      </w:r>
      <w:r>
        <w:rPr>
          <w:rFonts w:hint="eastAsia" w:ascii="宋体" w:hAnsi="宋体"/>
          <w:color w:val="auto"/>
          <w:highlight w:val="none"/>
          <w:lang w:val="en-US" w:eastAsia="zh-CN"/>
        </w:rPr>
        <w:t>8.3.2</w:t>
      </w:r>
      <w:r>
        <w:rPr>
          <w:rFonts w:hint="eastAsia" w:ascii="宋体" w:hAnsi="宋体"/>
          <w:color w:val="auto"/>
          <w:szCs w:val="21"/>
          <w:highlight w:val="none"/>
        </w:rPr>
        <w:t>款</w:t>
      </w:r>
      <w:r>
        <w:rPr>
          <w:rFonts w:hint="eastAsia" w:ascii="宋体" w:hAnsi="宋体"/>
          <w:color w:val="auto"/>
          <w:szCs w:val="21"/>
          <w:highlight w:val="none"/>
          <w:lang w:val="en-US" w:eastAsia="zh-CN"/>
        </w:rPr>
        <w:t>明确</w:t>
      </w:r>
      <w:r>
        <w:rPr>
          <w:rFonts w:hint="eastAsia" w:ascii="宋体" w:hAnsi="宋体"/>
          <w:color w:val="auto"/>
          <w:szCs w:val="21"/>
          <w:highlight w:val="none"/>
        </w:rPr>
        <w:t>使用</w:t>
      </w:r>
      <w:r>
        <w:rPr>
          <w:rFonts w:hint="eastAsia" w:ascii="宋体" w:hAnsi="宋体"/>
          <w:color w:val="auto"/>
          <w:szCs w:val="21"/>
          <w:highlight w:val="none"/>
          <w:lang w:val="en-US" w:eastAsia="zh-CN"/>
        </w:rPr>
        <w:t>经评审的</w:t>
      </w:r>
      <w:r>
        <w:rPr>
          <w:rFonts w:hint="eastAsia" w:ascii="宋体" w:hAnsi="宋体"/>
          <w:color w:val="auto"/>
          <w:szCs w:val="21"/>
          <w:highlight w:val="none"/>
        </w:rPr>
        <w:t>最低投标价法的，适用本规则。</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1.2本规则使用附表</w:t>
      </w:r>
      <w:r>
        <w:rPr>
          <w:rFonts w:hint="eastAsia" w:ascii="宋体" w:hAnsi="宋体"/>
          <w:color w:val="auto"/>
          <w:szCs w:val="21"/>
          <w:highlight w:val="none"/>
          <w:lang w:val="en-US" w:eastAsia="zh-CN"/>
        </w:rPr>
        <w:t>5</w:t>
      </w:r>
      <w:r>
        <w:rPr>
          <w:rFonts w:hint="eastAsia" w:ascii="宋体" w:hAnsi="宋体"/>
          <w:color w:val="auto"/>
          <w:szCs w:val="21"/>
          <w:highlight w:val="none"/>
        </w:rPr>
        <w:t>进行评标。</w:t>
      </w:r>
    </w:p>
    <w:p>
      <w:pPr>
        <w:ind w:firstLine="420" w:firstLineChars="200"/>
        <w:rPr>
          <w:rFonts w:hint="eastAsia" w:ascii="宋体" w:hAnsi="宋体"/>
          <w:color w:val="auto"/>
          <w:szCs w:val="21"/>
          <w:highlight w:val="none"/>
        </w:rPr>
        <w:sectPr>
          <w:footerReference r:id="rId9" w:type="first"/>
          <w:footerReference r:id="rId8" w:type="default"/>
          <w:pgSz w:w="11906" w:h="16838"/>
          <w:pgMar w:top="850" w:right="1134" w:bottom="850" w:left="1134" w:header="397" w:footer="397" w:gutter="0"/>
          <w:pgBorders w:offsetFrom="page">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color w:val="auto"/>
          <w:sz w:val="24"/>
          <w:highlight w:val="none"/>
          <w:lang w:eastAsia="zh-CN"/>
        </w:rPr>
      </w:pPr>
      <w:r>
        <w:rPr>
          <w:rFonts w:ascii="宋体" w:hAnsi="宋体"/>
          <w:color w:val="auto"/>
          <w:szCs w:val="44"/>
          <w:highlight w:val="none"/>
        </w:rPr>
        <w:t xml:space="preserve"> </w:t>
      </w:r>
      <w:r>
        <w:rPr>
          <w:rFonts w:hint="eastAsia" w:ascii="宋体" w:hAnsi="宋体"/>
          <w:color w:val="auto"/>
          <w:sz w:val="24"/>
          <w:highlight w:val="none"/>
        </w:rPr>
        <w:t>附表1：资格（形式、响应）评审记录汇总表</w:t>
      </w:r>
      <w:r>
        <w:rPr>
          <w:rFonts w:hint="eastAsia" w:ascii="宋体" w:hAnsi="宋体"/>
          <w:color w:val="auto"/>
          <w:sz w:val="24"/>
          <w:highlight w:val="none"/>
          <w:lang w:eastAsia="zh-CN"/>
        </w:rPr>
        <w:t>（参考格式）</w:t>
      </w:r>
    </w:p>
    <w:p>
      <w:pPr>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资格（形式、响应）评审记录汇总表</w:t>
      </w:r>
    </w:p>
    <w:p>
      <w:pPr>
        <w:spacing w:before="240" w:beforeLines="100" w:after="120" w:afterLines="50"/>
        <w:rPr>
          <w:rFonts w:hint="eastAsia" w:ascii="宋体" w:hAnsi="宋体"/>
          <w:color w:val="auto"/>
          <w:szCs w:val="44"/>
          <w:highlight w:val="none"/>
        </w:rPr>
      </w:pPr>
      <w:r>
        <w:rPr>
          <w:rFonts w:hint="eastAsia" w:ascii="宋体" w:hAnsi="宋体"/>
          <w:color w:val="auto"/>
          <w:szCs w:val="44"/>
          <w:highlight w:val="none"/>
          <w:lang w:val="en-US" w:eastAsia="zh-CN"/>
        </w:rPr>
        <w:t>项目</w:t>
      </w:r>
      <w:r>
        <w:rPr>
          <w:rFonts w:hint="eastAsia" w:ascii="宋体" w:hAnsi="宋体"/>
          <w:color w:val="auto"/>
          <w:szCs w:val="44"/>
          <w:highlight w:val="none"/>
        </w:rPr>
        <w:t>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513"/>
        <w:gridCol w:w="1799"/>
        <w:gridCol w:w="1388"/>
        <w:gridCol w:w="146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b/>
                <w:color w:val="auto"/>
                <w:kern w:val="2"/>
                <w:sz w:val="21"/>
                <w:szCs w:val="44"/>
                <w:highlight w:val="none"/>
                <w:lang w:val="en-US" w:eastAsia="zh-CN" w:bidi="ar-SA"/>
              </w:rPr>
            </w:pPr>
            <w:r>
              <w:rPr>
                <w:rFonts w:hint="eastAsia" w:ascii="宋体" w:hAnsi="宋体"/>
                <w:b/>
                <w:color w:val="auto"/>
                <w:szCs w:val="44"/>
                <w:highlight w:val="none"/>
              </w:rPr>
              <w:t>序号</w:t>
            </w:r>
          </w:p>
        </w:tc>
        <w:tc>
          <w:tcPr>
            <w:tcW w:w="2513" w:type="dxa"/>
            <w:noWrap w:val="0"/>
            <w:vAlign w:val="center"/>
          </w:tcPr>
          <w:p>
            <w:pPr>
              <w:jc w:val="center"/>
              <w:rPr>
                <w:rFonts w:hint="eastAsia" w:ascii="宋体" w:hAnsi="宋体"/>
                <w:b/>
                <w:color w:val="auto"/>
                <w:kern w:val="2"/>
                <w:sz w:val="21"/>
                <w:szCs w:val="44"/>
                <w:highlight w:val="none"/>
                <w:lang w:val="en-US" w:eastAsia="zh-CN" w:bidi="ar-SA"/>
              </w:rPr>
            </w:pPr>
            <w:r>
              <w:rPr>
                <w:rFonts w:hint="eastAsia" w:ascii="宋体" w:hAnsi="宋体"/>
                <w:b/>
                <w:color w:val="auto"/>
                <w:szCs w:val="44"/>
                <w:highlight w:val="none"/>
              </w:rPr>
              <w:t>评审因素</w:t>
            </w:r>
          </w:p>
        </w:tc>
        <w:tc>
          <w:tcPr>
            <w:tcW w:w="1799"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（企业名称）</w:t>
            </w: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投标人资格</w:t>
            </w:r>
            <w:r>
              <w:rPr>
                <w:rFonts w:hint="eastAsia" w:ascii="宋体" w:hAnsi="宋体"/>
                <w:color w:val="auto"/>
                <w:szCs w:val="21"/>
                <w:highlight w:val="none"/>
                <w:lang w:eastAsia="zh-CN"/>
              </w:rPr>
              <w:t>条件</w:t>
            </w:r>
            <w:r>
              <w:rPr>
                <w:rFonts w:hint="eastAsia" w:ascii="宋体" w:hAnsi="宋体"/>
                <w:color w:val="auto"/>
                <w:szCs w:val="21"/>
                <w:highlight w:val="none"/>
              </w:rPr>
              <w:t>要求</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2</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联合体投标人（如有）</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3</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投标保证金</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4</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营业执照</w:t>
            </w:r>
          </w:p>
        </w:tc>
        <w:tc>
          <w:tcPr>
            <w:tcW w:w="1799" w:type="dxa"/>
            <w:noWrap w:val="0"/>
            <w:vAlign w:val="center"/>
          </w:tcPr>
          <w:p>
            <w:pPr>
              <w:jc w:val="center"/>
              <w:rPr>
                <w:rFonts w:hint="eastAsia"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5</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安全生产许可证</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6</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投标人名称</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7</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投标文件格式</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8</w:t>
            </w:r>
          </w:p>
        </w:tc>
        <w:tc>
          <w:tcPr>
            <w:tcW w:w="2513" w:type="dxa"/>
            <w:noWrap w:val="0"/>
            <w:vAlign w:val="center"/>
          </w:tcPr>
          <w:p>
            <w:pPr>
              <w:rPr>
                <w:rFonts w:hint="eastAsia" w:ascii="宋体" w:hAnsi="宋体"/>
                <w:color w:val="auto"/>
                <w:szCs w:val="21"/>
                <w:highlight w:val="none"/>
              </w:rPr>
            </w:pPr>
            <w:r>
              <w:rPr>
                <w:rFonts w:hint="eastAsia" w:hAnsi="宋体"/>
                <w:color w:val="auto"/>
                <w:szCs w:val="21"/>
                <w:highlight w:val="none"/>
              </w:rPr>
              <w:t>投标文件签</w:t>
            </w:r>
            <w:r>
              <w:rPr>
                <w:rFonts w:hint="eastAsia" w:ascii="宋体" w:hAnsi="宋体"/>
                <w:color w:val="auto"/>
                <w:szCs w:val="21"/>
                <w:highlight w:val="none"/>
                <w:lang w:eastAsia="zh-CN"/>
              </w:rPr>
              <w:t>名</w:t>
            </w:r>
            <w:r>
              <w:rPr>
                <w:rFonts w:hint="eastAsia" w:ascii="宋体" w:hAnsi="宋体"/>
                <w:color w:val="auto"/>
                <w:szCs w:val="21"/>
                <w:highlight w:val="none"/>
              </w:rPr>
              <w:t>盖</w:t>
            </w:r>
            <w:r>
              <w:rPr>
                <w:rFonts w:hint="eastAsia" w:hAnsi="宋体"/>
                <w:color w:val="auto"/>
                <w:szCs w:val="21"/>
                <w:highlight w:val="none"/>
              </w:rPr>
              <w:t>章</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9</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投标函签</w:t>
            </w:r>
            <w:r>
              <w:rPr>
                <w:rFonts w:hint="eastAsia" w:ascii="宋体" w:hAnsi="宋体"/>
                <w:color w:val="auto"/>
                <w:szCs w:val="21"/>
                <w:highlight w:val="none"/>
                <w:lang w:eastAsia="zh-CN"/>
              </w:rPr>
              <w:t>名</w:t>
            </w:r>
            <w:r>
              <w:rPr>
                <w:rFonts w:hint="eastAsia" w:ascii="宋体" w:hAnsi="宋体"/>
                <w:color w:val="auto"/>
                <w:szCs w:val="21"/>
                <w:highlight w:val="none"/>
              </w:rPr>
              <w:t>盖章</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10</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投标报价</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11</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工期</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12</w:t>
            </w:r>
          </w:p>
        </w:tc>
        <w:tc>
          <w:tcPr>
            <w:tcW w:w="2513" w:type="dxa"/>
            <w:noWrap w:val="0"/>
            <w:vAlign w:val="center"/>
          </w:tcPr>
          <w:p>
            <w:pPr>
              <w:rPr>
                <w:rFonts w:hint="eastAsia" w:hAnsi="宋体"/>
                <w:color w:val="auto"/>
                <w:szCs w:val="21"/>
                <w:highlight w:val="none"/>
              </w:rPr>
            </w:pPr>
            <w:r>
              <w:rPr>
                <w:rFonts w:hint="eastAsia" w:ascii="宋体" w:hAnsi="宋体"/>
                <w:color w:val="auto"/>
                <w:szCs w:val="21"/>
                <w:highlight w:val="none"/>
              </w:rPr>
              <w:t>工程质量</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13</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已标价工程量清单</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14</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投标内容</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15</w:t>
            </w:r>
          </w:p>
        </w:tc>
        <w:tc>
          <w:tcPr>
            <w:tcW w:w="2513" w:type="dxa"/>
            <w:noWrap w:val="0"/>
            <w:vAlign w:val="center"/>
          </w:tcPr>
          <w:p>
            <w:pPr>
              <w:rPr>
                <w:rFonts w:hint="eastAsia" w:ascii="宋体" w:hAnsi="宋体"/>
                <w:color w:val="auto"/>
                <w:szCs w:val="21"/>
                <w:highlight w:val="none"/>
              </w:rPr>
            </w:pPr>
            <w:r>
              <w:rPr>
                <w:rFonts w:hint="eastAsia"/>
                <w:color w:val="auto"/>
                <w:highlight w:val="none"/>
              </w:rPr>
              <w:t>承诺书</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16</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17</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权利义务</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18</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分包计划（如有）</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19</w:t>
            </w:r>
          </w:p>
        </w:tc>
        <w:tc>
          <w:tcPr>
            <w:tcW w:w="2513"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投标文件否决性条款</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1" w:type="dxa"/>
            <w:gridSpan w:val="2"/>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评审结果</w:t>
            </w:r>
          </w:p>
        </w:tc>
        <w:tc>
          <w:tcPr>
            <w:tcW w:w="1799" w:type="dxa"/>
            <w:noWrap w:val="0"/>
            <w:vAlign w:val="center"/>
          </w:tcPr>
          <w:p>
            <w:pPr>
              <w:jc w:val="center"/>
              <w:rPr>
                <w:rFonts w:hint="eastAsia" w:ascii="宋体" w:hAnsi="宋体"/>
                <w:color w:val="auto"/>
                <w:szCs w:val="21"/>
                <w:highlight w:val="none"/>
              </w:rPr>
            </w:pPr>
          </w:p>
        </w:tc>
        <w:tc>
          <w:tcPr>
            <w:tcW w:w="1388" w:type="dxa"/>
            <w:noWrap w:val="0"/>
            <w:vAlign w:val="center"/>
          </w:tcPr>
          <w:p>
            <w:pPr>
              <w:jc w:val="center"/>
              <w:rPr>
                <w:rFonts w:hint="eastAsia" w:ascii="宋体" w:hAnsi="宋体"/>
                <w:color w:val="auto"/>
                <w:szCs w:val="44"/>
                <w:highlight w:val="none"/>
              </w:rPr>
            </w:pPr>
          </w:p>
        </w:tc>
        <w:tc>
          <w:tcPr>
            <w:tcW w:w="1468" w:type="dxa"/>
            <w:noWrap w:val="0"/>
            <w:vAlign w:val="center"/>
          </w:tcPr>
          <w:p>
            <w:pPr>
              <w:jc w:val="center"/>
              <w:rPr>
                <w:rFonts w:hint="eastAsia" w:ascii="宋体" w:hAnsi="宋体"/>
                <w:color w:val="auto"/>
                <w:szCs w:val="44"/>
                <w:highlight w:val="none"/>
              </w:rPr>
            </w:pPr>
          </w:p>
        </w:tc>
        <w:tc>
          <w:tcPr>
            <w:tcW w:w="1457" w:type="dxa"/>
            <w:noWrap w:val="0"/>
            <w:vAlign w:val="center"/>
          </w:tcPr>
          <w:p>
            <w:pPr>
              <w:jc w:val="center"/>
              <w:rPr>
                <w:rFonts w:hint="eastAsia" w:ascii="宋体" w:hAnsi="宋体"/>
                <w:color w:val="auto"/>
                <w:szCs w:val="44"/>
                <w:highlight w:val="none"/>
              </w:rPr>
            </w:pPr>
          </w:p>
        </w:tc>
      </w:tr>
    </w:tbl>
    <w:p>
      <w:pPr>
        <w:spacing w:before="120" w:beforeLines="50"/>
        <w:rPr>
          <w:rFonts w:hint="eastAsia" w:ascii="宋体" w:hAnsi="宋体"/>
          <w:color w:val="auto"/>
          <w:szCs w:val="44"/>
          <w:highlight w:val="none"/>
        </w:rPr>
      </w:pPr>
      <w:r>
        <w:rPr>
          <w:rFonts w:hint="eastAsia" w:ascii="宋体" w:hAnsi="宋体"/>
          <w:color w:val="auto"/>
          <w:szCs w:val="44"/>
          <w:highlight w:val="none"/>
        </w:rPr>
        <w:t>注：</w:t>
      </w:r>
      <w:r>
        <w:rPr>
          <w:rFonts w:hint="eastAsia" w:ascii="宋体" w:hAnsi="宋体"/>
          <w:color w:val="auto"/>
          <w:szCs w:val="21"/>
          <w:highlight w:val="none"/>
        </w:rPr>
        <w:t>评审结果分为“合格”或“不合格”</w:t>
      </w:r>
      <w:r>
        <w:rPr>
          <w:rFonts w:hint="eastAsia" w:ascii="宋体" w:hAnsi="宋体"/>
          <w:color w:val="auto"/>
          <w:szCs w:val="21"/>
          <w:highlight w:val="none"/>
          <w:lang w:eastAsia="zh-CN"/>
        </w:rPr>
        <w:t>，</w:t>
      </w:r>
      <w:r>
        <w:rPr>
          <w:rFonts w:hint="eastAsia" w:ascii="宋体" w:hAnsi="宋体"/>
          <w:b/>
          <w:color w:val="auto"/>
          <w:szCs w:val="44"/>
          <w:highlight w:val="none"/>
        </w:rPr>
        <w:t>合格打“√”，不合格打“×”，不合格的应详细注明理由</w:t>
      </w:r>
      <w:r>
        <w:rPr>
          <w:rFonts w:hint="eastAsia" w:ascii="宋体" w:hAnsi="宋体"/>
          <w:color w:val="auto"/>
          <w:szCs w:val="21"/>
          <w:highlight w:val="none"/>
        </w:rPr>
        <w:t>。</w:t>
      </w:r>
    </w:p>
    <w:p>
      <w:pPr>
        <w:rPr>
          <w:rFonts w:hint="eastAsia" w:ascii="宋体" w:hAnsi="宋体"/>
          <w:color w:val="auto"/>
          <w:szCs w:val="44"/>
          <w:highlight w:val="none"/>
        </w:rPr>
      </w:pPr>
    </w:p>
    <w:p>
      <w:pPr>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 xml:space="preserve">： </w:t>
      </w: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rPr>
        <w:t>：</w:t>
      </w:r>
    </w:p>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jc w:val="right"/>
        <w:rPr>
          <w:rFonts w:hint="eastAsia" w:ascii="宋体" w:hAnsi="宋体"/>
          <w:color w:val="auto"/>
          <w:szCs w:val="44"/>
          <w:highlight w:val="none"/>
        </w:rPr>
      </w:pPr>
      <w:r>
        <w:rPr>
          <w:rFonts w:hint="eastAsia" w:ascii="宋体" w:hAnsi="宋体"/>
          <w:color w:val="auto"/>
          <w:szCs w:val="44"/>
          <w:highlight w:val="none"/>
        </w:rPr>
        <w:t>日期：        年     月     日</w:t>
      </w:r>
    </w:p>
    <w:p>
      <w:pPr>
        <w:jc w:val="left"/>
        <w:rPr>
          <w:rFonts w:hint="eastAsia" w:ascii="宋体" w:hAnsi="宋体"/>
          <w:color w:val="auto"/>
          <w:sz w:val="24"/>
          <w:highlight w:val="none"/>
          <w:lang w:eastAsia="zh-CN"/>
        </w:rPr>
      </w:pPr>
      <w:r>
        <w:rPr>
          <w:rFonts w:hint="eastAsia" w:ascii="宋体" w:hAnsi="宋体"/>
          <w:color w:val="auto"/>
          <w:szCs w:val="44"/>
          <w:highlight w:val="none"/>
        </w:rPr>
        <w:br w:type="page"/>
      </w:r>
      <w:r>
        <w:rPr>
          <w:rFonts w:hint="eastAsia" w:ascii="宋体" w:hAnsi="宋体"/>
          <w:color w:val="auto"/>
          <w:sz w:val="24"/>
          <w:highlight w:val="none"/>
        </w:rPr>
        <w:t>附表</w:t>
      </w:r>
      <w:r>
        <w:rPr>
          <w:rFonts w:hint="eastAsia" w:ascii="宋体" w:hAnsi="宋体"/>
          <w:color w:val="auto"/>
          <w:sz w:val="24"/>
          <w:highlight w:val="none"/>
          <w:lang w:val="en-US" w:eastAsia="zh-CN"/>
        </w:rPr>
        <w:t>2</w:t>
      </w:r>
      <w:r>
        <w:rPr>
          <w:rFonts w:hint="eastAsia" w:ascii="宋体" w:hAnsi="宋体"/>
          <w:color w:val="auto"/>
          <w:sz w:val="24"/>
          <w:highlight w:val="none"/>
        </w:rPr>
        <w:t>：技术标</w:t>
      </w:r>
      <w:r>
        <w:rPr>
          <w:rFonts w:hint="eastAsia" w:ascii="宋体" w:hAnsi="宋体"/>
          <w:color w:val="auto"/>
          <w:sz w:val="24"/>
          <w:highlight w:val="none"/>
          <w:lang w:eastAsia="zh-CN"/>
        </w:rPr>
        <w:t>（评分法）</w:t>
      </w:r>
      <w:r>
        <w:rPr>
          <w:rFonts w:hint="eastAsia" w:ascii="宋体" w:hAnsi="宋体"/>
          <w:color w:val="auto"/>
          <w:sz w:val="24"/>
          <w:highlight w:val="none"/>
        </w:rPr>
        <w:t>评审记录汇总表</w:t>
      </w:r>
      <w:r>
        <w:rPr>
          <w:rFonts w:hint="eastAsia" w:ascii="宋体" w:hAnsi="宋体"/>
          <w:color w:val="auto"/>
          <w:sz w:val="24"/>
          <w:highlight w:val="none"/>
          <w:lang w:eastAsia="zh-CN"/>
        </w:rPr>
        <w:t>（参考格式）</w:t>
      </w:r>
    </w:p>
    <w:p>
      <w:pPr>
        <w:jc w:val="left"/>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技术标</w:t>
      </w:r>
      <w:r>
        <w:rPr>
          <w:rFonts w:hint="eastAsia" w:ascii="宋体" w:hAnsi="宋体" w:eastAsia="宋体" w:cs="宋体"/>
          <w:b/>
          <w:bCs/>
          <w:color w:val="auto"/>
          <w:sz w:val="32"/>
          <w:szCs w:val="32"/>
          <w:highlight w:val="none"/>
          <w:lang w:eastAsia="zh-CN"/>
        </w:rPr>
        <w:t>（评分法）</w:t>
      </w:r>
      <w:r>
        <w:rPr>
          <w:rFonts w:hint="eastAsia" w:ascii="宋体" w:hAnsi="宋体" w:eastAsia="宋体" w:cs="宋体"/>
          <w:b/>
          <w:bCs/>
          <w:color w:val="auto"/>
          <w:sz w:val="32"/>
          <w:szCs w:val="32"/>
          <w:highlight w:val="none"/>
        </w:rPr>
        <w:t>评审记录汇总表</w:t>
      </w:r>
    </w:p>
    <w:p>
      <w:pPr>
        <w:spacing w:before="240" w:beforeLines="100" w:after="120" w:afterLines="50"/>
        <w:rPr>
          <w:rFonts w:hint="eastAsia" w:ascii="宋体" w:hAnsi="宋体"/>
          <w:color w:val="auto"/>
          <w:szCs w:val="44"/>
          <w:highlight w:val="none"/>
        </w:rPr>
      </w:pPr>
      <w:r>
        <w:rPr>
          <w:rFonts w:hint="eastAsia" w:ascii="宋体" w:hAnsi="宋体"/>
          <w:color w:val="auto"/>
          <w:szCs w:val="44"/>
          <w:highlight w:val="none"/>
          <w:lang w:val="en-US" w:eastAsia="zh-CN"/>
        </w:rPr>
        <w:t>项目</w:t>
      </w:r>
      <w:r>
        <w:rPr>
          <w:rFonts w:hint="eastAsia" w:ascii="宋体" w:hAnsi="宋体"/>
          <w:color w:val="auto"/>
          <w:szCs w:val="44"/>
          <w:highlight w:val="none"/>
        </w:rPr>
        <w:t>名称：</w:t>
      </w:r>
    </w:p>
    <w:tbl>
      <w:tblPr>
        <w:tblStyle w:val="4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383"/>
        <w:gridCol w:w="1256"/>
        <w:gridCol w:w="1200"/>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3383"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投标单位名称</w:t>
            </w:r>
          </w:p>
        </w:tc>
        <w:tc>
          <w:tcPr>
            <w:tcW w:w="1256"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最高分</w:t>
            </w:r>
          </w:p>
        </w:tc>
        <w:tc>
          <w:tcPr>
            <w:tcW w:w="120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最低分</w:t>
            </w:r>
          </w:p>
        </w:tc>
        <w:tc>
          <w:tcPr>
            <w:tcW w:w="2644" w:type="dxa"/>
            <w:noWrap w:val="0"/>
            <w:vAlign w:val="center"/>
          </w:tcPr>
          <w:p>
            <w:pPr>
              <w:widowControl/>
              <w:jc w:val="center"/>
              <w:rPr>
                <w:rFonts w:hint="eastAsia" w:ascii="宋体" w:hAnsi="宋体" w:eastAsia="宋体" w:cs="宋体"/>
                <w:b/>
                <w:bCs/>
                <w:kern w:val="0"/>
                <w:sz w:val="20"/>
                <w:szCs w:val="20"/>
                <w:highlight w:val="none"/>
                <w:lang w:eastAsia="zh-CN"/>
              </w:rPr>
            </w:pPr>
            <w:r>
              <w:rPr>
                <w:rFonts w:hint="eastAsia" w:ascii="宋体" w:hAnsi="宋体" w:cs="宋体"/>
                <w:b/>
                <w:bCs/>
                <w:kern w:val="0"/>
                <w:sz w:val="20"/>
                <w:szCs w:val="20"/>
                <w:highlight w:val="none"/>
                <w:lang w:eastAsia="zh-CN"/>
              </w:rPr>
              <w:t>技术标评审得分</w:t>
            </w:r>
          </w:p>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lang w:eastAsia="zh-CN"/>
              </w:rPr>
              <w:t>（</w:t>
            </w:r>
            <w:r>
              <w:rPr>
                <w:rFonts w:hint="eastAsia" w:ascii="宋体" w:hAnsi="宋体" w:cs="宋体"/>
                <w:b/>
                <w:bCs/>
                <w:kern w:val="0"/>
                <w:sz w:val="20"/>
                <w:szCs w:val="20"/>
                <w:highlight w:val="none"/>
              </w:rPr>
              <w:t>去掉一个最高分和一个最低分后的算术平均数</w:t>
            </w:r>
            <w:r>
              <w:rPr>
                <w:rFonts w:hint="eastAsia" w:ascii="宋体" w:hAnsi="宋体" w:cs="宋体"/>
                <w:b/>
                <w:bCs/>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1</w:t>
            </w:r>
          </w:p>
        </w:tc>
        <w:tc>
          <w:tcPr>
            <w:tcW w:w="3383" w:type="dxa"/>
            <w:noWrap/>
            <w:vAlign w:val="center"/>
          </w:tcPr>
          <w:p>
            <w:pPr>
              <w:widowControl/>
              <w:tabs>
                <w:tab w:val="center" w:pos="1643"/>
                <w:tab w:val="left" w:pos="2401"/>
              </w:tabs>
              <w:jc w:val="center"/>
              <w:rPr>
                <w:rFonts w:hint="eastAsia" w:ascii="宋体" w:hAnsi="宋体" w:eastAsia="仿宋" w:cs="宋体"/>
                <w:kern w:val="0"/>
                <w:sz w:val="20"/>
                <w:szCs w:val="20"/>
                <w:highlight w:val="none"/>
                <w:lang w:eastAsia="zh-CN"/>
              </w:rPr>
            </w:pPr>
            <w:r>
              <w:rPr>
                <w:rFonts w:hint="eastAsia" w:ascii="仿宋" w:hAnsi="仿宋" w:eastAsia="仿宋" w:cs="仿宋"/>
                <w:color w:val="auto"/>
                <w:szCs w:val="21"/>
                <w:highlight w:val="none"/>
              </w:rPr>
              <w:t>……</w:t>
            </w:r>
          </w:p>
        </w:tc>
        <w:tc>
          <w:tcPr>
            <w:tcW w:w="1256" w:type="dxa"/>
            <w:noWrap w:val="0"/>
            <w:vAlign w:val="top"/>
          </w:tcPr>
          <w:p>
            <w:pPr>
              <w:widowControl/>
              <w:jc w:val="center"/>
              <w:rPr>
                <w:rFonts w:ascii="宋体" w:hAnsi="宋体" w:cs="宋体"/>
                <w:kern w:val="0"/>
                <w:sz w:val="20"/>
                <w:szCs w:val="20"/>
                <w:highlight w:val="none"/>
              </w:rPr>
            </w:pPr>
          </w:p>
        </w:tc>
        <w:tc>
          <w:tcPr>
            <w:tcW w:w="1200" w:type="dxa"/>
            <w:noWrap w:val="0"/>
            <w:vAlign w:val="top"/>
          </w:tcPr>
          <w:p>
            <w:pPr>
              <w:widowControl/>
              <w:jc w:val="center"/>
              <w:rPr>
                <w:rFonts w:ascii="宋体" w:hAnsi="宋体" w:cs="宋体"/>
                <w:kern w:val="0"/>
                <w:sz w:val="20"/>
                <w:szCs w:val="20"/>
                <w:highlight w:val="none"/>
              </w:rPr>
            </w:pPr>
          </w:p>
        </w:tc>
        <w:tc>
          <w:tcPr>
            <w:tcW w:w="2644" w:type="dxa"/>
            <w:noWrap/>
            <w:vAlign w:val="center"/>
          </w:tcPr>
          <w:p>
            <w:pPr>
              <w:widowControl/>
              <w:jc w:val="center"/>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2</w:t>
            </w:r>
          </w:p>
        </w:tc>
        <w:tc>
          <w:tcPr>
            <w:tcW w:w="3383" w:type="dxa"/>
            <w:noWrap/>
            <w:vAlign w:val="center"/>
          </w:tcPr>
          <w:p>
            <w:pPr>
              <w:widowControl/>
              <w:jc w:val="center"/>
              <w:rPr>
                <w:rFonts w:ascii="宋体" w:hAnsi="宋体" w:cs="宋体"/>
                <w:kern w:val="0"/>
                <w:sz w:val="20"/>
                <w:szCs w:val="20"/>
                <w:highlight w:val="none"/>
              </w:rPr>
            </w:pPr>
          </w:p>
        </w:tc>
        <w:tc>
          <w:tcPr>
            <w:tcW w:w="1256" w:type="dxa"/>
            <w:noWrap w:val="0"/>
            <w:vAlign w:val="top"/>
          </w:tcPr>
          <w:p>
            <w:pPr>
              <w:widowControl/>
              <w:jc w:val="center"/>
              <w:rPr>
                <w:rFonts w:ascii="宋体" w:hAnsi="宋体" w:cs="宋体"/>
                <w:kern w:val="0"/>
                <w:sz w:val="20"/>
                <w:szCs w:val="20"/>
                <w:highlight w:val="none"/>
              </w:rPr>
            </w:pPr>
          </w:p>
        </w:tc>
        <w:tc>
          <w:tcPr>
            <w:tcW w:w="1200" w:type="dxa"/>
            <w:noWrap w:val="0"/>
            <w:vAlign w:val="top"/>
          </w:tcPr>
          <w:p>
            <w:pPr>
              <w:widowControl/>
              <w:jc w:val="center"/>
              <w:rPr>
                <w:rFonts w:ascii="宋体" w:hAnsi="宋体" w:cs="宋体"/>
                <w:kern w:val="0"/>
                <w:sz w:val="20"/>
                <w:szCs w:val="20"/>
                <w:highlight w:val="none"/>
              </w:rPr>
            </w:pPr>
          </w:p>
        </w:tc>
        <w:tc>
          <w:tcPr>
            <w:tcW w:w="2644" w:type="dxa"/>
            <w:noWrap/>
            <w:vAlign w:val="center"/>
          </w:tcPr>
          <w:p>
            <w:pPr>
              <w:widowControl/>
              <w:jc w:val="center"/>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3</w:t>
            </w:r>
          </w:p>
        </w:tc>
        <w:tc>
          <w:tcPr>
            <w:tcW w:w="3383" w:type="dxa"/>
            <w:noWrap/>
            <w:vAlign w:val="center"/>
          </w:tcPr>
          <w:p>
            <w:pPr>
              <w:widowControl/>
              <w:jc w:val="center"/>
              <w:rPr>
                <w:rFonts w:ascii="宋体" w:hAnsi="宋体" w:cs="宋体"/>
                <w:kern w:val="0"/>
                <w:sz w:val="20"/>
                <w:szCs w:val="20"/>
                <w:highlight w:val="none"/>
              </w:rPr>
            </w:pPr>
          </w:p>
        </w:tc>
        <w:tc>
          <w:tcPr>
            <w:tcW w:w="1256" w:type="dxa"/>
            <w:noWrap w:val="0"/>
            <w:vAlign w:val="top"/>
          </w:tcPr>
          <w:p>
            <w:pPr>
              <w:widowControl/>
              <w:jc w:val="center"/>
              <w:rPr>
                <w:rFonts w:ascii="宋体" w:hAnsi="宋体" w:cs="宋体"/>
                <w:kern w:val="0"/>
                <w:sz w:val="20"/>
                <w:szCs w:val="20"/>
                <w:highlight w:val="none"/>
              </w:rPr>
            </w:pPr>
          </w:p>
        </w:tc>
        <w:tc>
          <w:tcPr>
            <w:tcW w:w="1200" w:type="dxa"/>
            <w:noWrap w:val="0"/>
            <w:vAlign w:val="top"/>
          </w:tcPr>
          <w:p>
            <w:pPr>
              <w:widowControl/>
              <w:jc w:val="center"/>
              <w:rPr>
                <w:rFonts w:ascii="宋体" w:hAnsi="宋体" w:cs="宋体"/>
                <w:kern w:val="0"/>
                <w:sz w:val="20"/>
                <w:szCs w:val="20"/>
                <w:highlight w:val="none"/>
              </w:rPr>
            </w:pPr>
          </w:p>
        </w:tc>
        <w:tc>
          <w:tcPr>
            <w:tcW w:w="2644" w:type="dxa"/>
            <w:noWrap/>
            <w:vAlign w:val="center"/>
          </w:tcPr>
          <w:p>
            <w:pPr>
              <w:widowControl/>
              <w:jc w:val="center"/>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4</w:t>
            </w:r>
          </w:p>
        </w:tc>
        <w:tc>
          <w:tcPr>
            <w:tcW w:w="3383" w:type="dxa"/>
            <w:noWrap/>
            <w:vAlign w:val="center"/>
          </w:tcPr>
          <w:p>
            <w:pPr>
              <w:widowControl/>
              <w:jc w:val="center"/>
              <w:rPr>
                <w:rFonts w:ascii="宋体" w:hAnsi="宋体" w:cs="宋体"/>
                <w:kern w:val="0"/>
                <w:sz w:val="20"/>
                <w:szCs w:val="20"/>
                <w:highlight w:val="none"/>
              </w:rPr>
            </w:pPr>
          </w:p>
        </w:tc>
        <w:tc>
          <w:tcPr>
            <w:tcW w:w="1256" w:type="dxa"/>
            <w:noWrap w:val="0"/>
            <w:vAlign w:val="top"/>
          </w:tcPr>
          <w:p>
            <w:pPr>
              <w:widowControl/>
              <w:jc w:val="center"/>
              <w:rPr>
                <w:rFonts w:ascii="宋体" w:hAnsi="宋体" w:cs="宋体"/>
                <w:kern w:val="0"/>
                <w:sz w:val="20"/>
                <w:szCs w:val="20"/>
                <w:highlight w:val="none"/>
              </w:rPr>
            </w:pPr>
          </w:p>
        </w:tc>
        <w:tc>
          <w:tcPr>
            <w:tcW w:w="1200" w:type="dxa"/>
            <w:noWrap w:val="0"/>
            <w:vAlign w:val="top"/>
          </w:tcPr>
          <w:p>
            <w:pPr>
              <w:widowControl/>
              <w:jc w:val="center"/>
              <w:rPr>
                <w:rFonts w:ascii="宋体" w:hAnsi="宋体" w:cs="宋体"/>
                <w:kern w:val="0"/>
                <w:sz w:val="20"/>
                <w:szCs w:val="20"/>
                <w:highlight w:val="none"/>
              </w:rPr>
            </w:pPr>
          </w:p>
        </w:tc>
        <w:tc>
          <w:tcPr>
            <w:tcW w:w="2644" w:type="dxa"/>
            <w:noWrap/>
            <w:vAlign w:val="center"/>
          </w:tcPr>
          <w:p>
            <w:pPr>
              <w:widowControl/>
              <w:jc w:val="center"/>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0" w:type="dxa"/>
            <w:noWrap w:val="0"/>
            <w:vAlign w:val="center"/>
          </w:tcPr>
          <w:p>
            <w:pPr>
              <w:widowControl/>
              <w:jc w:val="center"/>
              <w:rPr>
                <w:rFonts w:ascii="宋体" w:hAnsi="宋体" w:cs="宋体"/>
                <w:b/>
                <w:bCs/>
                <w:kern w:val="0"/>
                <w:sz w:val="20"/>
                <w:szCs w:val="20"/>
                <w:highlight w:val="none"/>
              </w:rPr>
            </w:pPr>
            <w:r>
              <w:rPr>
                <w:rFonts w:ascii="宋体" w:hAnsi="宋体" w:cs="宋体"/>
                <w:b/>
                <w:bCs/>
                <w:kern w:val="0"/>
                <w:sz w:val="20"/>
                <w:szCs w:val="20"/>
                <w:highlight w:val="none"/>
              </w:rPr>
              <w:t>…</w:t>
            </w:r>
          </w:p>
        </w:tc>
        <w:tc>
          <w:tcPr>
            <w:tcW w:w="3383" w:type="dxa"/>
            <w:noWrap/>
            <w:vAlign w:val="center"/>
          </w:tcPr>
          <w:p>
            <w:pPr>
              <w:widowControl/>
              <w:jc w:val="center"/>
              <w:rPr>
                <w:rFonts w:ascii="宋体" w:hAnsi="宋体" w:cs="宋体"/>
                <w:kern w:val="0"/>
                <w:sz w:val="20"/>
                <w:szCs w:val="20"/>
                <w:highlight w:val="none"/>
              </w:rPr>
            </w:pPr>
          </w:p>
        </w:tc>
        <w:tc>
          <w:tcPr>
            <w:tcW w:w="1256" w:type="dxa"/>
            <w:noWrap w:val="0"/>
            <w:vAlign w:val="top"/>
          </w:tcPr>
          <w:p>
            <w:pPr>
              <w:widowControl/>
              <w:jc w:val="center"/>
              <w:rPr>
                <w:rFonts w:ascii="宋体" w:hAnsi="宋体" w:cs="宋体"/>
                <w:kern w:val="0"/>
                <w:sz w:val="20"/>
                <w:szCs w:val="20"/>
                <w:highlight w:val="none"/>
              </w:rPr>
            </w:pPr>
          </w:p>
        </w:tc>
        <w:tc>
          <w:tcPr>
            <w:tcW w:w="1200" w:type="dxa"/>
            <w:noWrap w:val="0"/>
            <w:vAlign w:val="top"/>
          </w:tcPr>
          <w:p>
            <w:pPr>
              <w:widowControl/>
              <w:jc w:val="center"/>
              <w:rPr>
                <w:rFonts w:ascii="宋体" w:hAnsi="宋体" w:cs="宋体"/>
                <w:kern w:val="0"/>
                <w:sz w:val="20"/>
                <w:szCs w:val="20"/>
                <w:highlight w:val="none"/>
              </w:rPr>
            </w:pPr>
          </w:p>
        </w:tc>
        <w:tc>
          <w:tcPr>
            <w:tcW w:w="2644" w:type="dxa"/>
            <w:noWrap/>
            <w:vAlign w:val="center"/>
          </w:tcPr>
          <w:p>
            <w:pPr>
              <w:widowControl/>
              <w:jc w:val="center"/>
              <w:rPr>
                <w:rFonts w:ascii="宋体" w:hAnsi="宋体" w:cs="宋体"/>
                <w:kern w:val="0"/>
                <w:sz w:val="20"/>
                <w:szCs w:val="20"/>
                <w:highlight w:val="none"/>
              </w:rPr>
            </w:pPr>
          </w:p>
        </w:tc>
      </w:tr>
    </w:tbl>
    <w:p>
      <w:pPr>
        <w:spacing w:line="360" w:lineRule="auto"/>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 xml:space="preserve">： </w:t>
      </w:r>
    </w:p>
    <w:p>
      <w:pPr>
        <w:spacing w:line="360" w:lineRule="auto"/>
        <w:rPr>
          <w:rFonts w:hint="eastAsia" w:ascii="宋体" w:hAnsi="宋体"/>
          <w:color w:val="auto"/>
          <w:szCs w:val="44"/>
          <w:highlight w:val="none"/>
        </w:rPr>
      </w:pPr>
    </w:p>
    <w:p>
      <w:pPr>
        <w:spacing w:line="360" w:lineRule="auto"/>
        <w:rPr>
          <w:rFonts w:hint="eastAsia" w:ascii="宋体" w:hAnsi="宋体"/>
          <w:color w:val="auto"/>
          <w:szCs w:val="44"/>
          <w:highlight w:val="none"/>
        </w:rPr>
      </w:pPr>
    </w:p>
    <w:p>
      <w:pPr>
        <w:spacing w:line="360" w:lineRule="auto"/>
        <w:rPr>
          <w:rFonts w:hint="eastAsia" w:ascii="宋体" w:hAnsi="宋体"/>
          <w:color w:val="auto"/>
          <w:szCs w:val="4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rPr>
        <w:t>：</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hint="eastAsia" w:ascii="宋体" w:hAnsi="宋体"/>
          <w:color w:val="auto"/>
          <w:sz w:val="24"/>
          <w:highlight w:val="none"/>
        </w:rPr>
      </w:pPr>
    </w:p>
    <w:p>
      <w:pPr>
        <w:spacing w:line="360" w:lineRule="auto"/>
        <w:jc w:val="right"/>
        <w:rPr>
          <w:rFonts w:hint="eastAsia" w:ascii="宋体" w:hAnsi="宋体"/>
          <w:color w:val="auto"/>
          <w:szCs w:val="44"/>
          <w:highlight w:val="none"/>
        </w:rPr>
      </w:pPr>
      <w:r>
        <w:rPr>
          <w:rFonts w:hint="eastAsia" w:ascii="宋体" w:hAnsi="宋体"/>
          <w:color w:val="auto"/>
          <w:szCs w:val="44"/>
          <w:highlight w:val="none"/>
        </w:rPr>
        <w:t>日期：      年    月    日</w:t>
      </w:r>
    </w:p>
    <w:p>
      <w:pPr>
        <w:rPr>
          <w:rFonts w:hint="eastAsia" w:ascii="宋体" w:hAnsi="宋体"/>
          <w:color w:val="auto"/>
          <w:sz w:val="24"/>
          <w:highlight w:val="none"/>
          <w:lang w:eastAsia="zh-CN"/>
        </w:rPr>
      </w:pPr>
      <w:r>
        <w:rPr>
          <w:rFonts w:hint="eastAsia" w:ascii="宋体" w:hAnsi="宋体"/>
          <w:color w:val="auto"/>
          <w:sz w:val="24"/>
          <w:highlight w:val="none"/>
        </w:rPr>
        <w:br w:type="page"/>
      </w:r>
      <w:r>
        <w:rPr>
          <w:rFonts w:hint="eastAsia" w:ascii="宋体" w:hAnsi="宋体"/>
          <w:color w:val="auto"/>
          <w:sz w:val="24"/>
          <w:highlight w:val="none"/>
        </w:rPr>
        <w:t>附表</w:t>
      </w:r>
      <w:r>
        <w:rPr>
          <w:rFonts w:hint="eastAsia" w:ascii="宋体" w:hAnsi="宋体"/>
          <w:color w:val="auto"/>
          <w:sz w:val="24"/>
          <w:highlight w:val="none"/>
          <w:lang w:val="en-US" w:eastAsia="zh-CN"/>
        </w:rPr>
        <w:t>3</w:t>
      </w:r>
      <w:r>
        <w:rPr>
          <w:rFonts w:hint="eastAsia" w:ascii="宋体" w:hAnsi="宋体"/>
          <w:color w:val="auto"/>
          <w:sz w:val="24"/>
          <w:highlight w:val="none"/>
        </w:rPr>
        <w:t>：技术标</w:t>
      </w:r>
      <w:r>
        <w:rPr>
          <w:rFonts w:hint="eastAsia" w:ascii="宋体" w:hAnsi="宋体"/>
          <w:color w:val="auto"/>
          <w:sz w:val="24"/>
          <w:highlight w:val="none"/>
          <w:lang w:eastAsia="zh-CN"/>
        </w:rPr>
        <w:t>（评价法）</w:t>
      </w:r>
      <w:r>
        <w:rPr>
          <w:rFonts w:hint="eastAsia" w:ascii="宋体" w:hAnsi="宋体"/>
          <w:color w:val="auto"/>
          <w:sz w:val="24"/>
          <w:highlight w:val="none"/>
        </w:rPr>
        <w:t>评审记录汇总表</w:t>
      </w:r>
      <w:r>
        <w:rPr>
          <w:rFonts w:hint="eastAsia" w:ascii="宋体" w:hAnsi="宋体"/>
          <w:color w:val="auto"/>
          <w:sz w:val="24"/>
          <w:highlight w:val="none"/>
          <w:lang w:eastAsia="zh-CN"/>
        </w:rPr>
        <w:t>（参考格式）</w:t>
      </w:r>
    </w:p>
    <w:p>
      <w:pPr>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技术标</w:t>
      </w:r>
      <w:r>
        <w:rPr>
          <w:rFonts w:hint="eastAsia" w:ascii="宋体" w:hAnsi="宋体" w:eastAsia="宋体" w:cs="宋体"/>
          <w:b/>
          <w:bCs/>
          <w:color w:val="auto"/>
          <w:sz w:val="32"/>
          <w:szCs w:val="32"/>
          <w:highlight w:val="none"/>
          <w:lang w:eastAsia="zh-CN"/>
        </w:rPr>
        <w:t>（评价法）</w:t>
      </w:r>
      <w:r>
        <w:rPr>
          <w:rFonts w:hint="eastAsia" w:ascii="宋体" w:hAnsi="宋体" w:eastAsia="宋体" w:cs="宋体"/>
          <w:b/>
          <w:bCs/>
          <w:color w:val="auto"/>
          <w:sz w:val="32"/>
          <w:szCs w:val="32"/>
          <w:highlight w:val="none"/>
        </w:rPr>
        <w:t>评审记录汇总表</w:t>
      </w:r>
    </w:p>
    <w:p>
      <w:pPr>
        <w:spacing w:before="240" w:beforeLines="100" w:after="120" w:afterLines="50"/>
        <w:rPr>
          <w:rFonts w:hint="eastAsia" w:ascii="宋体" w:hAnsi="宋体"/>
          <w:color w:val="auto"/>
          <w:szCs w:val="44"/>
          <w:highlight w:val="none"/>
        </w:rPr>
      </w:pPr>
      <w:r>
        <w:rPr>
          <w:rFonts w:hint="eastAsia" w:ascii="宋体" w:hAnsi="宋体"/>
          <w:color w:val="auto"/>
          <w:szCs w:val="44"/>
          <w:highlight w:val="none"/>
          <w:lang w:val="en-US" w:eastAsia="zh-CN"/>
        </w:rPr>
        <w:t>项目</w:t>
      </w:r>
      <w:r>
        <w:rPr>
          <w:rFonts w:hint="eastAsia" w:ascii="宋体" w:hAnsi="宋体"/>
          <w:color w:val="auto"/>
          <w:szCs w:val="44"/>
          <w:highlight w:val="none"/>
        </w:rPr>
        <w:t>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51"/>
        <w:gridCol w:w="1960"/>
        <w:gridCol w:w="2141"/>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2" w:type="dxa"/>
            <w:vMerge w:val="restart"/>
            <w:noWrap w:val="0"/>
            <w:vAlign w:val="center"/>
          </w:tcPr>
          <w:p>
            <w:pPr>
              <w:jc w:val="center"/>
              <w:rPr>
                <w:rFonts w:hint="eastAsia" w:ascii="宋体" w:hAnsi="宋体"/>
                <w:b/>
                <w:color w:val="auto"/>
                <w:szCs w:val="44"/>
                <w:highlight w:val="none"/>
              </w:rPr>
            </w:pPr>
            <w:r>
              <w:rPr>
                <w:rFonts w:hint="eastAsia" w:ascii="宋体" w:hAnsi="宋体"/>
                <w:b/>
                <w:color w:val="auto"/>
                <w:szCs w:val="44"/>
                <w:highlight w:val="none"/>
              </w:rPr>
              <w:t>序号</w:t>
            </w:r>
          </w:p>
        </w:tc>
        <w:tc>
          <w:tcPr>
            <w:tcW w:w="1551" w:type="dxa"/>
            <w:noWrap w:val="0"/>
            <w:vAlign w:val="center"/>
          </w:tcPr>
          <w:p>
            <w:pPr>
              <w:jc w:val="center"/>
              <w:rPr>
                <w:rFonts w:hint="eastAsia" w:ascii="宋体" w:hAnsi="宋体"/>
                <w:b/>
                <w:color w:val="auto"/>
                <w:szCs w:val="44"/>
                <w:highlight w:val="none"/>
              </w:rPr>
            </w:pPr>
            <w:r>
              <w:rPr>
                <w:rFonts w:hint="eastAsia" w:ascii="宋体" w:hAnsi="宋体"/>
                <w:b/>
                <w:color w:val="auto"/>
                <w:szCs w:val="44"/>
                <w:highlight w:val="none"/>
              </w:rPr>
              <w:t>投标人名称</w:t>
            </w:r>
          </w:p>
        </w:tc>
        <w:tc>
          <w:tcPr>
            <w:tcW w:w="6614" w:type="dxa"/>
            <w:gridSpan w:val="3"/>
            <w:noWrap w:val="0"/>
            <w:vAlign w:val="center"/>
          </w:tcPr>
          <w:p>
            <w:pPr>
              <w:jc w:val="center"/>
              <w:rPr>
                <w:rFonts w:hint="eastAsia" w:ascii="宋体" w:hAnsi="宋体"/>
                <w:b/>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2" w:type="dxa"/>
            <w:vMerge w:val="continue"/>
            <w:noWrap w:val="0"/>
            <w:vAlign w:val="center"/>
          </w:tcPr>
          <w:p>
            <w:pPr>
              <w:jc w:val="center"/>
              <w:rPr>
                <w:rFonts w:hint="eastAsia" w:ascii="宋体" w:hAnsi="宋体"/>
                <w:color w:val="auto"/>
                <w:szCs w:val="44"/>
                <w:highlight w:val="none"/>
              </w:rPr>
            </w:pPr>
          </w:p>
        </w:tc>
        <w:tc>
          <w:tcPr>
            <w:tcW w:w="1551" w:type="dxa"/>
            <w:noWrap w:val="0"/>
            <w:vAlign w:val="center"/>
          </w:tcPr>
          <w:p>
            <w:pPr>
              <w:jc w:val="center"/>
              <w:rPr>
                <w:rFonts w:hint="eastAsia" w:ascii="宋体" w:hAnsi="宋体"/>
                <w:b/>
                <w:color w:val="auto"/>
                <w:szCs w:val="44"/>
                <w:highlight w:val="none"/>
              </w:rPr>
            </w:pPr>
            <w:r>
              <w:rPr>
                <w:rFonts w:hint="eastAsia" w:ascii="宋体" w:hAnsi="宋体"/>
                <w:b/>
                <w:color w:val="auto"/>
                <w:szCs w:val="44"/>
                <w:highlight w:val="none"/>
              </w:rPr>
              <w:t>评审因素</w:t>
            </w:r>
          </w:p>
        </w:tc>
        <w:tc>
          <w:tcPr>
            <w:tcW w:w="1960" w:type="dxa"/>
            <w:noWrap w:val="0"/>
            <w:vAlign w:val="center"/>
          </w:tcPr>
          <w:p>
            <w:pPr>
              <w:jc w:val="center"/>
              <w:rPr>
                <w:rFonts w:hint="eastAsia" w:ascii="宋体" w:hAnsi="宋体"/>
                <w:b/>
                <w:color w:val="auto"/>
                <w:szCs w:val="44"/>
                <w:highlight w:val="none"/>
              </w:rPr>
            </w:pPr>
            <w:r>
              <w:rPr>
                <w:rFonts w:hint="eastAsia" w:ascii="宋体" w:hAnsi="宋体"/>
                <w:b/>
                <w:color w:val="auto"/>
                <w:szCs w:val="44"/>
                <w:highlight w:val="none"/>
              </w:rPr>
              <w:t>评审</w:t>
            </w:r>
            <w:r>
              <w:rPr>
                <w:rFonts w:ascii="宋体" w:hAnsi="宋体"/>
                <w:b/>
                <w:color w:val="auto"/>
                <w:szCs w:val="44"/>
                <w:highlight w:val="none"/>
              </w:rPr>
              <w:t>标准</w:t>
            </w:r>
          </w:p>
        </w:tc>
        <w:tc>
          <w:tcPr>
            <w:tcW w:w="2141" w:type="dxa"/>
            <w:noWrap w:val="0"/>
            <w:vAlign w:val="center"/>
          </w:tcPr>
          <w:p>
            <w:pPr>
              <w:widowControl/>
              <w:adjustRightInd w:val="0"/>
              <w:snapToGrid w:val="0"/>
              <w:ind w:left="21" w:lef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优点汇总</w:t>
            </w:r>
          </w:p>
        </w:tc>
        <w:tc>
          <w:tcPr>
            <w:tcW w:w="2513" w:type="dxa"/>
            <w:noWrap w:val="0"/>
            <w:vAlign w:val="center"/>
          </w:tcPr>
          <w:p>
            <w:pPr>
              <w:widowControl/>
              <w:adjustRightInd w:val="0"/>
              <w:snapToGrid w:val="0"/>
              <w:ind w:left="21" w:lef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存在缺陷或签订合同前</w:t>
            </w:r>
          </w:p>
          <w:p>
            <w:pPr>
              <w:widowControl/>
              <w:adjustRightInd w:val="0"/>
              <w:snapToGrid w:val="0"/>
              <w:ind w:left="21" w:lef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应注意和澄清事项汇总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1</w:t>
            </w:r>
          </w:p>
        </w:tc>
        <w:tc>
          <w:tcPr>
            <w:tcW w:w="1551" w:type="dxa"/>
            <w:noWrap w:val="0"/>
            <w:vAlign w:val="center"/>
          </w:tcPr>
          <w:p>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 ……</w:t>
            </w:r>
          </w:p>
        </w:tc>
        <w:tc>
          <w:tcPr>
            <w:tcW w:w="1960" w:type="dxa"/>
            <w:noWrap w:val="0"/>
            <w:vAlign w:val="center"/>
          </w:tcPr>
          <w:p>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 ……</w:t>
            </w:r>
          </w:p>
        </w:tc>
        <w:tc>
          <w:tcPr>
            <w:tcW w:w="2141" w:type="dxa"/>
            <w:noWrap w:val="0"/>
            <w:vAlign w:val="center"/>
          </w:tcPr>
          <w:p>
            <w:pPr>
              <w:widowControl/>
              <w:adjustRightInd w:val="0"/>
              <w:snapToGrid w:val="0"/>
              <w:ind w:left="21" w:leftChars="10"/>
              <w:jc w:val="center"/>
              <w:rPr>
                <w:rFonts w:hint="eastAsia" w:ascii="黑体" w:hAnsi="黑体" w:eastAsia="黑体" w:cs="黑体"/>
                <w:color w:val="auto"/>
                <w:szCs w:val="21"/>
                <w:highlight w:val="none"/>
              </w:rPr>
            </w:pPr>
          </w:p>
        </w:tc>
        <w:tc>
          <w:tcPr>
            <w:tcW w:w="2513"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2</w:t>
            </w:r>
          </w:p>
        </w:tc>
        <w:tc>
          <w:tcPr>
            <w:tcW w:w="1551" w:type="dxa"/>
            <w:noWrap w:val="0"/>
            <w:vAlign w:val="center"/>
          </w:tcPr>
          <w:p>
            <w:pPr>
              <w:jc w:val="center"/>
              <w:rPr>
                <w:rFonts w:hint="eastAsia" w:ascii="宋体" w:hAnsi="宋体"/>
                <w:color w:val="auto"/>
                <w:szCs w:val="44"/>
                <w:highlight w:val="none"/>
              </w:rPr>
            </w:pPr>
            <w:r>
              <w:rPr>
                <w:rFonts w:hint="eastAsia" w:ascii="宋体" w:hAnsi="宋体"/>
                <w:color w:val="auto"/>
                <w:szCs w:val="21"/>
                <w:highlight w:val="none"/>
              </w:rPr>
              <w:t>…… ……</w:t>
            </w:r>
          </w:p>
        </w:tc>
        <w:tc>
          <w:tcPr>
            <w:tcW w:w="1960" w:type="dxa"/>
            <w:noWrap w:val="0"/>
            <w:vAlign w:val="center"/>
          </w:tcPr>
          <w:p>
            <w:pPr>
              <w:jc w:val="center"/>
              <w:rPr>
                <w:rFonts w:hint="eastAsia" w:ascii="宋体" w:hAnsi="宋体"/>
                <w:color w:val="auto"/>
                <w:szCs w:val="44"/>
                <w:highlight w:val="none"/>
              </w:rPr>
            </w:pPr>
            <w:r>
              <w:rPr>
                <w:rFonts w:hint="eastAsia" w:ascii="宋体" w:hAnsi="宋体"/>
                <w:color w:val="auto"/>
                <w:szCs w:val="21"/>
                <w:highlight w:val="none"/>
              </w:rPr>
              <w:t>…… ……</w:t>
            </w:r>
          </w:p>
        </w:tc>
        <w:tc>
          <w:tcPr>
            <w:tcW w:w="2141" w:type="dxa"/>
            <w:noWrap w:val="0"/>
            <w:vAlign w:val="center"/>
          </w:tcPr>
          <w:p>
            <w:pPr>
              <w:jc w:val="center"/>
              <w:rPr>
                <w:rFonts w:hint="eastAsia" w:ascii="宋体" w:hAnsi="宋体"/>
                <w:color w:val="auto"/>
                <w:szCs w:val="44"/>
                <w:highlight w:val="none"/>
              </w:rPr>
            </w:pPr>
          </w:p>
        </w:tc>
        <w:tc>
          <w:tcPr>
            <w:tcW w:w="2513"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3</w:t>
            </w:r>
          </w:p>
        </w:tc>
        <w:tc>
          <w:tcPr>
            <w:tcW w:w="1551" w:type="dxa"/>
            <w:noWrap w:val="0"/>
            <w:vAlign w:val="center"/>
          </w:tcPr>
          <w:p>
            <w:pPr>
              <w:jc w:val="center"/>
              <w:rPr>
                <w:rFonts w:hint="eastAsia" w:ascii="宋体" w:hAnsi="宋体"/>
                <w:color w:val="auto"/>
                <w:szCs w:val="44"/>
                <w:highlight w:val="none"/>
              </w:rPr>
            </w:pPr>
          </w:p>
        </w:tc>
        <w:tc>
          <w:tcPr>
            <w:tcW w:w="1960" w:type="dxa"/>
            <w:noWrap w:val="0"/>
            <w:vAlign w:val="center"/>
          </w:tcPr>
          <w:p>
            <w:pPr>
              <w:jc w:val="center"/>
              <w:rPr>
                <w:rFonts w:hint="eastAsia" w:ascii="宋体" w:hAnsi="宋体"/>
                <w:color w:val="auto"/>
                <w:szCs w:val="44"/>
                <w:highlight w:val="none"/>
              </w:rPr>
            </w:pPr>
          </w:p>
        </w:tc>
        <w:tc>
          <w:tcPr>
            <w:tcW w:w="2141" w:type="dxa"/>
            <w:noWrap w:val="0"/>
            <w:vAlign w:val="center"/>
          </w:tcPr>
          <w:p>
            <w:pPr>
              <w:jc w:val="center"/>
              <w:rPr>
                <w:rFonts w:hint="eastAsia" w:ascii="宋体" w:hAnsi="宋体"/>
                <w:color w:val="auto"/>
                <w:szCs w:val="44"/>
                <w:highlight w:val="none"/>
              </w:rPr>
            </w:pPr>
          </w:p>
        </w:tc>
        <w:tc>
          <w:tcPr>
            <w:tcW w:w="2513"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dxa"/>
            <w:noWrap w:val="0"/>
            <w:vAlign w:val="center"/>
          </w:tcPr>
          <w:p>
            <w:pPr>
              <w:jc w:val="center"/>
              <w:rPr>
                <w:rFonts w:hint="eastAsia" w:ascii="宋体" w:hAnsi="宋体" w:eastAsia="宋体" w:cs="宋体"/>
                <w:b/>
                <w:bCs/>
                <w:color w:val="auto"/>
                <w:szCs w:val="44"/>
                <w:highlight w:val="none"/>
              </w:rPr>
            </w:pPr>
            <w:r>
              <w:rPr>
                <w:rFonts w:hint="eastAsia" w:ascii="宋体" w:hAnsi="宋体" w:eastAsia="宋体" w:cs="宋体"/>
                <w:b/>
                <w:bCs/>
                <w:color w:val="auto"/>
                <w:szCs w:val="44"/>
                <w:highlight w:val="none"/>
              </w:rPr>
              <w:t>4</w:t>
            </w:r>
          </w:p>
        </w:tc>
        <w:tc>
          <w:tcPr>
            <w:tcW w:w="1551" w:type="dxa"/>
            <w:noWrap w:val="0"/>
            <w:vAlign w:val="center"/>
          </w:tcPr>
          <w:p>
            <w:pPr>
              <w:jc w:val="center"/>
              <w:rPr>
                <w:rFonts w:hint="eastAsia" w:ascii="宋体" w:hAnsi="宋体"/>
                <w:color w:val="auto"/>
                <w:szCs w:val="44"/>
                <w:highlight w:val="none"/>
              </w:rPr>
            </w:pPr>
          </w:p>
        </w:tc>
        <w:tc>
          <w:tcPr>
            <w:tcW w:w="1960" w:type="dxa"/>
            <w:noWrap w:val="0"/>
            <w:vAlign w:val="center"/>
          </w:tcPr>
          <w:p>
            <w:pPr>
              <w:jc w:val="center"/>
              <w:rPr>
                <w:rFonts w:hint="eastAsia" w:ascii="宋体" w:hAnsi="宋体"/>
                <w:color w:val="auto"/>
                <w:szCs w:val="44"/>
                <w:highlight w:val="none"/>
              </w:rPr>
            </w:pPr>
          </w:p>
        </w:tc>
        <w:tc>
          <w:tcPr>
            <w:tcW w:w="2141" w:type="dxa"/>
            <w:noWrap w:val="0"/>
            <w:vAlign w:val="center"/>
          </w:tcPr>
          <w:p>
            <w:pPr>
              <w:jc w:val="center"/>
              <w:rPr>
                <w:rFonts w:hint="eastAsia" w:ascii="宋体" w:hAnsi="宋体"/>
                <w:color w:val="auto"/>
                <w:szCs w:val="44"/>
                <w:highlight w:val="none"/>
              </w:rPr>
            </w:pPr>
          </w:p>
        </w:tc>
        <w:tc>
          <w:tcPr>
            <w:tcW w:w="2513" w:type="dxa"/>
            <w:noWrap w:val="0"/>
            <w:vAlign w:val="center"/>
          </w:tcPr>
          <w:p>
            <w:pPr>
              <w:jc w:val="center"/>
              <w:rPr>
                <w:rFonts w:hint="eastAsia" w:ascii="宋体" w:hAnsi="宋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23" w:type="dxa"/>
            <w:gridSpan w:val="2"/>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综合评审结果</w:t>
            </w:r>
          </w:p>
        </w:tc>
        <w:tc>
          <w:tcPr>
            <w:tcW w:w="6614" w:type="dxa"/>
            <w:gridSpan w:val="3"/>
            <w:noWrap w:val="0"/>
            <w:vAlign w:val="center"/>
          </w:tcPr>
          <w:p>
            <w:pPr>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不合格原因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23" w:type="dxa"/>
            <w:gridSpan w:val="2"/>
            <w:noWrap w:val="0"/>
            <w:vAlign w:val="center"/>
          </w:tcPr>
          <w:p>
            <w:pPr>
              <w:jc w:val="center"/>
              <w:rPr>
                <w:rFonts w:hint="eastAsia" w:ascii="宋体" w:hAnsi="宋体"/>
                <w:b/>
                <w:color w:val="auto"/>
                <w:szCs w:val="44"/>
                <w:highlight w:val="none"/>
              </w:rPr>
            </w:pPr>
            <w:r>
              <w:rPr>
                <w:rFonts w:hint="eastAsia" w:ascii="宋体" w:hAnsi="宋体" w:cs="宋体"/>
                <w:color w:val="auto"/>
                <w:kern w:val="0"/>
                <w:szCs w:val="21"/>
                <w:highlight w:val="none"/>
              </w:rPr>
              <w:t>囗合格 囗不合格</w:t>
            </w:r>
          </w:p>
        </w:tc>
        <w:tc>
          <w:tcPr>
            <w:tcW w:w="6614" w:type="dxa"/>
            <w:gridSpan w:val="3"/>
            <w:noWrap w:val="0"/>
            <w:vAlign w:val="center"/>
          </w:tcPr>
          <w:p>
            <w:pPr>
              <w:rPr>
                <w:rFonts w:hint="eastAsia" w:ascii="宋体" w:hAnsi="宋体"/>
                <w:color w:val="auto"/>
                <w:szCs w:val="44"/>
                <w:highlight w:val="none"/>
              </w:rPr>
            </w:pPr>
          </w:p>
        </w:tc>
      </w:tr>
    </w:tbl>
    <w:p>
      <w:pPr>
        <w:spacing w:before="120" w:beforeLines="50"/>
        <w:rPr>
          <w:rFonts w:ascii="宋体" w:hAnsi="宋体"/>
          <w:color w:val="auto"/>
          <w:szCs w:val="44"/>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highlight w:val="none"/>
        </w:rPr>
      </w:pPr>
      <w:r>
        <w:rPr>
          <w:rFonts w:hint="eastAsia" w:ascii="宋体" w:hAnsi="宋体"/>
          <w:color w:val="auto"/>
          <w:szCs w:val="44"/>
          <w:highlight w:val="none"/>
          <w:lang w:eastAsia="zh-CN"/>
        </w:rPr>
        <w:t>注</w:t>
      </w:r>
      <w:r>
        <w:rPr>
          <w:rFonts w:ascii="宋体" w:hAnsi="宋体"/>
          <w:color w:val="auto"/>
          <w:szCs w:val="44"/>
          <w:highlight w:val="none"/>
        </w:rPr>
        <w:t>：</w:t>
      </w:r>
      <w:r>
        <w:rPr>
          <w:rFonts w:hint="eastAsia" w:ascii="宋体" w:hAnsi="宋体"/>
          <w:color w:val="auto"/>
          <w:szCs w:val="21"/>
          <w:highlight w:val="none"/>
        </w:rPr>
        <w:t>评审结果分为“合格”或“不合格”。</w:t>
      </w:r>
    </w:p>
    <w:p>
      <w:pPr>
        <w:spacing w:line="360" w:lineRule="auto"/>
        <w:rPr>
          <w:rFonts w:ascii="宋体" w:hAnsi="宋体"/>
          <w:color w:val="auto"/>
          <w:szCs w:val="44"/>
          <w:highlight w:val="none"/>
        </w:rPr>
      </w:pPr>
    </w:p>
    <w:p>
      <w:pPr>
        <w:spacing w:line="360" w:lineRule="auto"/>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w:t>
      </w:r>
    </w:p>
    <w:p>
      <w:pPr>
        <w:spacing w:line="360" w:lineRule="auto"/>
        <w:rPr>
          <w:rFonts w:hint="eastAsia" w:ascii="宋体" w:hAnsi="宋体"/>
          <w:color w:val="auto"/>
          <w:szCs w:val="44"/>
          <w:highlight w:val="none"/>
        </w:rPr>
      </w:pPr>
    </w:p>
    <w:p>
      <w:pPr>
        <w:spacing w:line="360" w:lineRule="auto"/>
        <w:rPr>
          <w:rFonts w:hint="eastAsia" w:ascii="宋体" w:hAnsi="宋体"/>
          <w:color w:val="auto"/>
          <w:szCs w:val="4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rPr>
        <w:t>：</w:t>
      </w:r>
    </w:p>
    <w:p>
      <w:pPr>
        <w:rPr>
          <w:rFonts w:ascii="宋体" w:hAnsi="宋体"/>
          <w:color w:val="auto"/>
          <w:szCs w:val="44"/>
          <w:highlight w:val="none"/>
        </w:rPr>
      </w:pPr>
    </w:p>
    <w:p>
      <w:pPr>
        <w:rPr>
          <w:rFonts w:ascii="宋体" w:hAnsi="宋体"/>
          <w:color w:val="auto"/>
          <w:szCs w:val="44"/>
          <w:highlight w:val="none"/>
        </w:rPr>
      </w:pPr>
    </w:p>
    <w:p>
      <w:pPr>
        <w:spacing w:line="360" w:lineRule="auto"/>
        <w:jc w:val="right"/>
        <w:rPr>
          <w:rFonts w:hint="eastAsia" w:ascii="宋体" w:hAnsi="宋体"/>
          <w:color w:val="auto"/>
          <w:szCs w:val="44"/>
          <w:highlight w:val="none"/>
        </w:rPr>
      </w:pPr>
      <w:r>
        <w:rPr>
          <w:rFonts w:hint="eastAsia" w:ascii="宋体" w:hAnsi="宋体"/>
          <w:color w:val="auto"/>
          <w:szCs w:val="44"/>
          <w:highlight w:val="none"/>
        </w:rPr>
        <w:t>日期：      年    月    日</w:t>
      </w:r>
    </w:p>
    <w:p>
      <w:pPr>
        <w:rPr>
          <w:rFonts w:hint="eastAsia" w:ascii="宋体" w:hAnsi="宋体" w:eastAsia="宋体" w:cs="Times New Roman"/>
          <w:color w:val="auto"/>
          <w:sz w:val="24"/>
          <w:szCs w:val="24"/>
          <w:highlight w:val="none"/>
          <w:lang w:val="en-US" w:eastAsia="zh-CN"/>
        </w:rPr>
      </w:pPr>
      <w:r>
        <w:rPr>
          <w:rFonts w:ascii="宋体" w:hAnsi="宋体"/>
          <w:color w:val="auto"/>
          <w:szCs w:val="44"/>
          <w:highlight w:val="none"/>
        </w:rPr>
        <w:br w:type="page"/>
      </w:r>
      <w:r>
        <w:rPr>
          <w:rFonts w:hint="eastAsia" w:ascii="宋体" w:hAnsi="宋体" w:eastAsia="宋体" w:cs="Times New Roman"/>
          <w:color w:val="auto"/>
          <w:sz w:val="24"/>
          <w:szCs w:val="24"/>
          <w:highlight w:val="none"/>
          <w:lang w:eastAsia="zh-CN"/>
        </w:rPr>
        <w:t>附</w:t>
      </w:r>
      <w:r>
        <w:rPr>
          <w:rFonts w:hint="eastAsia" w:ascii="宋体" w:hAnsi="宋体"/>
          <w:color w:val="auto"/>
          <w:sz w:val="24"/>
          <w:highlight w:val="none"/>
        </w:rPr>
        <w:t>表</w:t>
      </w:r>
      <w:r>
        <w:rPr>
          <w:rFonts w:hint="eastAsia" w:ascii="宋体" w:hAnsi="宋体" w:eastAsia="宋体" w:cs="Times New Roman"/>
          <w:color w:val="auto"/>
          <w:sz w:val="24"/>
          <w:szCs w:val="24"/>
          <w:highlight w:val="none"/>
          <w:lang w:val="en-US" w:eastAsia="zh-CN"/>
        </w:rPr>
        <w:t>4：商务标评审记录汇总表（参考格式）</w:t>
      </w:r>
    </w:p>
    <w:p>
      <w:pPr>
        <w:rPr>
          <w:rFonts w:hint="eastAsia" w:ascii="宋体" w:hAnsi="宋体" w:eastAsia="宋体" w:cs="Times New Roman"/>
          <w:color w:val="auto"/>
          <w:sz w:val="24"/>
          <w:szCs w:val="24"/>
          <w:highlight w:val="none"/>
          <w:lang w:val="en-US"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商务</w:t>
      </w:r>
      <w:r>
        <w:rPr>
          <w:rFonts w:hint="eastAsia" w:ascii="宋体" w:hAnsi="宋体" w:eastAsia="宋体" w:cs="宋体"/>
          <w:b/>
          <w:bCs/>
          <w:color w:val="auto"/>
          <w:sz w:val="32"/>
          <w:szCs w:val="32"/>
          <w:highlight w:val="none"/>
        </w:rPr>
        <w:t>标评审记录汇总表</w:t>
      </w:r>
    </w:p>
    <w:p>
      <w:pPr>
        <w:spacing w:before="240" w:beforeLines="100" w:after="120" w:afterLines="50" w:line="240" w:lineRule="auto"/>
        <w:rPr>
          <w:rFonts w:hint="eastAsia" w:ascii="宋体" w:hAnsi="宋体" w:eastAsia="宋体" w:cs="Times New Roman"/>
          <w:color w:val="auto"/>
          <w:szCs w:val="44"/>
          <w:highlight w:val="none"/>
        </w:rPr>
      </w:pPr>
      <w:r>
        <w:rPr>
          <w:rFonts w:hint="eastAsia" w:ascii="宋体" w:hAnsi="宋体" w:eastAsia="宋体" w:cs="Times New Roman"/>
          <w:color w:val="auto"/>
          <w:sz w:val="21"/>
          <w:szCs w:val="44"/>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2154"/>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154" w:type="dxa"/>
            <w:noWrap w:val="0"/>
            <w:vAlign w:val="center"/>
          </w:tcPr>
          <w:p>
            <w:pPr>
              <w:widowControl/>
              <w:jc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评审因素</w:t>
            </w:r>
          </w:p>
        </w:tc>
        <w:tc>
          <w:tcPr>
            <w:tcW w:w="1701" w:type="dxa"/>
            <w:noWrap w:val="0"/>
            <w:vAlign w:val="center"/>
          </w:tcPr>
          <w:p>
            <w:pPr>
              <w:widowControl/>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（企业名称）</w:t>
            </w:r>
          </w:p>
        </w:tc>
        <w:tc>
          <w:tcPr>
            <w:tcW w:w="1701" w:type="dxa"/>
            <w:noWrap w:val="0"/>
            <w:vAlign w:val="center"/>
          </w:tcPr>
          <w:p>
            <w:pPr>
              <w:widowControl/>
              <w:jc w:val="center"/>
              <w:rPr>
                <w:rFonts w:hint="eastAsia" w:ascii="宋体" w:hAnsi="宋体" w:cs="宋体"/>
                <w:color w:val="auto"/>
                <w:kern w:val="0"/>
                <w:sz w:val="20"/>
                <w:szCs w:val="20"/>
                <w:highlight w:val="none"/>
              </w:rPr>
            </w:pPr>
          </w:p>
        </w:tc>
        <w:tc>
          <w:tcPr>
            <w:tcW w:w="1701" w:type="dxa"/>
            <w:noWrap w:val="0"/>
            <w:vAlign w:val="center"/>
          </w:tcPr>
          <w:p>
            <w:pPr>
              <w:widowControl/>
              <w:jc w:val="center"/>
              <w:rPr>
                <w:rFonts w:hint="eastAsia" w:ascii="宋体" w:hAnsi="宋体" w:cs="宋体"/>
                <w:color w:val="auto"/>
                <w:kern w:val="0"/>
                <w:sz w:val="20"/>
                <w:szCs w:val="20"/>
                <w:highlight w:val="none"/>
              </w:rPr>
            </w:pPr>
          </w:p>
        </w:tc>
        <w:tc>
          <w:tcPr>
            <w:tcW w:w="1701" w:type="dxa"/>
            <w:noWrap w:val="0"/>
            <w:vAlign w:val="center"/>
          </w:tcPr>
          <w:p>
            <w:pPr>
              <w:widowControl/>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2154" w:type="dxa"/>
            <w:noWrap/>
            <w:vAlign w:val="center"/>
          </w:tcPr>
          <w:p>
            <w:pPr>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701" w:type="dxa"/>
            <w:noWrap w:val="0"/>
            <w:vAlign w:val="center"/>
          </w:tcPr>
          <w:p>
            <w:pPr>
              <w:widowControl/>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701" w:type="dxa"/>
            <w:noWrap/>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5</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6</w:t>
            </w:r>
          </w:p>
        </w:tc>
        <w:tc>
          <w:tcPr>
            <w:tcW w:w="2154" w:type="dxa"/>
            <w:noWrap/>
            <w:vAlign w:val="center"/>
          </w:tcPr>
          <w:p>
            <w:pPr>
              <w:jc w:val="center"/>
              <w:rPr>
                <w:rFonts w:hint="eastAsia"/>
                <w:color w:val="auto"/>
                <w:szCs w:val="21"/>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bl>
    <w:p>
      <w:pPr>
        <w:rPr>
          <w:rFonts w:hint="eastAsia" w:ascii="宋体" w:hAnsi="宋体"/>
          <w:color w:val="auto"/>
          <w:szCs w:val="21"/>
          <w:highlight w:val="none"/>
        </w:rPr>
      </w:pPr>
    </w:p>
    <w:p>
      <w:pPr>
        <w:rPr>
          <w:rFonts w:hint="eastAsia" w:ascii="宋体" w:hAnsi="宋体"/>
          <w:color w:val="auto"/>
          <w:szCs w:val="21"/>
          <w:highlight w:val="none"/>
        </w:rPr>
      </w:pPr>
    </w:p>
    <w:p>
      <w:pPr>
        <w:tabs>
          <w:tab w:val="left" w:pos="639"/>
        </w:tabs>
        <w:rPr>
          <w:rFonts w:hint="eastAsia" w:ascii="宋体" w:hAnsi="宋体"/>
          <w:color w:val="auto"/>
          <w:szCs w:val="44"/>
          <w:highlight w:val="none"/>
        </w:rPr>
      </w:pPr>
      <w:r>
        <w:rPr>
          <w:rFonts w:hint="eastAsia" w:ascii="宋体" w:hAnsi="宋体"/>
          <w:color w:val="auto"/>
          <w:highlight w:val="none"/>
        </w:rPr>
        <w:t>定标成员签</w:t>
      </w:r>
      <w:r>
        <w:rPr>
          <w:rFonts w:hint="eastAsia" w:ascii="宋体" w:hAnsi="宋体"/>
          <w:color w:val="auto"/>
          <w:highlight w:val="none"/>
          <w:lang w:eastAsia="zh-CN"/>
        </w:rPr>
        <w:t>名</w:t>
      </w:r>
      <w:r>
        <w:rPr>
          <w:rFonts w:hint="eastAsia" w:ascii="宋体" w:hAnsi="宋体"/>
          <w:color w:val="auto"/>
          <w:highlight w:val="none"/>
        </w:rPr>
        <w:t>：</w:t>
      </w: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highlight w:val="none"/>
        </w:rPr>
      </w:pPr>
      <w:r>
        <w:rPr>
          <w:rFonts w:hint="eastAsia" w:ascii="宋体" w:hAnsi="宋体"/>
          <w:color w:val="auto"/>
          <w:highlight w:val="none"/>
        </w:rPr>
        <w:t>招标</w:t>
      </w:r>
      <w:r>
        <w:rPr>
          <w:rFonts w:ascii="宋体" w:hAnsi="宋体"/>
          <w:color w:val="auto"/>
          <w:highlight w:val="none"/>
        </w:rPr>
        <w:t>人监督小组</w:t>
      </w:r>
      <w:r>
        <w:rPr>
          <w:rFonts w:hint="eastAsia" w:ascii="宋体" w:hAnsi="宋体"/>
          <w:color w:val="auto"/>
          <w:highlight w:val="none"/>
          <w:lang w:eastAsia="zh-CN"/>
        </w:rPr>
        <w:t>（如有）签名</w:t>
      </w:r>
      <w:r>
        <w:rPr>
          <w:rFonts w:ascii="宋体" w:hAnsi="宋体"/>
          <w:color w:val="auto"/>
          <w:highlight w:val="none"/>
        </w:rPr>
        <w:t>：</w:t>
      </w:r>
    </w:p>
    <w:p>
      <w:pPr>
        <w:rPr>
          <w:rFonts w:hint="default" w:ascii="宋体" w:hAnsi="宋体"/>
          <w:color w:val="auto"/>
          <w:szCs w:val="44"/>
          <w:highlight w:val="none"/>
          <w:lang w:val="en-US" w:eastAsia="zh-CN"/>
        </w:rPr>
      </w:pPr>
    </w:p>
    <w:p>
      <w:pPr>
        <w:rPr>
          <w:rFonts w:ascii="宋体" w:hAnsi="宋体"/>
          <w:color w:val="auto"/>
          <w:szCs w:val="44"/>
          <w:highlight w:val="none"/>
        </w:rPr>
      </w:pPr>
    </w:p>
    <w:p>
      <w:pPr>
        <w:rPr>
          <w:rFonts w:ascii="宋体" w:hAnsi="宋体"/>
          <w:color w:val="auto"/>
          <w:szCs w:val="44"/>
          <w:highlight w:val="none"/>
        </w:rPr>
      </w:pPr>
    </w:p>
    <w:p>
      <w:pPr>
        <w:rPr>
          <w:rFonts w:ascii="宋体" w:hAnsi="宋体"/>
          <w:color w:val="auto"/>
          <w:szCs w:val="44"/>
          <w:highlight w:val="none"/>
        </w:rPr>
      </w:pPr>
    </w:p>
    <w:p>
      <w:pPr>
        <w:jc w:val="right"/>
        <w:rPr>
          <w:rFonts w:ascii="宋体" w:hAnsi="宋体"/>
          <w:color w:val="auto"/>
          <w:szCs w:val="44"/>
          <w:highlight w:val="none"/>
        </w:rPr>
      </w:pPr>
      <w:r>
        <w:rPr>
          <w:rFonts w:hint="eastAsia" w:ascii="宋体" w:hAnsi="宋体"/>
          <w:color w:val="auto"/>
          <w:szCs w:val="44"/>
          <w:highlight w:val="none"/>
        </w:rPr>
        <w:t>日期：      年    月    日</w:t>
      </w:r>
    </w:p>
    <w:p>
      <w:pPr>
        <w:rPr>
          <w:rFonts w:ascii="宋体" w:hAnsi="宋体"/>
          <w:color w:val="auto"/>
          <w:szCs w:val="44"/>
          <w:highlight w:val="none"/>
        </w:rPr>
      </w:pPr>
    </w:p>
    <w:p>
      <w:pPr>
        <w:rPr>
          <w:rFonts w:hint="eastAsia" w:ascii="宋体" w:hAnsi="宋体"/>
          <w:color w:val="auto"/>
          <w:sz w:val="24"/>
          <w:highlight w:val="none"/>
          <w:lang w:eastAsia="zh-CN"/>
        </w:rPr>
      </w:pPr>
      <w:r>
        <w:rPr>
          <w:rFonts w:hint="eastAsia" w:ascii="宋体" w:hAnsi="宋体"/>
          <w:color w:val="auto"/>
          <w:sz w:val="24"/>
          <w:highlight w:val="none"/>
        </w:rPr>
        <w:br w:type="page"/>
      </w:r>
      <w:r>
        <w:rPr>
          <w:rFonts w:hint="eastAsia" w:ascii="宋体" w:hAnsi="宋体"/>
          <w:color w:val="auto"/>
          <w:sz w:val="24"/>
          <w:highlight w:val="none"/>
        </w:rPr>
        <w:t>附表</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eastAsia="zh-CN"/>
        </w:rPr>
        <w:t>投标报价</w:t>
      </w:r>
      <w:r>
        <w:rPr>
          <w:rFonts w:hint="eastAsia" w:ascii="宋体" w:hAnsi="宋体"/>
          <w:color w:val="auto"/>
          <w:sz w:val="24"/>
          <w:highlight w:val="none"/>
        </w:rPr>
        <w:t>评审记录汇总表</w:t>
      </w:r>
      <w:r>
        <w:rPr>
          <w:rFonts w:hint="eastAsia" w:ascii="宋体" w:hAnsi="宋体"/>
          <w:color w:val="auto"/>
          <w:sz w:val="24"/>
          <w:highlight w:val="none"/>
          <w:lang w:eastAsia="zh-CN"/>
        </w:rPr>
        <w:t>（参考格式）</w:t>
      </w:r>
    </w:p>
    <w:p>
      <w:pPr>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投标报价</w:t>
      </w:r>
      <w:r>
        <w:rPr>
          <w:rFonts w:hint="eastAsia" w:ascii="宋体" w:hAnsi="宋体" w:eastAsia="宋体" w:cs="宋体"/>
          <w:b/>
          <w:bCs/>
          <w:color w:val="auto"/>
          <w:sz w:val="32"/>
          <w:szCs w:val="32"/>
          <w:highlight w:val="none"/>
        </w:rPr>
        <w:t>评审记录汇总表</w:t>
      </w:r>
    </w:p>
    <w:p>
      <w:pPr>
        <w:tabs>
          <w:tab w:val="left" w:pos="11752"/>
        </w:tabs>
        <w:spacing w:before="240" w:beforeLines="100" w:after="120" w:afterLines="50"/>
        <w:jc w:val="left"/>
        <w:rPr>
          <w:rFonts w:ascii="宋体" w:hAnsi="宋体"/>
          <w:color w:val="auto"/>
          <w:szCs w:val="44"/>
          <w:highlight w:val="none"/>
        </w:rPr>
      </w:pPr>
      <w:r>
        <w:rPr>
          <w:rFonts w:hint="eastAsia" w:ascii="宋体" w:hAnsi="宋体"/>
          <w:color w:val="auto"/>
          <w:szCs w:val="44"/>
          <w:highlight w:val="none"/>
          <w:lang w:val="en-US" w:eastAsia="zh-CN"/>
        </w:rPr>
        <w:t>项目</w:t>
      </w:r>
      <w:r>
        <w:rPr>
          <w:rFonts w:hint="eastAsia" w:ascii="宋体" w:hAnsi="宋体"/>
          <w:color w:val="auto"/>
          <w:szCs w:val="44"/>
          <w:highlight w:val="none"/>
        </w:rPr>
        <w:t>名称：</w:t>
      </w:r>
    </w:p>
    <w:tbl>
      <w:tblPr>
        <w:tblStyle w:val="4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2011"/>
        <w:gridCol w:w="1613"/>
        <w:gridCol w:w="1912"/>
        <w:gridCol w:w="163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011"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投标单位</w:t>
            </w:r>
          </w:p>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名称</w:t>
            </w:r>
          </w:p>
        </w:tc>
        <w:tc>
          <w:tcPr>
            <w:tcW w:w="1613"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投标报价</w:t>
            </w:r>
          </w:p>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（元）</w:t>
            </w:r>
          </w:p>
        </w:tc>
        <w:tc>
          <w:tcPr>
            <w:tcW w:w="1912" w:type="dxa"/>
            <w:noWrap w:val="0"/>
            <w:vAlign w:val="center"/>
          </w:tcPr>
          <w:p>
            <w:pPr>
              <w:widowControl/>
              <w:jc w:val="center"/>
              <w:rPr>
                <w:rFonts w:hint="eastAsia" w:ascii="宋体" w:hAnsi="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最高投标限价</w:t>
            </w:r>
          </w:p>
          <w:p>
            <w:pPr>
              <w:widowControl/>
              <w:jc w:val="center"/>
              <w:rPr>
                <w:rFonts w:hint="eastAsia" w:ascii="宋体" w:hAnsi="宋体" w:cs="宋体"/>
                <w:b/>
                <w:bCs/>
                <w:color w:val="auto"/>
                <w:kern w:val="0"/>
                <w:sz w:val="20"/>
                <w:szCs w:val="20"/>
                <w:highlight w:val="none"/>
                <w:lang w:eastAsia="zh-CN"/>
              </w:rPr>
            </w:pPr>
            <w:r>
              <w:rPr>
                <w:rFonts w:hint="eastAsia" w:ascii="宋体" w:hAnsi="宋体" w:cs="宋体"/>
                <w:b/>
                <w:bCs/>
                <w:color w:val="auto"/>
                <w:kern w:val="0"/>
                <w:sz w:val="20"/>
                <w:szCs w:val="20"/>
                <w:highlight w:val="none"/>
              </w:rPr>
              <w:t>（元）</w:t>
            </w:r>
          </w:p>
        </w:tc>
        <w:tc>
          <w:tcPr>
            <w:tcW w:w="1632" w:type="dxa"/>
            <w:noWrap w:val="0"/>
            <w:vAlign w:val="center"/>
          </w:tcPr>
          <w:p>
            <w:pPr>
              <w:widowControl/>
              <w:jc w:val="center"/>
              <w:rPr>
                <w:rFonts w:hint="eastAsia" w:ascii="宋体" w:hAnsi="宋体" w:cs="宋体"/>
                <w:b/>
                <w:bCs/>
                <w:color w:val="auto"/>
                <w:kern w:val="0"/>
                <w:sz w:val="20"/>
                <w:szCs w:val="20"/>
                <w:highlight w:val="none"/>
                <w:lang w:val="en-US" w:eastAsia="zh-CN" w:bidi="ar-SA"/>
              </w:rPr>
            </w:pPr>
            <w:r>
              <w:rPr>
                <w:rFonts w:hint="eastAsia" w:ascii="宋体" w:hAnsi="宋体" w:cs="宋体"/>
                <w:b/>
                <w:bCs/>
                <w:color w:val="auto"/>
                <w:kern w:val="0"/>
                <w:sz w:val="20"/>
                <w:szCs w:val="20"/>
                <w:highlight w:val="none"/>
              </w:rPr>
              <w:t>基准价</w:t>
            </w:r>
          </w:p>
        </w:tc>
        <w:tc>
          <w:tcPr>
            <w:tcW w:w="1762"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投标报价</w:t>
            </w:r>
          </w:p>
          <w:p>
            <w:pPr>
              <w:widowControl/>
              <w:jc w:val="center"/>
              <w:rPr>
                <w:rFonts w:hint="eastAsia" w:ascii="宋体" w:hAnsi="宋体" w:cs="宋体"/>
                <w:b/>
                <w:bCs/>
                <w:color w:val="auto"/>
                <w:kern w:val="0"/>
                <w:sz w:val="20"/>
                <w:szCs w:val="20"/>
                <w:highlight w:val="none"/>
                <w:lang w:val="en-US" w:eastAsia="zh-CN" w:bidi="ar-SA"/>
              </w:rPr>
            </w:pPr>
            <w:r>
              <w:rPr>
                <w:rFonts w:hint="eastAsia" w:ascii="宋体" w:hAnsi="宋体" w:cs="宋体"/>
                <w:b/>
                <w:bCs/>
                <w:color w:val="auto"/>
                <w:kern w:val="0"/>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2011" w:type="dxa"/>
            <w:noWrap/>
            <w:vAlign w:val="center"/>
          </w:tcPr>
          <w:p>
            <w:pPr>
              <w:widowControl/>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613" w:type="dxa"/>
            <w:noWrap w:val="0"/>
            <w:vAlign w:val="center"/>
          </w:tcPr>
          <w:p>
            <w:pPr>
              <w:widowControl/>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912" w:type="dxa"/>
            <w:noWrap/>
            <w:vAlign w:val="center"/>
          </w:tcPr>
          <w:p>
            <w:pPr>
              <w:widowControl/>
              <w:jc w:val="center"/>
              <w:rPr>
                <w:rFonts w:ascii="宋体" w:hAnsi="宋体" w:cs="宋体"/>
                <w:color w:val="auto"/>
                <w:kern w:val="0"/>
                <w:sz w:val="20"/>
                <w:szCs w:val="20"/>
                <w:highlight w:val="none"/>
              </w:rPr>
            </w:pPr>
          </w:p>
        </w:tc>
        <w:tc>
          <w:tcPr>
            <w:tcW w:w="1632" w:type="dxa"/>
            <w:noWrap w:val="0"/>
            <w:vAlign w:val="center"/>
          </w:tcPr>
          <w:p>
            <w:pPr>
              <w:widowControl/>
              <w:jc w:val="center"/>
              <w:rPr>
                <w:rFonts w:ascii="宋体" w:hAnsi="宋体" w:cs="宋体"/>
                <w:color w:val="auto"/>
                <w:kern w:val="0"/>
                <w:sz w:val="20"/>
                <w:szCs w:val="20"/>
                <w:highlight w:val="none"/>
              </w:rPr>
            </w:pPr>
          </w:p>
        </w:tc>
        <w:tc>
          <w:tcPr>
            <w:tcW w:w="176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2011" w:type="dxa"/>
            <w:noWrap/>
            <w:vAlign w:val="center"/>
          </w:tcPr>
          <w:p>
            <w:pPr>
              <w:widowControl/>
              <w:jc w:val="center"/>
              <w:rPr>
                <w:rFonts w:ascii="宋体" w:hAnsi="宋体" w:cs="宋体"/>
                <w:color w:val="auto"/>
                <w:kern w:val="0"/>
                <w:sz w:val="20"/>
                <w:szCs w:val="20"/>
                <w:highlight w:val="none"/>
              </w:rPr>
            </w:pPr>
          </w:p>
        </w:tc>
        <w:tc>
          <w:tcPr>
            <w:tcW w:w="1613" w:type="dxa"/>
            <w:noWrap w:val="0"/>
            <w:vAlign w:val="center"/>
          </w:tcPr>
          <w:p>
            <w:pPr>
              <w:widowControl/>
              <w:jc w:val="center"/>
              <w:rPr>
                <w:rFonts w:ascii="宋体" w:hAnsi="宋体" w:cs="宋体"/>
                <w:color w:val="auto"/>
                <w:kern w:val="0"/>
                <w:sz w:val="20"/>
                <w:szCs w:val="20"/>
                <w:highlight w:val="none"/>
              </w:rPr>
            </w:pPr>
          </w:p>
        </w:tc>
        <w:tc>
          <w:tcPr>
            <w:tcW w:w="1912" w:type="dxa"/>
            <w:noWrap w:val="0"/>
            <w:vAlign w:val="center"/>
          </w:tcPr>
          <w:p>
            <w:pPr>
              <w:widowControl/>
              <w:jc w:val="left"/>
              <w:rPr>
                <w:rFonts w:ascii="宋体" w:hAnsi="宋体" w:cs="宋体"/>
                <w:color w:val="auto"/>
                <w:kern w:val="0"/>
                <w:sz w:val="20"/>
                <w:szCs w:val="20"/>
                <w:highlight w:val="none"/>
              </w:rPr>
            </w:pPr>
          </w:p>
        </w:tc>
        <w:tc>
          <w:tcPr>
            <w:tcW w:w="1632" w:type="dxa"/>
            <w:noWrap w:val="0"/>
            <w:vAlign w:val="center"/>
          </w:tcPr>
          <w:p>
            <w:pPr>
              <w:widowControl/>
              <w:jc w:val="center"/>
              <w:rPr>
                <w:rFonts w:ascii="宋体" w:hAnsi="宋体" w:cs="宋体"/>
                <w:color w:val="auto"/>
                <w:kern w:val="0"/>
                <w:sz w:val="20"/>
                <w:szCs w:val="20"/>
                <w:highlight w:val="none"/>
              </w:rPr>
            </w:pPr>
          </w:p>
        </w:tc>
        <w:tc>
          <w:tcPr>
            <w:tcW w:w="176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2011" w:type="dxa"/>
            <w:noWrap/>
            <w:vAlign w:val="center"/>
          </w:tcPr>
          <w:p>
            <w:pPr>
              <w:widowControl/>
              <w:jc w:val="center"/>
              <w:rPr>
                <w:rFonts w:ascii="宋体" w:hAnsi="宋体" w:cs="宋体"/>
                <w:color w:val="auto"/>
                <w:kern w:val="0"/>
                <w:sz w:val="20"/>
                <w:szCs w:val="20"/>
                <w:highlight w:val="none"/>
              </w:rPr>
            </w:pPr>
          </w:p>
        </w:tc>
        <w:tc>
          <w:tcPr>
            <w:tcW w:w="1613" w:type="dxa"/>
            <w:noWrap w:val="0"/>
            <w:vAlign w:val="center"/>
          </w:tcPr>
          <w:p>
            <w:pPr>
              <w:widowControl/>
              <w:jc w:val="center"/>
              <w:rPr>
                <w:rFonts w:ascii="宋体" w:hAnsi="宋体" w:cs="宋体"/>
                <w:color w:val="auto"/>
                <w:kern w:val="0"/>
                <w:sz w:val="20"/>
                <w:szCs w:val="20"/>
                <w:highlight w:val="none"/>
              </w:rPr>
            </w:pPr>
          </w:p>
        </w:tc>
        <w:tc>
          <w:tcPr>
            <w:tcW w:w="1912" w:type="dxa"/>
            <w:noWrap w:val="0"/>
            <w:vAlign w:val="center"/>
          </w:tcPr>
          <w:p>
            <w:pPr>
              <w:widowControl/>
              <w:jc w:val="left"/>
              <w:rPr>
                <w:rFonts w:ascii="宋体" w:hAnsi="宋体" w:cs="宋体"/>
                <w:color w:val="auto"/>
                <w:kern w:val="0"/>
                <w:sz w:val="20"/>
                <w:szCs w:val="20"/>
                <w:highlight w:val="none"/>
              </w:rPr>
            </w:pPr>
          </w:p>
        </w:tc>
        <w:tc>
          <w:tcPr>
            <w:tcW w:w="1632" w:type="dxa"/>
            <w:noWrap w:val="0"/>
            <w:vAlign w:val="center"/>
          </w:tcPr>
          <w:p>
            <w:pPr>
              <w:widowControl/>
              <w:jc w:val="center"/>
              <w:rPr>
                <w:rFonts w:ascii="宋体" w:hAnsi="宋体" w:cs="宋体"/>
                <w:color w:val="auto"/>
                <w:kern w:val="0"/>
                <w:sz w:val="20"/>
                <w:szCs w:val="20"/>
                <w:highlight w:val="none"/>
              </w:rPr>
            </w:pPr>
          </w:p>
        </w:tc>
        <w:tc>
          <w:tcPr>
            <w:tcW w:w="176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2011" w:type="dxa"/>
            <w:noWrap/>
            <w:vAlign w:val="center"/>
          </w:tcPr>
          <w:p>
            <w:pPr>
              <w:widowControl/>
              <w:jc w:val="center"/>
              <w:rPr>
                <w:rFonts w:ascii="宋体" w:hAnsi="宋体" w:cs="宋体"/>
                <w:color w:val="auto"/>
                <w:kern w:val="0"/>
                <w:sz w:val="20"/>
                <w:szCs w:val="20"/>
                <w:highlight w:val="none"/>
              </w:rPr>
            </w:pPr>
          </w:p>
        </w:tc>
        <w:tc>
          <w:tcPr>
            <w:tcW w:w="1613" w:type="dxa"/>
            <w:noWrap w:val="0"/>
            <w:vAlign w:val="center"/>
          </w:tcPr>
          <w:p>
            <w:pPr>
              <w:widowControl/>
              <w:jc w:val="center"/>
              <w:rPr>
                <w:rFonts w:ascii="宋体" w:hAnsi="宋体" w:cs="宋体"/>
                <w:color w:val="auto"/>
                <w:kern w:val="0"/>
                <w:sz w:val="20"/>
                <w:szCs w:val="20"/>
                <w:highlight w:val="none"/>
              </w:rPr>
            </w:pPr>
          </w:p>
        </w:tc>
        <w:tc>
          <w:tcPr>
            <w:tcW w:w="1912" w:type="dxa"/>
            <w:noWrap w:val="0"/>
            <w:vAlign w:val="center"/>
          </w:tcPr>
          <w:p>
            <w:pPr>
              <w:widowControl/>
              <w:jc w:val="left"/>
              <w:rPr>
                <w:rFonts w:ascii="宋体" w:hAnsi="宋体" w:cs="宋体"/>
                <w:color w:val="auto"/>
                <w:kern w:val="0"/>
                <w:sz w:val="20"/>
                <w:szCs w:val="20"/>
                <w:highlight w:val="none"/>
              </w:rPr>
            </w:pPr>
          </w:p>
        </w:tc>
        <w:tc>
          <w:tcPr>
            <w:tcW w:w="1632" w:type="dxa"/>
            <w:noWrap w:val="0"/>
            <w:vAlign w:val="center"/>
          </w:tcPr>
          <w:p>
            <w:pPr>
              <w:widowControl/>
              <w:jc w:val="center"/>
              <w:rPr>
                <w:rFonts w:ascii="宋体" w:hAnsi="宋体" w:cs="宋体"/>
                <w:color w:val="auto"/>
                <w:kern w:val="0"/>
                <w:sz w:val="20"/>
                <w:szCs w:val="20"/>
                <w:highlight w:val="none"/>
              </w:rPr>
            </w:pPr>
          </w:p>
        </w:tc>
        <w:tc>
          <w:tcPr>
            <w:tcW w:w="176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634" w:type="dxa"/>
            <w:noWrap w:val="0"/>
            <w:vAlign w:val="center"/>
          </w:tcPr>
          <w:p>
            <w:pPr>
              <w:widowControl/>
              <w:jc w:val="center"/>
              <w:rPr>
                <w:rFonts w:ascii="宋体" w:hAnsi="宋体" w:cs="宋体"/>
                <w:b/>
                <w:bCs/>
                <w:color w:val="auto"/>
                <w:kern w:val="0"/>
                <w:sz w:val="20"/>
                <w:szCs w:val="20"/>
                <w:highlight w:val="none"/>
              </w:rPr>
            </w:pPr>
            <w:r>
              <w:rPr>
                <w:rFonts w:ascii="宋体" w:hAnsi="宋体" w:cs="宋体"/>
                <w:b/>
                <w:bCs/>
                <w:color w:val="auto"/>
                <w:kern w:val="0"/>
                <w:sz w:val="20"/>
                <w:szCs w:val="20"/>
                <w:highlight w:val="none"/>
              </w:rPr>
              <w:t>…</w:t>
            </w:r>
          </w:p>
        </w:tc>
        <w:tc>
          <w:tcPr>
            <w:tcW w:w="2011" w:type="dxa"/>
            <w:noWrap/>
            <w:vAlign w:val="center"/>
          </w:tcPr>
          <w:p>
            <w:pPr>
              <w:widowControl/>
              <w:jc w:val="center"/>
              <w:rPr>
                <w:rFonts w:ascii="宋体" w:hAnsi="宋体" w:cs="宋体"/>
                <w:color w:val="auto"/>
                <w:kern w:val="0"/>
                <w:sz w:val="20"/>
                <w:szCs w:val="20"/>
                <w:highlight w:val="none"/>
              </w:rPr>
            </w:pPr>
          </w:p>
        </w:tc>
        <w:tc>
          <w:tcPr>
            <w:tcW w:w="1613" w:type="dxa"/>
            <w:noWrap w:val="0"/>
            <w:vAlign w:val="center"/>
          </w:tcPr>
          <w:p>
            <w:pPr>
              <w:widowControl/>
              <w:jc w:val="center"/>
              <w:rPr>
                <w:rFonts w:ascii="宋体" w:hAnsi="宋体" w:cs="宋体"/>
                <w:color w:val="auto"/>
                <w:kern w:val="0"/>
                <w:sz w:val="20"/>
                <w:szCs w:val="20"/>
                <w:highlight w:val="none"/>
              </w:rPr>
            </w:pPr>
          </w:p>
        </w:tc>
        <w:tc>
          <w:tcPr>
            <w:tcW w:w="1912" w:type="dxa"/>
            <w:noWrap w:val="0"/>
            <w:vAlign w:val="center"/>
          </w:tcPr>
          <w:p>
            <w:pPr>
              <w:widowControl/>
              <w:jc w:val="left"/>
              <w:rPr>
                <w:rFonts w:ascii="宋体" w:hAnsi="宋体" w:cs="宋体"/>
                <w:color w:val="auto"/>
                <w:kern w:val="0"/>
                <w:sz w:val="20"/>
                <w:szCs w:val="20"/>
                <w:highlight w:val="none"/>
              </w:rPr>
            </w:pPr>
          </w:p>
        </w:tc>
        <w:tc>
          <w:tcPr>
            <w:tcW w:w="1632" w:type="dxa"/>
            <w:noWrap w:val="0"/>
            <w:vAlign w:val="center"/>
          </w:tcPr>
          <w:p>
            <w:pPr>
              <w:widowControl/>
              <w:jc w:val="center"/>
              <w:rPr>
                <w:rFonts w:ascii="宋体" w:hAnsi="宋体" w:cs="宋体"/>
                <w:color w:val="auto"/>
                <w:kern w:val="0"/>
                <w:sz w:val="20"/>
                <w:szCs w:val="20"/>
                <w:highlight w:val="none"/>
              </w:rPr>
            </w:pPr>
          </w:p>
        </w:tc>
        <w:tc>
          <w:tcPr>
            <w:tcW w:w="1762" w:type="dxa"/>
            <w:noWrap w:val="0"/>
            <w:vAlign w:val="center"/>
          </w:tcPr>
          <w:p>
            <w:pPr>
              <w:widowControl/>
              <w:jc w:val="center"/>
              <w:rPr>
                <w:rFonts w:ascii="宋体" w:hAnsi="宋体" w:cs="宋体"/>
                <w:color w:val="auto"/>
                <w:kern w:val="0"/>
                <w:sz w:val="20"/>
                <w:szCs w:val="20"/>
                <w:highlight w:val="none"/>
              </w:rPr>
            </w:pPr>
          </w:p>
        </w:tc>
      </w:tr>
    </w:tbl>
    <w:p>
      <w:pPr>
        <w:rPr>
          <w:rFonts w:hint="eastAsia" w:ascii="宋体" w:hAnsi="宋体"/>
          <w:color w:val="auto"/>
          <w:szCs w:val="21"/>
          <w:highlight w:val="none"/>
        </w:rPr>
      </w:pPr>
    </w:p>
    <w:p>
      <w:pPr>
        <w:rPr>
          <w:rFonts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w:t>
      </w: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rPr>
        <w:t>：</w:t>
      </w:r>
    </w:p>
    <w:p>
      <w:pPr>
        <w:rPr>
          <w:rFonts w:hint="eastAsia" w:ascii="宋体" w:hAnsi="宋体"/>
          <w:color w:val="auto"/>
          <w:highlight w:val="none"/>
        </w:rPr>
      </w:pPr>
    </w:p>
    <w:p>
      <w:pPr>
        <w:rPr>
          <w:rFonts w:hint="eastAsia" w:ascii="宋体" w:hAnsi="宋体"/>
          <w:color w:val="auto"/>
          <w:highlight w:val="none"/>
        </w:rPr>
      </w:pPr>
    </w:p>
    <w:p>
      <w:pPr>
        <w:jc w:val="left"/>
        <w:rPr>
          <w:rFonts w:hint="eastAsia" w:ascii="宋体" w:hAnsi="宋体"/>
          <w:color w:val="auto"/>
          <w:sz w:val="24"/>
          <w:highlight w:val="none"/>
          <w:lang w:eastAsia="zh-CN"/>
        </w:rPr>
      </w:pPr>
      <w:r>
        <w:rPr>
          <w:rFonts w:hint="eastAsia" w:ascii="宋体" w:hAnsi="宋体"/>
          <w:color w:val="auto"/>
          <w:szCs w:val="44"/>
          <w:highlight w:val="none"/>
        </w:rPr>
        <w:t>日期：    年    月    日</w:t>
      </w:r>
      <w:r>
        <w:rPr>
          <w:rFonts w:hint="eastAsia" w:ascii="宋体" w:hAnsi="宋体"/>
          <w:color w:val="auto"/>
          <w:sz w:val="24"/>
          <w:highlight w:val="none"/>
        </w:rPr>
        <w:br w:type="page"/>
      </w:r>
      <w:r>
        <w:rPr>
          <w:rFonts w:hint="eastAsia" w:ascii="宋体" w:hAnsi="宋体"/>
          <w:color w:val="auto"/>
          <w:sz w:val="24"/>
          <w:highlight w:val="none"/>
        </w:rPr>
        <w:t>附表</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评标总得分汇总表（参考格式）</w:t>
      </w:r>
    </w:p>
    <w:p>
      <w:pPr>
        <w:jc w:val="left"/>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评标总得分</w:t>
      </w:r>
      <w:r>
        <w:rPr>
          <w:rFonts w:hint="eastAsia" w:ascii="宋体" w:hAnsi="宋体" w:eastAsia="宋体" w:cs="宋体"/>
          <w:b/>
          <w:bCs/>
          <w:color w:val="auto"/>
          <w:sz w:val="32"/>
          <w:szCs w:val="32"/>
          <w:highlight w:val="none"/>
          <w:lang w:eastAsia="zh-CN"/>
        </w:rPr>
        <w:t>汇总表</w:t>
      </w:r>
    </w:p>
    <w:p>
      <w:pPr>
        <w:spacing w:before="240" w:beforeLines="100" w:after="120" w:afterLines="50"/>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名称：</w:t>
      </w:r>
    </w:p>
    <w:tbl>
      <w:tblPr>
        <w:tblStyle w:val="4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0"/>
        <w:gridCol w:w="2739"/>
        <w:gridCol w:w="1127"/>
        <w:gridCol w:w="1273"/>
        <w:gridCol w:w="1309"/>
        <w:gridCol w:w="128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739" w:type="dxa"/>
            <w:noWrap w:val="0"/>
            <w:vAlign w:val="center"/>
          </w:tcPr>
          <w:p>
            <w:pPr>
              <w:widowControl/>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企业名称</w:t>
            </w:r>
          </w:p>
        </w:tc>
        <w:tc>
          <w:tcPr>
            <w:tcW w:w="1127" w:type="dxa"/>
            <w:noWrap w:val="0"/>
            <w:vAlign w:val="center"/>
          </w:tcPr>
          <w:p>
            <w:pPr>
              <w:widowControl/>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技术标评审得分</w:t>
            </w:r>
          </w:p>
        </w:tc>
        <w:tc>
          <w:tcPr>
            <w:tcW w:w="1273" w:type="dxa"/>
            <w:noWrap w:val="0"/>
            <w:vAlign w:val="center"/>
          </w:tcPr>
          <w:p>
            <w:pPr>
              <w:widowControl/>
              <w:jc w:val="center"/>
              <w:rPr>
                <w:rFonts w:hint="eastAsia" w:ascii="宋体" w:hAnsi="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商务标评审得分</w:t>
            </w:r>
          </w:p>
        </w:tc>
        <w:tc>
          <w:tcPr>
            <w:tcW w:w="1309" w:type="dxa"/>
            <w:noWrap w:val="0"/>
            <w:vAlign w:val="center"/>
          </w:tcPr>
          <w:p>
            <w:pPr>
              <w:widowControl/>
              <w:jc w:val="center"/>
              <w:rPr>
                <w:rFonts w:hint="default" w:ascii="宋体" w:hAnsi="宋体" w:cs="宋体"/>
                <w:b/>
                <w:bCs/>
                <w:color w:val="auto"/>
                <w:kern w:val="0"/>
                <w:sz w:val="20"/>
                <w:szCs w:val="20"/>
                <w:highlight w:val="none"/>
                <w:lang w:val="en-US" w:eastAsia="zh-CN" w:bidi="ar-SA"/>
              </w:rPr>
            </w:pPr>
            <w:r>
              <w:rPr>
                <w:rFonts w:hint="eastAsia" w:ascii="宋体" w:hAnsi="宋体" w:cs="宋体"/>
                <w:b/>
                <w:bCs/>
                <w:color w:val="auto"/>
                <w:kern w:val="0"/>
                <w:sz w:val="20"/>
                <w:szCs w:val="20"/>
                <w:highlight w:val="none"/>
                <w:lang w:val="en-US" w:eastAsia="zh-CN" w:bidi="ar-SA"/>
              </w:rPr>
              <w:t>投标报价总得分</w:t>
            </w:r>
          </w:p>
        </w:tc>
        <w:tc>
          <w:tcPr>
            <w:tcW w:w="1282" w:type="dxa"/>
            <w:noWrap w:val="0"/>
            <w:vAlign w:val="center"/>
          </w:tcPr>
          <w:p>
            <w:pPr>
              <w:widowControl/>
              <w:jc w:val="center"/>
              <w:rPr>
                <w:rFonts w:hint="default" w:ascii="宋体" w:hAnsi="宋体" w:cs="宋体"/>
                <w:b/>
                <w:bCs/>
                <w:color w:val="auto"/>
                <w:kern w:val="0"/>
                <w:sz w:val="20"/>
                <w:szCs w:val="20"/>
                <w:highlight w:val="none"/>
                <w:lang w:val="en-US" w:eastAsia="zh-CN" w:bidi="ar-SA"/>
              </w:rPr>
            </w:pPr>
            <w:r>
              <w:rPr>
                <w:rFonts w:hint="eastAsia" w:ascii="宋体" w:hAnsi="宋体" w:cs="宋体"/>
                <w:b/>
                <w:bCs/>
                <w:color w:val="auto"/>
                <w:kern w:val="0"/>
                <w:sz w:val="20"/>
                <w:szCs w:val="20"/>
                <w:highlight w:val="none"/>
                <w:lang w:val="en-US" w:eastAsia="zh-CN" w:bidi="ar-SA"/>
              </w:rPr>
              <w:t>评标总得分</w:t>
            </w:r>
          </w:p>
        </w:tc>
        <w:tc>
          <w:tcPr>
            <w:tcW w:w="1282" w:type="dxa"/>
            <w:noWrap w:val="0"/>
            <w:vAlign w:val="center"/>
          </w:tcPr>
          <w:p>
            <w:pPr>
              <w:widowControl/>
              <w:jc w:val="center"/>
              <w:rPr>
                <w:rFonts w:hint="default" w:ascii="宋体" w:hAnsi="宋体" w:cs="宋体"/>
                <w:b/>
                <w:bCs/>
                <w:color w:val="auto"/>
                <w:kern w:val="0"/>
                <w:sz w:val="20"/>
                <w:szCs w:val="20"/>
                <w:highlight w:val="none"/>
                <w:lang w:val="en-US" w:eastAsia="zh-CN" w:bidi="ar-SA"/>
              </w:rPr>
            </w:pPr>
            <w:r>
              <w:rPr>
                <w:rFonts w:hint="eastAsia" w:ascii="宋体" w:hAnsi="宋体" w:cs="宋体"/>
                <w:b/>
                <w:bCs/>
                <w:color w:val="auto"/>
                <w:kern w:val="0"/>
                <w:sz w:val="20"/>
                <w:szCs w:val="20"/>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2739" w:type="dxa"/>
            <w:noWrap/>
            <w:vAlign w:val="center"/>
          </w:tcPr>
          <w:p>
            <w:pPr>
              <w:widowControl/>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127" w:type="dxa"/>
            <w:noWrap w:val="0"/>
            <w:vAlign w:val="center"/>
          </w:tcPr>
          <w:p>
            <w:pPr>
              <w:widowControl/>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273" w:type="dxa"/>
            <w:noWrap/>
            <w:vAlign w:val="center"/>
          </w:tcPr>
          <w:p>
            <w:pPr>
              <w:widowControl/>
              <w:jc w:val="center"/>
              <w:rPr>
                <w:rFonts w:ascii="宋体" w:hAnsi="宋体" w:cs="宋体"/>
                <w:color w:val="auto"/>
                <w:kern w:val="0"/>
                <w:sz w:val="20"/>
                <w:szCs w:val="20"/>
                <w:highlight w:val="none"/>
              </w:rPr>
            </w:pPr>
          </w:p>
        </w:tc>
        <w:tc>
          <w:tcPr>
            <w:tcW w:w="1309"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2739" w:type="dxa"/>
            <w:noWrap/>
            <w:vAlign w:val="center"/>
          </w:tcPr>
          <w:p>
            <w:pPr>
              <w:widowControl/>
              <w:jc w:val="center"/>
              <w:rPr>
                <w:rFonts w:ascii="宋体" w:hAnsi="宋体" w:cs="宋体"/>
                <w:color w:val="auto"/>
                <w:kern w:val="0"/>
                <w:sz w:val="20"/>
                <w:szCs w:val="20"/>
                <w:highlight w:val="none"/>
              </w:rPr>
            </w:pPr>
          </w:p>
        </w:tc>
        <w:tc>
          <w:tcPr>
            <w:tcW w:w="1127" w:type="dxa"/>
            <w:noWrap w:val="0"/>
            <w:vAlign w:val="center"/>
          </w:tcPr>
          <w:p>
            <w:pPr>
              <w:widowControl/>
              <w:jc w:val="center"/>
              <w:rPr>
                <w:rFonts w:ascii="宋体" w:hAnsi="宋体" w:cs="宋体"/>
                <w:color w:val="auto"/>
                <w:kern w:val="0"/>
                <w:sz w:val="20"/>
                <w:szCs w:val="20"/>
                <w:highlight w:val="none"/>
              </w:rPr>
            </w:pPr>
          </w:p>
        </w:tc>
        <w:tc>
          <w:tcPr>
            <w:tcW w:w="1273" w:type="dxa"/>
            <w:noWrap w:val="0"/>
            <w:vAlign w:val="center"/>
          </w:tcPr>
          <w:p>
            <w:pPr>
              <w:widowControl/>
              <w:jc w:val="left"/>
              <w:rPr>
                <w:rFonts w:ascii="宋体" w:hAnsi="宋体" w:cs="宋体"/>
                <w:color w:val="auto"/>
                <w:kern w:val="0"/>
                <w:sz w:val="20"/>
                <w:szCs w:val="20"/>
                <w:highlight w:val="none"/>
              </w:rPr>
            </w:pPr>
          </w:p>
        </w:tc>
        <w:tc>
          <w:tcPr>
            <w:tcW w:w="1309"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2739" w:type="dxa"/>
            <w:noWrap/>
            <w:vAlign w:val="center"/>
          </w:tcPr>
          <w:p>
            <w:pPr>
              <w:widowControl/>
              <w:jc w:val="center"/>
              <w:rPr>
                <w:rFonts w:ascii="宋体" w:hAnsi="宋体" w:cs="宋体"/>
                <w:color w:val="auto"/>
                <w:kern w:val="0"/>
                <w:sz w:val="20"/>
                <w:szCs w:val="20"/>
                <w:highlight w:val="none"/>
              </w:rPr>
            </w:pPr>
          </w:p>
        </w:tc>
        <w:tc>
          <w:tcPr>
            <w:tcW w:w="1127" w:type="dxa"/>
            <w:noWrap w:val="0"/>
            <w:vAlign w:val="center"/>
          </w:tcPr>
          <w:p>
            <w:pPr>
              <w:widowControl/>
              <w:jc w:val="center"/>
              <w:rPr>
                <w:rFonts w:ascii="宋体" w:hAnsi="宋体" w:cs="宋体"/>
                <w:color w:val="auto"/>
                <w:kern w:val="0"/>
                <w:sz w:val="20"/>
                <w:szCs w:val="20"/>
                <w:highlight w:val="none"/>
              </w:rPr>
            </w:pPr>
          </w:p>
        </w:tc>
        <w:tc>
          <w:tcPr>
            <w:tcW w:w="1273" w:type="dxa"/>
            <w:noWrap w:val="0"/>
            <w:vAlign w:val="center"/>
          </w:tcPr>
          <w:p>
            <w:pPr>
              <w:widowControl/>
              <w:jc w:val="left"/>
              <w:rPr>
                <w:rFonts w:ascii="宋体" w:hAnsi="宋体" w:cs="宋体"/>
                <w:color w:val="auto"/>
                <w:kern w:val="0"/>
                <w:sz w:val="20"/>
                <w:szCs w:val="20"/>
                <w:highlight w:val="none"/>
              </w:rPr>
            </w:pPr>
          </w:p>
        </w:tc>
        <w:tc>
          <w:tcPr>
            <w:tcW w:w="1309"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2739" w:type="dxa"/>
            <w:noWrap/>
            <w:vAlign w:val="center"/>
          </w:tcPr>
          <w:p>
            <w:pPr>
              <w:widowControl/>
              <w:jc w:val="center"/>
              <w:rPr>
                <w:rFonts w:ascii="宋体" w:hAnsi="宋体" w:cs="宋体"/>
                <w:color w:val="auto"/>
                <w:kern w:val="0"/>
                <w:sz w:val="20"/>
                <w:szCs w:val="20"/>
                <w:highlight w:val="none"/>
              </w:rPr>
            </w:pPr>
          </w:p>
        </w:tc>
        <w:tc>
          <w:tcPr>
            <w:tcW w:w="1127" w:type="dxa"/>
            <w:noWrap w:val="0"/>
            <w:vAlign w:val="center"/>
          </w:tcPr>
          <w:p>
            <w:pPr>
              <w:widowControl/>
              <w:jc w:val="center"/>
              <w:rPr>
                <w:rFonts w:ascii="宋体" w:hAnsi="宋体" w:cs="宋体"/>
                <w:color w:val="auto"/>
                <w:kern w:val="0"/>
                <w:sz w:val="20"/>
                <w:szCs w:val="20"/>
                <w:highlight w:val="none"/>
              </w:rPr>
            </w:pPr>
          </w:p>
        </w:tc>
        <w:tc>
          <w:tcPr>
            <w:tcW w:w="1273" w:type="dxa"/>
            <w:noWrap w:val="0"/>
            <w:vAlign w:val="center"/>
          </w:tcPr>
          <w:p>
            <w:pPr>
              <w:widowControl/>
              <w:jc w:val="left"/>
              <w:rPr>
                <w:rFonts w:ascii="宋体" w:hAnsi="宋体" w:cs="宋体"/>
                <w:color w:val="auto"/>
                <w:kern w:val="0"/>
                <w:sz w:val="20"/>
                <w:szCs w:val="20"/>
                <w:highlight w:val="none"/>
              </w:rPr>
            </w:pPr>
          </w:p>
        </w:tc>
        <w:tc>
          <w:tcPr>
            <w:tcW w:w="1309"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20" w:type="dxa"/>
            <w:noWrap w:val="0"/>
            <w:vAlign w:val="center"/>
          </w:tcPr>
          <w:p>
            <w:pPr>
              <w:widowControl/>
              <w:jc w:val="center"/>
              <w:rPr>
                <w:rFonts w:ascii="宋体" w:hAnsi="宋体" w:cs="宋体"/>
                <w:b/>
                <w:bCs/>
                <w:color w:val="auto"/>
                <w:kern w:val="0"/>
                <w:sz w:val="20"/>
                <w:szCs w:val="20"/>
                <w:highlight w:val="none"/>
              </w:rPr>
            </w:pPr>
            <w:r>
              <w:rPr>
                <w:rFonts w:ascii="宋体" w:hAnsi="宋体" w:cs="宋体"/>
                <w:b/>
                <w:bCs/>
                <w:color w:val="auto"/>
                <w:kern w:val="0"/>
                <w:sz w:val="20"/>
                <w:szCs w:val="20"/>
                <w:highlight w:val="none"/>
              </w:rPr>
              <w:t>…</w:t>
            </w:r>
          </w:p>
        </w:tc>
        <w:tc>
          <w:tcPr>
            <w:tcW w:w="2739" w:type="dxa"/>
            <w:noWrap/>
            <w:vAlign w:val="center"/>
          </w:tcPr>
          <w:p>
            <w:pPr>
              <w:widowControl/>
              <w:jc w:val="center"/>
              <w:rPr>
                <w:rFonts w:ascii="宋体" w:hAnsi="宋体" w:cs="宋体"/>
                <w:color w:val="auto"/>
                <w:kern w:val="0"/>
                <w:sz w:val="20"/>
                <w:szCs w:val="20"/>
                <w:highlight w:val="none"/>
              </w:rPr>
            </w:pPr>
          </w:p>
        </w:tc>
        <w:tc>
          <w:tcPr>
            <w:tcW w:w="1127" w:type="dxa"/>
            <w:noWrap w:val="0"/>
            <w:vAlign w:val="center"/>
          </w:tcPr>
          <w:p>
            <w:pPr>
              <w:widowControl/>
              <w:jc w:val="center"/>
              <w:rPr>
                <w:rFonts w:ascii="宋体" w:hAnsi="宋体" w:cs="宋体"/>
                <w:color w:val="auto"/>
                <w:kern w:val="0"/>
                <w:sz w:val="20"/>
                <w:szCs w:val="20"/>
                <w:highlight w:val="none"/>
              </w:rPr>
            </w:pPr>
          </w:p>
        </w:tc>
        <w:tc>
          <w:tcPr>
            <w:tcW w:w="1273" w:type="dxa"/>
            <w:noWrap w:val="0"/>
            <w:vAlign w:val="center"/>
          </w:tcPr>
          <w:p>
            <w:pPr>
              <w:widowControl/>
              <w:jc w:val="left"/>
              <w:rPr>
                <w:rFonts w:ascii="宋体" w:hAnsi="宋体" w:cs="宋体"/>
                <w:color w:val="auto"/>
                <w:kern w:val="0"/>
                <w:sz w:val="20"/>
                <w:szCs w:val="20"/>
                <w:highlight w:val="none"/>
              </w:rPr>
            </w:pPr>
          </w:p>
        </w:tc>
        <w:tc>
          <w:tcPr>
            <w:tcW w:w="1309"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c>
          <w:tcPr>
            <w:tcW w:w="1282" w:type="dxa"/>
            <w:noWrap w:val="0"/>
            <w:vAlign w:val="center"/>
          </w:tcPr>
          <w:p>
            <w:pPr>
              <w:widowControl/>
              <w:jc w:val="center"/>
              <w:rPr>
                <w:rFonts w:ascii="宋体" w:hAnsi="宋体" w:cs="宋体"/>
                <w:color w:val="auto"/>
                <w:kern w:val="0"/>
                <w:sz w:val="20"/>
                <w:szCs w:val="20"/>
                <w:highlight w:val="none"/>
              </w:rPr>
            </w:pPr>
          </w:p>
        </w:tc>
      </w:tr>
    </w:tbl>
    <w:p>
      <w:pPr>
        <w:jc w:val="left"/>
        <w:rPr>
          <w:rFonts w:hint="eastAsia" w:ascii="宋体" w:hAnsi="宋体"/>
          <w:color w:val="auto"/>
          <w:sz w:val="24"/>
          <w:highlight w:val="none"/>
        </w:rPr>
      </w:pPr>
    </w:p>
    <w:p>
      <w:pPr>
        <w:jc w:val="left"/>
        <w:rPr>
          <w:rFonts w:hint="eastAsia" w:ascii="宋体" w:hAnsi="宋体"/>
          <w:color w:val="auto"/>
          <w:sz w:val="24"/>
          <w:highlight w:val="none"/>
        </w:rPr>
      </w:pPr>
    </w:p>
    <w:p>
      <w:pPr>
        <w:spacing w:line="360" w:lineRule="auto"/>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highlight w:val="none"/>
          <w:lang w:eastAsia="zh-CN"/>
        </w:rPr>
        <w:t>名</w:t>
      </w:r>
      <w:r>
        <w:rPr>
          <w:rFonts w:hint="eastAsia" w:ascii="宋体" w:hAnsi="宋体"/>
          <w:color w:val="auto"/>
          <w:szCs w:val="44"/>
          <w:highlight w:val="none"/>
        </w:rPr>
        <w:t>：</w:t>
      </w:r>
    </w:p>
    <w:p>
      <w:pPr>
        <w:rPr>
          <w:rFonts w:ascii="宋体" w:hAnsi="宋体"/>
          <w:color w:val="auto"/>
          <w:sz w:val="24"/>
          <w:highlight w:val="none"/>
        </w:rPr>
      </w:pPr>
    </w:p>
    <w:p>
      <w:pPr>
        <w:rPr>
          <w:rFonts w:ascii="宋体" w:hAnsi="宋体"/>
          <w:color w:val="auto"/>
          <w:sz w:val="2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rPr>
        <w:t>：</w:t>
      </w: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jc w:val="right"/>
        <w:rPr>
          <w:rFonts w:hint="eastAsia" w:ascii="宋体" w:hAnsi="宋体"/>
          <w:color w:val="auto"/>
          <w:szCs w:val="44"/>
          <w:highlight w:val="none"/>
        </w:rPr>
        <w:sectPr>
          <w:pgSz w:w="11906" w:h="16838"/>
          <w:pgMar w:top="850" w:right="1134" w:bottom="850" w:left="1134" w:header="567" w:footer="567" w:gutter="0"/>
          <w:pgBorders w:offsetFrom="page">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color w:val="auto"/>
          <w:szCs w:val="44"/>
          <w:highlight w:val="none"/>
        </w:rPr>
        <w:t>日期：      年    月    日</w:t>
      </w:r>
    </w:p>
    <w:p>
      <w:pPr>
        <w:jc w:val="left"/>
        <w:rPr>
          <w:rFonts w:hint="eastAsia" w:ascii="宋体" w:hAnsi="宋体"/>
          <w:color w:val="auto"/>
          <w:sz w:val="24"/>
          <w:highlight w:val="none"/>
          <w:lang w:eastAsia="zh-CN"/>
        </w:rPr>
      </w:pPr>
      <w:r>
        <w:rPr>
          <w:rFonts w:hint="eastAsia" w:ascii="宋体" w:hAnsi="宋体"/>
          <w:color w:val="auto"/>
          <w:sz w:val="24"/>
          <w:highlight w:val="none"/>
        </w:rPr>
        <w:t>附表</w:t>
      </w:r>
      <w:r>
        <w:rPr>
          <w:rFonts w:hint="eastAsia" w:ascii="宋体" w:hAnsi="宋体"/>
          <w:color w:val="auto"/>
          <w:sz w:val="24"/>
          <w:highlight w:val="none"/>
          <w:lang w:val="en-US" w:eastAsia="zh-CN"/>
        </w:rPr>
        <w:t>7</w:t>
      </w:r>
      <w:r>
        <w:rPr>
          <w:rFonts w:hint="eastAsia" w:ascii="宋体" w:hAnsi="宋体"/>
          <w:color w:val="auto"/>
          <w:sz w:val="24"/>
          <w:highlight w:val="none"/>
        </w:rPr>
        <w:t>：定标候选人情况</w:t>
      </w:r>
      <w:r>
        <w:rPr>
          <w:rFonts w:ascii="宋体" w:hAnsi="宋体"/>
          <w:color w:val="auto"/>
          <w:sz w:val="24"/>
          <w:highlight w:val="none"/>
        </w:rPr>
        <w:t>汇总</w:t>
      </w:r>
      <w:r>
        <w:rPr>
          <w:rFonts w:hint="eastAsia" w:ascii="宋体" w:hAnsi="宋体"/>
          <w:color w:val="auto"/>
          <w:sz w:val="24"/>
          <w:highlight w:val="none"/>
        </w:rPr>
        <w:t>表</w:t>
      </w:r>
      <w:r>
        <w:rPr>
          <w:rFonts w:hint="eastAsia" w:ascii="宋体" w:hAnsi="宋体"/>
          <w:color w:val="auto"/>
          <w:sz w:val="24"/>
          <w:highlight w:val="none"/>
          <w:lang w:eastAsia="zh-CN"/>
        </w:rPr>
        <w:t>（参考格式）</w:t>
      </w:r>
    </w:p>
    <w:p>
      <w:pPr>
        <w:jc w:val="left"/>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定标候选人情况汇总表</w:t>
      </w:r>
    </w:p>
    <w:p>
      <w:pPr>
        <w:spacing w:before="240" w:beforeLines="100" w:after="120" w:afterLines="50"/>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3272"/>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vMerge w:val="restart"/>
            <w:noWrap w:val="0"/>
            <w:vAlign w:val="center"/>
          </w:tcPr>
          <w:p>
            <w:pPr>
              <w:jc w:val="center"/>
              <w:rPr>
                <w:rFonts w:hint="eastAsia"/>
                <w:b/>
                <w:color w:val="auto"/>
                <w:szCs w:val="44"/>
                <w:highlight w:val="none"/>
              </w:rPr>
            </w:pPr>
            <w:r>
              <w:rPr>
                <w:rFonts w:hint="eastAsia"/>
                <w:b/>
                <w:color w:val="auto"/>
                <w:sz w:val="20"/>
                <w:szCs w:val="20"/>
                <w:highlight w:val="none"/>
              </w:rPr>
              <w:t>投标单位名称</w:t>
            </w:r>
          </w:p>
        </w:tc>
        <w:tc>
          <w:tcPr>
            <w:tcW w:w="6545" w:type="dxa"/>
            <w:gridSpan w:val="2"/>
            <w:noWrap w:val="0"/>
            <w:vAlign w:val="center"/>
          </w:tcPr>
          <w:p>
            <w:pPr>
              <w:jc w:val="center"/>
              <w:rPr>
                <w:rFonts w:hint="eastAsia"/>
                <w:b/>
                <w:color w:val="auto"/>
                <w:szCs w:val="44"/>
                <w:highlight w:val="none"/>
              </w:rPr>
            </w:pPr>
            <w:r>
              <w:rPr>
                <w:rFonts w:hint="eastAsia"/>
                <w:b/>
                <w:color w:val="auto"/>
                <w:szCs w:val="44"/>
                <w:highlight w:val="none"/>
              </w:rPr>
              <w:t>技术综合评审意见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vMerge w:val="continue"/>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b/>
                <w:bCs/>
                <w:color w:val="auto"/>
                <w:kern w:val="2"/>
                <w:sz w:val="21"/>
                <w:szCs w:val="24"/>
                <w:highlight w:val="none"/>
                <w:lang w:val="en-US" w:eastAsia="zh-CN" w:bidi="ar-SA"/>
              </w:rPr>
            </w:pPr>
            <w:r>
              <w:rPr>
                <w:rFonts w:hint="eastAsia"/>
                <w:b/>
                <w:bCs/>
                <w:color w:val="auto"/>
                <w:highlight w:val="none"/>
              </w:rPr>
              <w:t>优点汇总</w:t>
            </w:r>
          </w:p>
        </w:tc>
        <w:tc>
          <w:tcPr>
            <w:tcW w:w="3273" w:type="dxa"/>
            <w:noWrap w:val="0"/>
            <w:vAlign w:val="center"/>
          </w:tcPr>
          <w:p>
            <w:pPr>
              <w:jc w:val="center"/>
              <w:rPr>
                <w:rFonts w:hint="eastAsia"/>
                <w:b/>
                <w:bCs/>
                <w:color w:val="auto"/>
                <w:kern w:val="2"/>
                <w:sz w:val="21"/>
                <w:szCs w:val="24"/>
                <w:highlight w:val="none"/>
                <w:lang w:val="en-US" w:eastAsia="zh-CN" w:bidi="ar-SA"/>
              </w:rPr>
            </w:pPr>
            <w:r>
              <w:rPr>
                <w:rFonts w:hint="eastAsia"/>
                <w:b/>
                <w:bCs/>
                <w:color w:val="auto"/>
                <w:highlight w:val="none"/>
              </w:rPr>
              <w:t>存在缺陷或签订合同前应注意和澄清事项汇总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r>
              <w:rPr>
                <w:rFonts w:hint="eastAsia" w:ascii="仿宋" w:hAnsi="仿宋" w:eastAsia="仿宋" w:cs="仿宋"/>
                <w:color w:val="auto"/>
                <w:szCs w:val="21"/>
                <w:highlight w:val="none"/>
              </w:rPr>
              <w:t>……</w:t>
            </w:r>
          </w:p>
        </w:tc>
        <w:tc>
          <w:tcPr>
            <w:tcW w:w="3272" w:type="dxa"/>
            <w:noWrap w:val="0"/>
            <w:vAlign w:val="center"/>
          </w:tcPr>
          <w:p>
            <w:pPr>
              <w:jc w:val="center"/>
              <w:rPr>
                <w:rFonts w:hint="eastAsia" w:ascii="黑体" w:eastAsia="黑体"/>
                <w:color w:val="auto"/>
                <w:szCs w:val="44"/>
                <w:highlight w:val="none"/>
              </w:rPr>
            </w:pPr>
            <w:r>
              <w:rPr>
                <w:rFonts w:hint="eastAsia" w:ascii="仿宋" w:hAnsi="仿宋" w:eastAsia="仿宋" w:cs="仿宋"/>
                <w:color w:val="auto"/>
                <w:szCs w:val="21"/>
                <w:highlight w:val="none"/>
              </w:rPr>
              <w:t>……</w:t>
            </w: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5" w:type="dxa"/>
            <w:noWrap w:val="0"/>
            <w:vAlign w:val="center"/>
          </w:tcPr>
          <w:p>
            <w:pPr>
              <w:jc w:val="center"/>
              <w:rPr>
                <w:rFonts w:hint="eastAsia" w:ascii="黑体" w:eastAsia="黑体"/>
                <w:color w:val="auto"/>
                <w:szCs w:val="44"/>
                <w:highlight w:val="none"/>
              </w:rPr>
            </w:pPr>
          </w:p>
        </w:tc>
        <w:tc>
          <w:tcPr>
            <w:tcW w:w="3272" w:type="dxa"/>
            <w:noWrap w:val="0"/>
            <w:vAlign w:val="center"/>
          </w:tcPr>
          <w:p>
            <w:pPr>
              <w:jc w:val="center"/>
              <w:rPr>
                <w:rFonts w:hint="eastAsia" w:ascii="黑体" w:eastAsia="黑体"/>
                <w:color w:val="auto"/>
                <w:szCs w:val="44"/>
                <w:highlight w:val="none"/>
              </w:rPr>
            </w:pPr>
          </w:p>
        </w:tc>
        <w:tc>
          <w:tcPr>
            <w:tcW w:w="3273" w:type="dxa"/>
            <w:noWrap w:val="0"/>
            <w:vAlign w:val="center"/>
          </w:tcPr>
          <w:p>
            <w:pPr>
              <w:jc w:val="center"/>
              <w:rPr>
                <w:rFonts w:hint="eastAsia" w:ascii="黑体" w:eastAsia="黑体"/>
                <w:color w:val="auto"/>
                <w:szCs w:val="44"/>
                <w:highlight w:val="none"/>
              </w:rPr>
            </w:pPr>
          </w:p>
        </w:tc>
      </w:tr>
    </w:tbl>
    <w:p>
      <w:pPr>
        <w:spacing w:before="120" w:beforeLines="50"/>
        <w:rPr>
          <w:rFonts w:hint="eastAsia" w:ascii="宋体" w:hAnsi="宋体"/>
          <w:color w:val="auto"/>
          <w:szCs w:val="44"/>
          <w:highlight w:val="none"/>
        </w:rPr>
      </w:pPr>
      <w:r>
        <w:rPr>
          <w:rFonts w:hint="eastAsia" w:ascii="宋体" w:hAnsi="宋体"/>
          <w:color w:val="auto"/>
          <w:szCs w:val="44"/>
          <w:highlight w:val="none"/>
          <w:lang w:eastAsia="zh-CN"/>
        </w:rPr>
        <w:t>注</w:t>
      </w:r>
      <w:r>
        <w:rPr>
          <w:rFonts w:ascii="宋体" w:hAnsi="宋体"/>
          <w:color w:val="auto"/>
          <w:szCs w:val="44"/>
          <w:highlight w:val="none"/>
        </w:rPr>
        <w:t>：</w:t>
      </w:r>
      <w:r>
        <w:rPr>
          <w:rFonts w:hint="eastAsia" w:ascii="宋体" w:hAnsi="宋体"/>
          <w:color w:val="auto"/>
          <w:szCs w:val="44"/>
          <w:highlight w:val="none"/>
        </w:rPr>
        <w:t>本表只汇总记录进入定标环节候选人的评审意见，定标候选</w:t>
      </w:r>
      <w:r>
        <w:rPr>
          <w:rFonts w:ascii="宋体" w:hAnsi="宋体"/>
          <w:color w:val="auto"/>
          <w:szCs w:val="44"/>
          <w:highlight w:val="none"/>
        </w:rPr>
        <w:t>人排</w:t>
      </w:r>
      <w:r>
        <w:rPr>
          <w:rFonts w:hint="eastAsia" w:ascii="宋体" w:hAnsi="宋体"/>
          <w:color w:val="auto"/>
          <w:szCs w:val="44"/>
          <w:highlight w:val="none"/>
        </w:rPr>
        <w:t>序</w:t>
      </w:r>
      <w:r>
        <w:rPr>
          <w:rFonts w:ascii="宋体" w:hAnsi="宋体"/>
          <w:color w:val="auto"/>
          <w:szCs w:val="44"/>
          <w:highlight w:val="none"/>
        </w:rPr>
        <w:t>不分先后</w:t>
      </w:r>
      <w:r>
        <w:rPr>
          <w:rFonts w:hint="eastAsia" w:ascii="宋体" w:hAnsi="宋体"/>
          <w:color w:val="auto"/>
          <w:szCs w:val="44"/>
          <w:highlight w:val="none"/>
        </w:rPr>
        <w:t>。</w:t>
      </w:r>
    </w:p>
    <w:p>
      <w:pPr>
        <w:tabs>
          <w:tab w:val="left" w:pos="2219"/>
        </w:tabs>
        <w:spacing w:line="360" w:lineRule="auto"/>
        <w:rPr>
          <w:rFonts w:hint="eastAsia" w:ascii="黑体" w:hAnsi="宋体" w:eastAsia="黑体"/>
          <w:color w:val="auto"/>
          <w:highlight w:val="none"/>
        </w:rPr>
      </w:pPr>
    </w:p>
    <w:p>
      <w:pPr>
        <w:spacing w:line="360" w:lineRule="auto"/>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w:t>
      </w:r>
    </w:p>
    <w:p>
      <w:pPr>
        <w:rPr>
          <w:rFonts w:ascii="宋体" w:hAnsi="宋体"/>
          <w:color w:val="auto"/>
          <w:sz w:val="24"/>
          <w:highlight w:val="none"/>
        </w:rPr>
      </w:pPr>
    </w:p>
    <w:p>
      <w:pPr>
        <w:rPr>
          <w:rFonts w:ascii="宋体" w:hAnsi="宋体"/>
          <w:color w:val="auto"/>
          <w:sz w:val="24"/>
          <w:highlight w:val="none"/>
        </w:rPr>
      </w:pPr>
    </w:p>
    <w:p>
      <w:pPr>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rPr>
        <w:t>：</w:t>
      </w: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rPr>
          <w:rFonts w:hint="eastAsia" w:ascii="宋体" w:hAnsi="宋体"/>
          <w:color w:val="auto"/>
          <w:szCs w:val="44"/>
          <w:highlight w:val="none"/>
        </w:rPr>
      </w:pPr>
    </w:p>
    <w:p>
      <w:pPr>
        <w:jc w:val="right"/>
        <w:rPr>
          <w:rFonts w:hint="eastAsia" w:ascii="宋体" w:hAnsi="宋体"/>
          <w:color w:val="auto"/>
          <w:szCs w:val="44"/>
          <w:highlight w:val="none"/>
        </w:rPr>
        <w:sectPr>
          <w:pgSz w:w="11906" w:h="16838"/>
          <w:pgMar w:top="850" w:right="1134" w:bottom="850" w:left="1134" w:header="567" w:footer="567" w:gutter="0"/>
          <w:pgBorders w:offsetFrom="page">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color w:val="auto"/>
          <w:szCs w:val="44"/>
          <w:highlight w:val="none"/>
        </w:rPr>
        <w:t>日期：      年    月    日</w:t>
      </w:r>
    </w:p>
    <w:p>
      <w:pPr>
        <w:rPr>
          <w:rFonts w:hint="eastAsia" w:ascii="宋体" w:hAnsi="宋体"/>
          <w:color w:val="auto"/>
          <w:sz w:val="24"/>
          <w:highlight w:val="none"/>
        </w:rPr>
      </w:pPr>
      <w:r>
        <w:rPr>
          <w:rFonts w:hint="eastAsia" w:ascii="宋体" w:hAnsi="宋体"/>
          <w:color w:val="auto"/>
          <w:sz w:val="24"/>
          <w:highlight w:val="none"/>
        </w:rPr>
        <w:t>附表</w:t>
      </w:r>
      <w:r>
        <w:rPr>
          <w:rFonts w:hint="eastAsia" w:ascii="宋体" w:hAnsi="宋体"/>
          <w:color w:val="auto"/>
          <w:sz w:val="24"/>
          <w:highlight w:val="none"/>
          <w:lang w:val="en-US" w:eastAsia="zh-CN"/>
        </w:rPr>
        <w:t>8</w:t>
      </w:r>
      <w:r>
        <w:rPr>
          <w:rFonts w:hint="eastAsia" w:ascii="宋体" w:hAnsi="宋体"/>
          <w:color w:val="auto"/>
          <w:sz w:val="24"/>
          <w:highlight w:val="none"/>
        </w:rPr>
        <w:t>：投标文件注册人员核查表</w:t>
      </w:r>
    </w:p>
    <w:p>
      <w:pPr>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投标文件注册人员核查表</w:t>
      </w:r>
    </w:p>
    <w:p>
      <w:pPr>
        <w:spacing w:line="360" w:lineRule="auto"/>
        <w:rPr>
          <w:rFonts w:hint="eastAsia" w:ascii="仿宋_GB2312" w:eastAsia="仿宋_GB2312"/>
          <w:color w:val="auto"/>
          <w:highlight w:val="none"/>
        </w:rPr>
      </w:pPr>
    </w:p>
    <w:tbl>
      <w:tblPr>
        <w:tblStyle w:val="42"/>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3"/>
        <w:gridCol w:w="637"/>
        <w:gridCol w:w="738"/>
        <w:gridCol w:w="737"/>
        <w:gridCol w:w="836"/>
        <w:gridCol w:w="717"/>
        <w:gridCol w:w="950"/>
        <w:gridCol w:w="783"/>
        <w:gridCol w:w="850"/>
        <w:gridCol w:w="800"/>
        <w:gridCol w:w="967"/>
        <w:gridCol w:w="93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433"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637"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t>投标单位</w:t>
            </w:r>
          </w:p>
        </w:tc>
        <w:tc>
          <w:tcPr>
            <w:tcW w:w="3978" w:type="dxa"/>
            <w:gridSpan w:val="5"/>
            <w:noWrap w:val="0"/>
            <w:vAlign w:val="center"/>
          </w:tcPr>
          <w:p>
            <w:pPr>
              <w:ind w:firstLine="105" w:firstLineChars="50"/>
              <w:jc w:val="center"/>
              <w:rPr>
                <w:rFonts w:hint="eastAsia" w:ascii="宋体" w:hAnsi="宋体"/>
                <w:b/>
                <w:color w:val="auto"/>
                <w:highlight w:val="none"/>
              </w:rPr>
            </w:pPr>
            <w:r>
              <w:rPr>
                <w:rFonts w:hint="eastAsia" w:ascii="宋体" w:hAnsi="宋体"/>
                <w:b/>
                <w:color w:val="auto"/>
                <w:highlight w:val="none"/>
              </w:rPr>
              <w:t>注册建造师</w:t>
            </w:r>
          </w:p>
        </w:tc>
        <w:tc>
          <w:tcPr>
            <w:tcW w:w="783"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t>核查情况</w:t>
            </w:r>
          </w:p>
        </w:tc>
        <w:tc>
          <w:tcPr>
            <w:tcW w:w="3550" w:type="dxa"/>
            <w:gridSpan w:val="4"/>
            <w:noWrap w:val="0"/>
            <w:vAlign w:val="center"/>
          </w:tcPr>
          <w:p>
            <w:pPr>
              <w:jc w:val="center"/>
              <w:rPr>
                <w:rFonts w:hint="eastAsia" w:ascii="宋体" w:hAnsi="宋体"/>
                <w:b/>
                <w:color w:val="auto"/>
                <w:highlight w:val="none"/>
              </w:rPr>
            </w:pPr>
            <w:r>
              <w:rPr>
                <w:rFonts w:hint="eastAsia" w:ascii="宋体" w:hAnsi="宋体"/>
                <w:b/>
                <w:color w:val="auto"/>
                <w:highlight w:val="none"/>
              </w:rPr>
              <w:t>注册造价工程师</w:t>
            </w:r>
          </w:p>
        </w:tc>
        <w:tc>
          <w:tcPr>
            <w:tcW w:w="750"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433" w:type="dxa"/>
            <w:vMerge w:val="continue"/>
            <w:noWrap w:val="0"/>
            <w:vAlign w:val="top"/>
          </w:tcPr>
          <w:p>
            <w:pPr>
              <w:jc w:val="center"/>
              <w:rPr>
                <w:rFonts w:hint="eastAsia" w:ascii="宋体" w:hAnsi="宋体"/>
                <w:b/>
                <w:color w:val="auto"/>
                <w:highlight w:val="none"/>
              </w:rPr>
            </w:pPr>
          </w:p>
        </w:tc>
        <w:tc>
          <w:tcPr>
            <w:tcW w:w="637" w:type="dxa"/>
            <w:vMerge w:val="continue"/>
            <w:noWrap w:val="0"/>
            <w:vAlign w:val="top"/>
          </w:tcPr>
          <w:p>
            <w:pPr>
              <w:jc w:val="center"/>
              <w:rPr>
                <w:rFonts w:hint="eastAsia" w:ascii="宋体" w:hAnsi="宋体"/>
                <w:b/>
                <w:color w:val="auto"/>
                <w:highlight w:val="none"/>
              </w:rPr>
            </w:pPr>
          </w:p>
        </w:tc>
        <w:tc>
          <w:tcPr>
            <w:tcW w:w="738" w:type="dxa"/>
            <w:noWrap w:val="0"/>
            <w:vAlign w:val="center"/>
          </w:tcPr>
          <w:p>
            <w:pPr>
              <w:jc w:val="center"/>
              <w:rPr>
                <w:rFonts w:hint="eastAsia" w:ascii="宋体" w:hAnsi="宋体"/>
                <w:b/>
                <w:color w:val="auto"/>
                <w:highlight w:val="none"/>
              </w:rPr>
            </w:pPr>
            <w:r>
              <w:rPr>
                <w:rFonts w:hint="eastAsia" w:ascii="宋体" w:hAnsi="宋体"/>
                <w:b/>
                <w:color w:val="auto"/>
                <w:highlight w:val="none"/>
              </w:rPr>
              <w:t>姓名</w:t>
            </w:r>
          </w:p>
        </w:tc>
        <w:tc>
          <w:tcPr>
            <w:tcW w:w="737" w:type="dxa"/>
            <w:noWrap w:val="0"/>
            <w:vAlign w:val="center"/>
          </w:tcPr>
          <w:p>
            <w:pPr>
              <w:jc w:val="center"/>
              <w:rPr>
                <w:rFonts w:hint="eastAsia" w:ascii="宋体" w:hAnsi="宋体"/>
                <w:b/>
                <w:color w:val="auto"/>
                <w:highlight w:val="none"/>
              </w:rPr>
            </w:pPr>
            <w:r>
              <w:rPr>
                <w:rFonts w:hint="eastAsia" w:ascii="宋体" w:hAnsi="宋体"/>
                <w:b/>
                <w:color w:val="auto"/>
                <w:highlight w:val="none"/>
              </w:rPr>
              <w:t>聘用单位</w:t>
            </w:r>
          </w:p>
        </w:tc>
        <w:tc>
          <w:tcPr>
            <w:tcW w:w="836" w:type="dxa"/>
            <w:noWrap w:val="0"/>
            <w:vAlign w:val="center"/>
          </w:tcPr>
          <w:p>
            <w:pPr>
              <w:jc w:val="center"/>
              <w:rPr>
                <w:rFonts w:hint="eastAsia" w:ascii="宋体" w:hAnsi="宋体"/>
                <w:b/>
                <w:color w:val="auto"/>
                <w:highlight w:val="none"/>
              </w:rPr>
            </w:pPr>
            <w:r>
              <w:rPr>
                <w:rFonts w:hint="eastAsia" w:ascii="宋体" w:hAnsi="宋体"/>
                <w:b/>
                <w:color w:val="auto"/>
                <w:highlight w:val="none"/>
              </w:rPr>
              <w:t>证书有效期</w:t>
            </w:r>
          </w:p>
        </w:tc>
        <w:tc>
          <w:tcPr>
            <w:tcW w:w="717" w:type="dxa"/>
            <w:noWrap w:val="0"/>
            <w:vAlign w:val="center"/>
          </w:tcPr>
          <w:p>
            <w:pPr>
              <w:jc w:val="center"/>
              <w:rPr>
                <w:rFonts w:hint="eastAsia" w:ascii="宋体" w:hAnsi="宋体"/>
                <w:b/>
                <w:color w:val="auto"/>
                <w:highlight w:val="none"/>
              </w:rPr>
            </w:pPr>
            <w:r>
              <w:rPr>
                <w:rFonts w:hint="eastAsia" w:ascii="宋体" w:hAnsi="宋体"/>
                <w:b/>
                <w:color w:val="auto"/>
                <w:highlight w:val="none"/>
              </w:rPr>
              <w:t>证号</w:t>
            </w:r>
          </w:p>
        </w:tc>
        <w:tc>
          <w:tcPr>
            <w:tcW w:w="950" w:type="dxa"/>
            <w:noWrap w:val="0"/>
            <w:vAlign w:val="center"/>
          </w:tcPr>
          <w:p>
            <w:pPr>
              <w:jc w:val="center"/>
              <w:rPr>
                <w:rFonts w:hint="eastAsia" w:ascii="宋体" w:hAnsi="宋体"/>
                <w:b/>
                <w:color w:val="auto"/>
                <w:highlight w:val="none"/>
              </w:rPr>
            </w:pPr>
            <w:r>
              <w:rPr>
                <w:rFonts w:hint="eastAsia" w:ascii="宋体" w:hAnsi="宋体"/>
                <w:b/>
                <w:color w:val="auto"/>
                <w:highlight w:val="none"/>
              </w:rPr>
              <w:t>项目锁定情况</w:t>
            </w:r>
          </w:p>
        </w:tc>
        <w:tc>
          <w:tcPr>
            <w:tcW w:w="783" w:type="dxa"/>
            <w:vMerge w:val="continue"/>
            <w:noWrap w:val="0"/>
            <w:vAlign w:val="top"/>
          </w:tcPr>
          <w:p>
            <w:pPr>
              <w:jc w:val="center"/>
              <w:rPr>
                <w:rFonts w:hint="eastAsia" w:ascii="宋体" w:hAnsi="宋体"/>
                <w:b/>
                <w:color w:val="auto"/>
                <w:highlight w:val="none"/>
              </w:rPr>
            </w:pPr>
          </w:p>
        </w:tc>
        <w:tc>
          <w:tcPr>
            <w:tcW w:w="850" w:type="dxa"/>
            <w:noWrap w:val="0"/>
            <w:vAlign w:val="center"/>
          </w:tcPr>
          <w:p>
            <w:pPr>
              <w:jc w:val="center"/>
              <w:rPr>
                <w:rFonts w:hint="eastAsia" w:ascii="宋体" w:hAnsi="宋体"/>
                <w:b/>
                <w:color w:val="auto"/>
                <w:highlight w:val="none"/>
              </w:rPr>
            </w:pPr>
            <w:r>
              <w:rPr>
                <w:rFonts w:hint="eastAsia" w:ascii="宋体" w:hAnsi="宋体"/>
                <w:b/>
                <w:color w:val="auto"/>
                <w:highlight w:val="none"/>
              </w:rPr>
              <w:t>姓名</w:t>
            </w:r>
          </w:p>
        </w:tc>
        <w:tc>
          <w:tcPr>
            <w:tcW w:w="800" w:type="dxa"/>
            <w:noWrap w:val="0"/>
            <w:vAlign w:val="center"/>
          </w:tcPr>
          <w:p>
            <w:pPr>
              <w:jc w:val="center"/>
              <w:rPr>
                <w:rFonts w:hint="eastAsia" w:ascii="宋体" w:hAnsi="宋体"/>
                <w:b/>
                <w:color w:val="auto"/>
                <w:highlight w:val="none"/>
              </w:rPr>
            </w:pPr>
            <w:r>
              <w:rPr>
                <w:rFonts w:hint="eastAsia" w:ascii="宋体" w:hAnsi="宋体"/>
                <w:b/>
                <w:color w:val="auto"/>
                <w:highlight w:val="none"/>
              </w:rPr>
              <w:t>聘用单位</w:t>
            </w:r>
          </w:p>
        </w:tc>
        <w:tc>
          <w:tcPr>
            <w:tcW w:w="967" w:type="dxa"/>
            <w:noWrap w:val="0"/>
            <w:vAlign w:val="center"/>
          </w:tcPr>
          <w:p>
            <w:pPr>
              <w:jc w:val="center"/>
              <w:rPr>
                <w:rFonts w:hint="eastAsia" w:ascii="宋体" w:hAnsi="宋体"/>
                <w:b/>
                <w:color w:val="auto"/>
                <w:highlight w:val="none"/>
              </w:rPr>
            </w:pPr>
            <w:r>
              <w:rPr>
                <w:rFonts w:hint="eastAsia" w:ascii="宋体" w:hAnsi="宋体"/>
                <w:b/>
                <w:color w:val="auto"/>
                <w:highlight w:val="none"/>
              </w:rPr>
              <w:t>证书有效期</w:t>
            </w:r>
          </w:p>
        </w:tc>
        <w:tc>
          <w:tcPr>
            <w:tcW w:w="933" w:type="dxa"/>
            <w:noWrap w:val="0"/>
            <w:vAlign w:val="center"/>
          </w:tcPr>
          <w:p>
            <w:pPr>
              <w:jc w:val="center"/>
              <w:rPr>
                <w:rFonts w:hint="eastAsia" w:ascii="宋体" w:hAnsi="宋体"/>
                <w:b/>
                <w:color w:val="auto"/>
                <w:highlight w:val="none"/>
              </w:rPr>
            </w:pPr>
            <w:r>
              <w:rPr>
                <w:rFonts w:hint="eastAsia" w:ascii="宋体" w:hAnsi="宋体"/>
                <w:b/>
                <w:color w:val="auto"/>
                <w:highlight w:val="none"/>
              </w:rPr>
              <w:t>证号</w:t>
            </w:r>
          </w:p>
        </w:tc>
        <w:tc>
          <w:tcPr>
            <w:tcW w:w="750" w:type="dxa"/>
            <w:vMerge w:val="continue"/>
            <w:noWrap w:val="0"/>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3" w:type="dxa"/>
            <w:noWrap w:val="0"/>
            <w:vAlign w:val="top"/>
          </w:tcPr>
          <w:p>
            <w:pPr>
              <w:spacing w:line="360" w:lineRule="auto"/>
              <w:rPr>
                <w:rFonts w:hint="eastAsia" w:ascii="黑体" w:eastAsia="黑体"/>
                <w:color w:val="auto"/>
                <w:highlight w:val="none"/>
              </w:rPr>
            </w:pPr>
          </w:p>
        </w:tc>
        <w:tc>
          <w:tcPr>
            <w:tcW w:w="637" w:type="dxa"/>
            <w:noWrap w:val="0"/>
            <w:vAlign w:val="center"/>
          </w:tcPr>
          <w:p>
            <w:pPr>
              <w:spacing w:line="360" w:lineRule="auto"/>
              <w:jc w:val="center"/>
              <w:rPr>
                <w:rFonts w:hint="eastAsia" w:ascii="黑体" w:eastAsia="黑体"/>
                <w:color w:val="auto"/>
                <w:highlight w:val="none"/>
              </w:rPr>
            </w:pPr>
            <w:r>
              <w:rPr>
                <w:rFonts w:hint="eastAsia" w:ascii="仿宋" w:hAnsi="仿宋" w:eastAsia="仿宋" w:cs="仿宋"/>
                <w:color w:val="auto"/>
                <w:szCs w:val="21"/>
                <w:highlight w:val="none"/>
              </w:rPr>
              <w:t>……</w:t>
            </w:r>
          </w:p>
        </w:tc>
        <w:tc>
          <w:tcPr>
            <w:tcW w:w="738" w:type="dxa"/>
            <w:noWrap w:val="0"/>
            <w:vAlign w:val="top"/>
          </w:tcPr>
          <w:p>
            <w:pPr>
              <w:spacing w:line="360" w:lineRule="auto"/>
              <w:rPr>
                <w:rFonts w:hint="eastAsia" w:ascii="黑体" w:eastAsia="黑体"/>
                <w:color w:val="auto"/>
                <w:highlight w:val="none"/>
              </w:rPr>
            </w:pPr>
          </w:p>
        </w:tc>
        <w:tc>
          <w:tcPr>
            <w:tcW w:w="737" w:type="dxa"/>
            <w:noWrap w:val="0"/>
            <w:vAlign w:val="top"/>
          </w:tcPr>
          <w:p>
            <w:pPr>
              <w:spacing w:line="360" w:lineRule="auto"/>
              <w:rPr>
                <w:rFonts w:hint="eastAsia" w:ascii="黑体" w:eastAsia="黑体"/>
                <w:color w:val="auto"/>
                <w:highlight w:val="none"/>
              </w:rPr>
            </w:pPr>
          </w:p>
        </w:tc>
        <w:tc>
          <w:tcPr>
            <w:tcW w:w="836" w:type="dxa"/>
            <w:noWrap w:val="0"/>
            <w:vAlign w:val="top"/>
          </w:tcPr>
          <w:p>
            <w:pPr>
              <w:spacing w:line="360" w:lineRule="auto"/>
              <w:rPr>
                <w:rFonts w:hint="eastAsia" w:ascii="黑体" w:eastAsia="黑体"/>
                <w:color w:val="auto"/>
                <w:highlight w:val="none"/>
              </w:rPr>
            </w:pPr>
          </w:p>
        </w:tc>
        <w:tc>
          <w:tcPr>
            <w:tcW w:w="717" w:type="dxa"/>
            <w:noWrap w:val="0"/>
            <w:vAlign w:val="top"/>
          </w:tcPr>
          <w:p>
            <w:pPr>
              <w:spacing w:line="360" w:lineRule="auto"/>
              <w:rPr>
                <w:rFonts w:hint="eastAsia" w:ascii="黑体" w:eastAsia="黑体"/>
                <w:color w:val="auto"/>
                <w:highlight w:val="none"/>
              </w:rPr>
            </w:pPr>
          </w:p>
        </w:tc>
        <w:tc>
          <w:tcPr>
            <w:tcW w:w="950" w:type="dxa"/>
            <w:noWrap w:val="0"/>
            <w:vAlign w:val="top"/>
          </w:tcPr>
          <w:p>
            <w:pPr>
              <w:spacing w:line="360" w:lineRule="auto"/>
              <w:rPr>
                <w:rFonts w:hint="eastAsia" w:ascii="黑体" w:eastAsia="黑体"/>
                <w:color w:val="auto"/>
                <w:highlight w:val="none"/>
              </w:rPr>
            </w:pPr>
          </w:p>
        </w:tc>
        <w:tc>
          <w:tcPr>
            <w:tcW w:w="783" w:type="dxa"/>
            <w:noWrap w:val="0"/>
            <w:vAlign w:val="top"/>
          </w:tcPr>
          <w:p>
            <w:pPr>
              <w:spacing w:line="360" w:lineRule="auto"/>
              <w:rPr>
                <w:rFonts w:hint="eastAsia" w:ascii="黑体" w:eastAsia="黑体"/>
                <w:color w:val="auto"/>
                <w:highlight w:val="none"/>
              </w:rPr>
            </w:pPr>
          </w:p>
        </w:tc>
        <w:tc>
          <w:tcPr>
            <w:tcW w:w="850" w:type="dxa"/>
            <w:noWrap w:val="0"/>
            <w:vAlign w:val="top"/>
          </w:tcPr>
          <w:p>
            <w:pPr>
              <w:spacing w:line="360" w:lineRule="auto"/>
              <w:rPr>
                <w:rFonts w:hint="eastAsia" w:ascii="黑体" w:eastAsia="黑体"/>
                <w:color w:val="auto"/>
                <w:highlight w:val="none"/>
              </w:rPr>
            </w:pPr>
          </w:p>
        </w:tc>
        <w:tc>
          <w:tcPr>
            <w:tcW w:w="800" w:type="dxa"/>
            <w:noWrap w:val="0"/>
            <w:vAlign w:val="top"/>
          </w:tcPr>
          <w:p>
            <w:pPr>
              <w:spacing w:line="360" w:lineRule="auto"/>
              <w:rPr>
                <w:rFonts w:hint="eastAsia" w:ascii="黑体" w:eastAsia="黑体"/>
                <w:color w:val="auto"/>
                <w:highlight w:val="none"/>
              </w:rPr>
            </w:pPr>
          </w:p>
        </w:tc>
        <w:tc>
          <w:tcPr>
            <w:tcW w:w="967" w:type="dxa"/>
            <w:noWrap w:val="0"/>
            <w:vAlign w:val="top"/>
          </w:tcPr>
          <w:p>
            <w:pPr>
              <w:spacing w:line="360" w:lineRule="auto"/>
              <w:rPr>
                <w:rFonts w:hint="eastAsia" w:ascii="黑体" w:eastAsia="黑体"/>
                <w:color w:val="auto"/>
                <w:highlight w:val="none"/>
              </w:rPr>
            </w:pPr>
          </w:p>
        </w:tc>
        <w:tc>
          <w:tcPr>
            <w:tcW w:w="933" w:type="dxa"/>
            <w:noWrap w:val="0"/>
            <w:vAlign w:val="top"/>
          </w:tcPr>
          <w:p>
            <w:pPr>
              <w:spacing w:line="360" w:lineRule="auto"/>
              <w:rPr>
                <w:rFonts w:hint="eastAsia" w:ascii="黑体" w:eastAsia="黑体"/>
                <w:color w:val="auto"/>
                <w:highlight w:val="none"/>
              </w:rPr>
            </w:pPr>
          </w:p>
        </w:tc>
        <w:tc>
          <w:tcPr>
            <w:tcW w:w="750" w:type="dxa"/>
            <w:noWrap w:val="0"/>
            <w:vAlign w:val="top"/>
          </w:tcPr>
          <w:p>
            <w:pPr>
              <w:spacing w:line="360" w:lineRule="auto"/>
              <w:rPr>
                <w:rFonts w:hint="eastAsia" w:ascii="黑体" w:eastAsia="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3" w:type="dxa"/>
            <w:noWrap w:val="0"/>
            <w:vAlign w:val="top"/>
          </w:tcPr>
          <w:p>
            <w:pPr>
              <w:spacing w:line="360" w:lineRule="auto"/>
              <w:rPr>
                <w:rFonts w:hint="eastAsia" w:ascii="黑体" w:eastAsia="黑体"/>
                <w:color w:val="auto"/>
                <w:highlight w:val="none"/>
              </w:rPr>
            </w:pPr>
          </w:p>
        </w:tc>
        <w:tc>
          <w:tcPr>
            <w:tcW w:w="637" w:type="dxa"/>
            <w:noWrap w:val="0"/>
            <w:vAlign w:val="top"/>
          </w:tcPr>
          <w:p>
            <w:pPr>
              <w:spacing w:line="360" w:lineRule="auto"/>
              <w:rPr>
                <w:rFonts w:hint="eastAsia" w:ascii="黑体" w:eastAsia="黑体"/>
                <w:color w:val="auto"/>
                <w:highlight w:val="none"/>
              </w:rPr>
            </w:pPr>
          </w:p>
        </w:tc>
        <w:tc>
          <w:tcPr>
            <w:tcW w:w="738" w:type="dxa"/>
            <w:noWrap w:val="0"/>
            <w:vAlign w:val="top"/>
          </w:tcPr>
          <w:p>
            <w:pPr>
              <w:spacing w:line="360" w:lineRule="auto"/>
              <w:rPr>
                <w:rFonts w:hint="eastAsia" w:ascii="黑体" w:eastAsia="黑体"/>
                <w:color w:val="auto"/>
                <w:highlight w:val="none"/>
              </w:rPr>
            </w:pPr>
          </w:p>
        </w:tc>
        <w:tc>
          <w:tcPr>
            <w:tcW w:w="737" w:type="dxa"/>
            <w:noWrap w:val="0"/>
            <w:vAlign w:val="top"/>
          </w:tcPr>
          <w:p>
            <w:pPr>
              <w:spacing w:line="360" w:lineRule="auto"/>
              <w:rPr>
                <w:rFonts w:hint="eastAsia" w:ascii="黑体" w:eastAsia="黑体"/>
                <w:color w:val="auto"/>
                <w:highlight w:val="none"/>
              </w:rPr>
            </w:pPr>
          </w:p>
        </w:tc>
        <w:tc>
          <w:tcPr>
            <w:tcW w:w="836" w:type="dxa"/>
            <w:noWrap w:val="0"/>
            <w:vAlign w:val="top"/>
          </w:tcPr>
          <w:p>
            <w:pPr>
              <w:spacing w:line="360" w:lineRule="auto"/>
              <w:rPr>
                <w:rFonts w:hint="eastAsia" w:ascii="黑体" w:eastAsia="黑体"/>
                <w:color w:val="auto"/>
                <w:highlight w:val="none"/>
              </w:rPr>
            </w:pPr>
          </w:p>
        </w:tc>
        <w:tc>
          <w:tcPr>
            <w:tcW w:w="717" w:type="dxa"/>
            <w:noWrap w:val="0"/>
            <w:vAlign w:val="top"/>
          </w:tcPr>
          <w:p>
            <w:pPr>
              <w:spacing w:line="360" w:lineRule="auto"/>
              <w:rPr>
                <w:rFonts w:hint="eastAsia" w:ascii="黑体" w:eastAsia="黑体"/>
                <w:color w:val="auto"/>
                <w:highlight w:val="none"/>
              </w:rPr>
            </w:pPr>
          </w:p>
        </w:tc>
        <w:tc>
          <w:tcPr>
            <w:tcW w:w="950" w:type="dxa"/>
            <w:noWrap w:val="0"/>
            <w:vAlign w:val="top"/>
          </w:tcPr>
          <w:p>
            <w:pPr>
              <w:spacing w:line="360" w:lineRule="auto"/>
              <w:rPr>
                <w:rFonts w:hint="eastAsia" w:ascii="黑体" w:eastAsia="黑体"/>
                <w:color w:val="auto"/>
                <w:highlight w:val="none"/>
              </w:rPr>
            </w:pPr>
          </w:p>
        </w:tc>
        <w:tc>
          <w:tcPr>
            <w:tcW w:w="783" w:type="dxa"/>
            <w:noWrap w:val="0"/>
            <w:vAlign w:val="top"/>
          </w:tcPr>
          <w:p>
            <w:pPr>
              <w:spacing w:line="360" w:lineRule="auto"/>
              <w:rPr>
                <w:rFonts w:hint="eastAsia" w:ascii="黑体" w:eastAsia="黑体"/>
                <w:color w:val="auto"/>
                <w:highlight w:val="none"/>
              </w:rPr>
            </w:pPr>
          </w:p>
        </w:tc>
        <w:tc>
          <w:tcPr>
            <w:tcW w:w="850" w:type="dxa"/>
            <w:noWrap w:val="0"/>
            <w:vAlign w:val="top"/>
          </w:tcPr>
          <w:p>
            <w:pPr>
              <w:spacing w:line="360" w:lineRule="auto"/>
              <w:rPr>
                <w:rFonts w:hint="eastAsia" w:ascii="黑体" w:eastAsia="黑体"/>
                <w:color w:val="auto"/>
                <w:highlight w:val="none"/>
              </w:rPr>
            </w:pPr>
          </w:p>
        </w:tc>
        <w:tc>
          <w:tcPr>
            <w:tcW w:w="800" w:type="dxa"/>
            <w:noWrap w:val="0"/>
            <w:vAlign w:val="top"/>
          </w:tcPr>
          <w:p>
            <w:pPr>
              <w:spacing w:line="360" w:lineRule="auto"/>
              <w:rPr>
                <w:rFonts w:hint="eastAsia" w:ascii="黑体" w:eastAsia="黑体"/>
                <w:color w:val="auto"/>
                <w:highlight w:val="none"/>
              </w:rPr>
            </w:pPr>
          </w:p>
        </w:tc>
        <w:tc>
          <w:tcPr>
            <w:tcW w:w="967" w:type="dxa"/>
            <w:noWrap w:val="0"/>
            <w:vAlign w:val="top"/>
          </w:tcPr>
          <w:p>
            <w:pPr>
              <w:spacing w:line="360" w:lineRule="auto"/>
              <w:rPr>
                <w:rFonts w:hint="eastAsia" w:ascii="黑体" w:eastAsia="黑体"/>
                <w:color w:val="auto"/>
                <w:highlight w:val="none"/>
              </w:rPr>
            </w:pPr>
          </w:p>
        </w:tc>
        <w:tc>
          <w:tcPr>
            <w:tcW w:w="933" w:type="dxa"/>
            <w:noWrap w:val="0"/>
            <w:vAlign w:val="top"/>
          </w:tcPr>
          <w:p>
            <w:pPr>
              <w:spacing w:line="360" w:lineRule="auto"/>
              <w:rPr>
                <w:rFonts w:hint="eastAsia" w:ascii="黑体" w:eastAsia="黑体"/>
                <w:color w:val="auto"/>
                <w:highlight w:val="none"/>
              </w:rPr>
            </w:pPr>
          </w:p>
        </w:tc>
        <w:tc>
          <w:tcPr>
            <w:tcW w:w="750" w:type="dxa"/>
            <w:noWrap w:val="0"/>
            <w:vAlign w:val="top"/>
          </w:tcPr>
          <w:p>
            <w:pPr>
              <w:spacing w:line="360" w:lineRule="auto"/>
              <w:rPr>
                <w:rFonts w:hint="eastAsia" w:ascii="黑体" w:eastAsia="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3" w:type="dxa"/>
            <w:noWrap w:val="0"/>
            <w:vAlign w:val="top"/>
          </w:tcPr>
          <w:p>
            <w:pPr>
              <w:spacing w:line="360" w:lineRule="auto"/>
              <w:rPr>
                <w:rFonts w:hint="eastAsia" w:ascii="黑体" w:eastAsia="黑体"/>
                <w:color w:val="auto"/>
                <w:highlight w:val="none"/>
              </w:rPr>
            </w:pPr>
          </w:p>
        </w:tc>
        <w:tc>
          <w:tcPr>
            <w:tcW w:w="637" w:type="dxa"/>
            <w:noWrap w:val="0"/>
            <w:vAlign w:val="top"/>
          </w:tcPr>
          <w:p>
            <w:pPr>
              <w:spacing w:line="360" w:lineRule="auto"/>
              <w:rPr>
                <w:rFonts w:hint="eastAsia" w:ascii="黑体" w:eastAsia="黑体"/>
                <w:color w:val="auto"/>
                <w:highlight w:val="none"/>
              </w:rPr>
            </w:pPr>
          </w:p>
        </w:tc>
        <w:tc>
          <w:tcPr>
            <w:tcW w:w="738" w:type="dxa"/>
            <w:noWrap w:val="0"/>
            <w:vAlign w:val="top"/>
          </w:tcPr>
          <w:p>
            <w:pPr>
              <w:spacing w:line="360" w:lineRule="auto"/>
              <w:rPr>
                <w:rFonts w:hint="eastAsia" w:ascii="黑体" w:eastAsia="黑体"/>
                <w:color w:val="auto"/>
                <w:highlight w:val="none"/>
              </w:rPr>
            </w:pPr>
          </w:p>
        </w:tc>
        <w:tc>
          <w:tcPr>
            <w:tcW w:w="737" w:type="dxa"/>
            <w:noWrap w:val="0"/>
            <w:vAlign w:val="top"/>
          </w:tcPr>
          <w:p>
            <w:pPr>
              <w:spacing w:line="360" w:lineRule="auto"/>
              <w:rPr>
                <w:rFonts w:hint="eastAsia" w:ascii="黑体" w:eastAsia="黑体"/>
                <w:color w:val="auto"/>
                <w:highlight w:val="none"/>
              </w:rPr>
            </w:pPr>
          </w:p>
        </w:tc>
        <w:tc>
          <w:tcPr>
            <w:tcW w:w="836" w:type="dxa"/>
            <w:noWrap w:val="0"/>
            <w:vAlign w:val="top"/>
          </w:tcPr>
          <w:p>
            <w:pPr>
              <w:spacing w:line="360" w:lineRule="auto"/>
              <w:rPr>
                <w:rFonts w:hint="eastAsia" w:ascii="黑体" w:eastAsia="黑体"/>
                <w:color w:val="auto"/>
                <w:highlight w:val="none"/>
              </w:rPr>
            </w:pPr>
          </w:p>
        </w:tc>
        <w:tc>
          <w:tcPr>
            <w:tcW w:w="717" w:type="dxa"/>
            <w:noWrap w:val="0"/>
            <w:vAlign w:val="top"/>
          </w:tcPr>
          <w:p>
            <w:pPr>
              <w:spacing w:line="360" w:lineRule="auto"/>
              <w:rPr>
                <w:rFonts w:hint="eastAsia" w:ascii="黑体" w:eastAsia="黑体"/>
                <w:color w:val="auto"/>
                <w:highlight w:val="none"/>
              </w:rPr>
            </w:pPr>
          </w:p>
        </w:tc>
        <w:tc>
          <w:tcPr>
            <w:tcW w:w="950" w:type="dxa"/>
            <w:noWrap w:val="0"/>
            <w:vAlign w:val="top"/>
          </w:tcPr>
          <w:p>
            <w:pPr>
              <w:spacing w:line="360" w:lineRule="auto"/>
              <w:rPr>
                <w:rFonts w:hint="eastAsia" w:ascii="黑体" w:eastAsia="黑体"/>
                <w:color w:val="auto"/>
                <w:highlight w:val="none"/>
              </w:rPr>
            </w:pPr>
          </w:p>
        </w:tc>
        <w:tc>
          <w:tcPr>
            <w:tcW w:w="783" w:type="dxa"/>
            <w:noWrap w:val="0"/>
            <w:vAlign w:val="top"/>
          </w:tcPr>
          <w:p>
            <w:pPr>
              <w:spacing w:line="360" w:lineRule="auto"/>
              <w:rPr>
                <w:rFonts w:hint="eastAsia" w:ascii="黑体" w:eastAsia="黑体"/>
                <w:color w:val="auto"/>
                <w:highlight w:val="none"/>
              </w:rPr>
            </w:pPr>
          </w:p>
        </w:tc>
        <w:tc>
          <w:tcPr>
            <w:tcW w:w="850" w:type="dxa"/>
            <w:noWrap w:val="0"/>
            <w:vAlign w:val="top"/>
          </w:tcPr>
          <w:p>
            <w:pPr>
              <w:spacing w:line="360" w:lineRule="auto"/>
              <w:rPr>
                <w:rFonts w:hint="eastAsia" w:ascii="黑体" w:eastAsia="黑体"/>
                <w:color w:val="auto"/>
                <w:highlight w:val="none"/>
              </w:rPr>
            </w:pPr>
          </w:p>
        </w:tc>
        <w:tc>
          <w:tcPr>
            <w:tcW w:w="800" w:type="dxa"/>
            <w:noWrap w:val="0"/>
            <w:vAlign w:val="top"/>
          </w:tcPr>
          <w:p>
            <w:pPr>
              <w:spacing w:line="360" w:lineRule="auto"/>
              <w:rPr>
                <w:rFonts w:hint="eastAsia" w:ascii="黑体" w:eastAsia="黑体"/>
                <w:color w:val="auto"/>
                <w:highlight w:val="none"/>
              </w:rPr>
            </w:pPr>
          </w:p>
        </w:tc>
        <w:tc>
          <w:tcPr>
            <w:tcW w:w="967" w:type="dxa"/>
            <w:noWrap w:val="0"/>
            <w:vAlign w:val="top"/>
          </w:tcPr>
          <w:p>
            <w:pPr>
              <w:spacing w:line="360" w:lineRule="auto"/>
              <w:rPr>
                <w:rFonts w:hint="eastAsia" w:ascii="黑体" w:eastAsia="黑体"/>
                <w:color w:val="auto"/>
                <w:highlight w:val="none"/>
              </w:rPr>
            </w:pPr>
          </w:p>
        </w:tc>
        <w:tc>
          <w:tcPr>
            <w:tcW w:w="933" w:type="dxa"/>
            <w:noWrap w:val="0"/>
            <w:vAlign w:val="top"/>
          </w:tcPr>
          <w:p>
            <w:pPr>
              <w:spacing w:line="360" w:lineRule="auto"/>
              <w:rPr>
                <w:rFonts w:hint="eastAsia" w:ascii="黑体" w:eastAsia="黑体"/>
                <w:color w:val="auto"/>
                <w:highlight w:val="none"/>
              </w:rPr>
            </w:pPr>
          </w:p>
        </w:tc>
        <w:tc>
          <w:tcPr>
            <w:tcW w:w="750" w:type="dxa"/>
            <w:noWrap w:val="0"/>
            <w:vAlign w:val="top"/>
          </w:tcPr>
          <w:p>
            <w:pPr>
              <w:spacing w:line="360" w:lineRule="auto"/>
              <w:rPr>
                <w:rFonts w:hint="eastAsia" w:ascii="黑体" w:eastAsia="黑体"/>
                <w:color w:val="auto"/>
                <w:highlight w:val="none"/>
              </w:rPr>
            </w:pPr>
          </w:p>
        </w:tc>
      </w:tr>
    </w:tbl>
    <w:p>
      <w:pPr>
        <w:spacing w:line="240" w:lineRule="auto"/>
        <w:rPr>
          <w:rFonts w:hint="eastAsia" w:ascii="宋体" w:hAnsi="宋体"/>
          <w:color w:val="auto"/>
          <w:highlight w:val="none"/>
        </w:rPr>
      </w:pPr>
    </w:p>
    <w:p>
      <w:pPr>
        <w:spacing w:line="240" w:lineRule="auto"/>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评标委员会根据投标文件将</w:t>
      </w:r>
      <w:r>
        <w:rPr>
          <w:rFonts w:hint="eastAsia" w:ascii="宋体" w:hAnsi="宋体"/>
          <w:color w:val="auto"/>
          <w:szCs w:val="21"/>
          <w:highlight w:val="none"/>
        </w:rPr>
        <w:t>拟投入本项目的项目负责人（注册建造师）及在投标报价文件中</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盖章的注册造价工程师</w:t>
      </w:r>
      <w:r>
        <w:rPr>
          <w:rFonts w:hint="eastAsia" w:ascii="宋体" w:hAnsi="宋体"/>
          <w:color w:val="auto"/>
          <w:highlight w:val="none"/>
        </w:rPr>
        <w:t>列出，并将核查结果作为评审的依据。</w:t>
      </w:r>
    </w:p>
    <w:p>
      <w:pPr>
        <w:widowControl/>
        <w:spacing w:line="240" w:lineRule="auto"/>
        <w:jc w:val="left"/>
        <w:rPr>
          <w:rFonts w:hint="eastAsia" w:ascii="宋体" w:hAnsi="宋体"/>
          <w:color w:val="auto"/>
          <w:szCs w:val="21"/>
          <w:highlight w:val="none"/>
        </w:rPr>
      </w:pPr>
      <w:r>
        <w:rPr>
          <w:rFonts w:hint="eastAsia" w:ascii="宋体" w:hAnsi="宋体"/>
          <w:color w:val="auto"/>
          <w:highlight w:val="none"/>
          <w:lang w:eastAsia="zh-CN"/>
        </w:rPr>
        <w:t>2.</w:t>
      </w:r>
      <w:r>
        <w:rPr>
          <w:rFonts w:hint="eastAsia" w:ascii="宋体" w:hAnsi="宋体"/>
          <w:color w:val="auto"/>
          <w:szCs w:val="21"/>
          <w:highlight w:val="none"/>
        </w:rPr>
        <w:t>投标文件中拟投入本项目的项目负责人（注册建造师）及在投标报价文件中</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盖章的注册造价工程师信息由</w:t>
      </w:r>
      <w:r>
        <w:rPr>
          <w:rFonts w:hint="eastAsia" w:ascii="宋体" w:hAnsi="宋体"/>
          <w:color w:val="auto"/>
          <w:highlight w:val="none"/>
        </w:rPr>
        <w:t>评标委员会</w:t>
      </w:r>
      <w:r>
        <w:rPr>
          <w:rFonts w:hint="eastAsia" w:ascii="宋体" w:hAnsi="宋体"/>
          <w:color w:val="auto"/>
          <w:highlight w:val="none"/>
          <w:lang w:eastAsia="zh-CN"/>
        </w:rPr>
        <w:t>可</w:t>
      </w:r>
      <w:r>
        <w:rPr>
          <w:rFonts w:hint="eastAsia" w:ascii="宋体" w:hAnsi="宋体"/>
          <w:color w:val="auto"/>
          <w:szCs w:val="21"/>
          <w:highlight w:val="none"/>
        </w:rPr>
        <w:t>从</w:t>
      </w:r>
      <w:r>
        <w:rPr>
          <w:rFonts w:hint="eastAsia" w:ascii="宋体" w:hAnsi="宋体"/>
          <w:color w:val="auto"/>
          <w:szCs w:val="21"/>
          <w:highlight w:val="none"/>
          <w:lang w:eastAsia="zh-CN"/>
        </w:rPr>
        <w:t>“全国建筑市场监管公共服务平台、广东省建设行业数据开放平台、</w:t>
      </w:r>
      <w:r>
        <w:rPr>
          <w:rFonts w:hint="eastAsia" w:ascii="宋体" w:hAnsi="宋体" w:eastAsia="宋体" w:cs="Times New Roman"/>
          <w:b w:val="0"/>
          <w:bCs w:val="0"/>
          <w:i w:val="0"/>
          <w:iCs w:val="0"/>
          <w:caps w:val="0"/>
          <w:color w:val="auto"/>
          <w:spacing w:val="0"/>
          <w:kern w:val="2"/>
          <w:sz w:val="21"/>
          <w:szCs w:val="21"/>
          <w:highlight w:val="none"/>
          <w:lang w:val="en-US" w:eastAsia="zh-CN" w:bidi="ar"/>
        </w:rPr>
        <w:t>广东省住房和城乡建设注册执业师查询系统</w:t>
      </w:r>
      <w:r>
        <w:rPr>
          <w:rFonts w:hint="eastAsia" w:ascii="宋体" w:hAnsi="宋体"/>
          <w:color w:val="auto"/>
          <w:szCs w:val="21"/>
          <w:highlight w:val="none"/>
          <w:lang w:eastAsia="zh-CN"/>
        </w:rPr>
        <w:t>”</w:t>
      </w:r>
      <w:r>
        <w:rPr>
          <w:rFonts w:hint="eastAsia" w:ascii="宋体" w:hAnsi="宋体"/>
          <w:color w:val="auto"/>
          <w:szCs w:val="21"/>
          <w:highlight w:val="none"/>
        </w:rPr>
        <w:t>相关注册人员库中核查。</w:t>
      </w:r>
    </w:p>
    <w:p>
      <w:pPr>
        <w:spacing w:line="240" w:lineRule="auto"/>
        <w:rPr>
          <w:rFonts w:hint="eastAsia" w:ascii="宋体" w:hAnsi="宋体" w:cs="仿宋_GB2312"/>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投标文件中拟投入本项目的施工负责人（注册建造师）项目锁定情况信息由</w:t>
      </w:r>
      <w:r>
        <w:rPr>
          <w:rFonts w:hint="eastAsia" w:ascii="宋体" w:hAnsi="宋体"/>
          <w:color w:val="auto"/>
          <w:highlight w:val="none"/>
        </w:rPr>
        <w:t>评标委员会</w:t>
      </w:r>
      <w:r>
        <w:rPr>
          <w:rFonts w:hint="eastAsia" w:ascii="宋体" w:hAnsi="宋体"/>
          <w:color w:val="auto"/>
          <w:szCs w:val="21"/>
          <w:highlight w:val="none"/>
        </w:rPr>
        <w:t>从部级、省级建设信息网站</w:t>
      </w:r>
      <w:r>
        <w:rPr>
          <w:rFonts w:hint="eastAsia" w:ascii="宋体" w:hAnsi="宋体" w:cs="宋体"/>
          <w:color w:val="auto"/>
          <w:szCs w:val="21"/>
          <w:highlight w:val="none"/>
        </w:rPr>
        <w:t>→</w:t>
      </w:r>
      <w:r>
        <w:rPr>
          <w:rFonts w:hint="eastAsia" w:ascii="宋体" w:hAnsi="宋体" w:cs="仿宋_GB2312"/>
          <w:color w:val="auto"/>
          <w:szCs w:val="21"/>
          <w:highlight w:val="none"/>
        </w:rPr>
        <w:t>三库一平台管理信息服务系统</w:t>
      </w:r>
      <w:r>
        <w:rPr>
          <w:rFonts w:hint="eastAsia" w:ascii="宋体" w:hAnsi="宋体" w:cs="宋体"/>
          <w:color w:val="auto"/>
          <w:szCs w:val="21"/>
          <w:highlight w:val="none"/>
        </w:rPr>
        <w:t>→数据开放平台→</w:t>
      </w:r>
      <w:r>
        <w:rPr>
          <w:rFonts w:hint="eastAsia" w:ascii="宋体" w:hAnsi="宋体" w:cs="仿宋_GB2312"/>
          <w:color w:val="auto"/>
          <w:szCs w:val="21"/>
          <w:highlight w:val="none"/>
        </w:rPr>
        <w:t>关键岗位人员项目锁定信息栏中核查。（</w:t>
      </w:r>
      <w:r>
        <w:rPr>
          <w:rFonts w:hint="eastAsia" w:ascii="宋体" w:hAnsi="宋体"/>
          <w:color w:val="auto"/>
          <w:szCs w:val="21"/>
          <w:highlight w:val="none"/>
        </w:rPr>
        <w:t>部级、省级建设信息网站指有设置</w:t>
      </w:r>
      <w:r>
        <w:rPr>
          <w:rFonts w:hint="eastAsia" w:ascii="宋体" w:hAnsi="宋体" w:cs="仿宋_GB2312"/>
          <w:color w:val="auto"/>
          <w:szCs w:val="21"/>
          <w:highlight w:val="none"/>
        </w:rPr>
        <w:t>关键岗位人员项目锁定查询业务的</w:t>
      </w:r>
      <w:r>
        <w:rPr>
          <w:rFonts w:hint="eastAsia" w:ascii="宋体" w:hAnsi="宋体"/>
          <w:color w:val="auto"/>
          <w:szCs w:val="21"/>
          <w:highlight w:val="none"/>
        </w:rPr>
        <w:t>部级、省级</w:t>
      </w:r>
      <w:r>
        <w:rPr>
          <w:rFonts w:hint="eastAsia" w:ascii="宋体" w:hAnsi="宋体"/>
          <w:color w:val="auto"/>
          <w:szCs w:val="21"/>
          <w:highlight w:val="none"/>
          <w:lang w:eastAsia="zh-CN"/>
        </w:rPr>
        <w:t>相关</w:t>
      </w:r>
      <w:r>
        <w:rPr>
          <w:rFonts w:hint="eastAsia" w:ascii="宋体" w:hAnsi="宋体"/>
          <w:color w:val="auto"/>
          <w:szCs w:val="21"/>
          <w:highlight w:val="none"/>
        </w:rPr>
        <w:t>网站</w:t>
      </w:r>
      <w:r>
        <w:rPr>
          <w:rFonts w:hint="eastAsia" w:ascii="宋体" w:hAnsi="宋体" w:cs="仿宋_GB2312"/>
          <w:color w:val="auto"/>
          <w:szCs w:val="21"/>
          <w:highlight w:val="none"/>
        </w:rPr>
        <w:t>）</w:t>
      </w:r>
    </w:p>
    <w:p>
      <w:pPr>
        <w:spacing w:line="360" w:lineRule="auto"/>
        <w:rPr>
          <w:rFonts w:hint="eastAsia" w:ascii="宋体" w:hAnsi="宋体"/>
          <w:color w:val="auto"/>
          <w:highlight w:val="none"/>
        </w:rPr>
      </w:pPr>
    </w:p>
    <w:p>
      <w:pPr>
        <w:spacing w:line="360" w:lineRule="auto"/>
        <w:rPr>
          <w:rFonts w:hint="eastAsia" w:ascii="宋体" w:hAnsi="宋体"/>
          <w:color w:val="auto"/>
          <w:szCs w:val="44"/>
          <w:highlight w:val="none"/>
        </w:rPr>
      </w:pPr>
      <w:r>
        <w:rPr>
          <w:rFonts w:hint="eastAsia" w:ascii="宋体" w:hAnsi="宋体"/>
          <w:color w:val="auto"/>
          <w:szCs w:val="44"/>
          <w:highlight w:val="none"/>
        </w:rPr>
        <w:t>评标委员会全体成员签</w:t>
      </w:r>
      <w:r>
        <w:rPr>
          <w:rFonts w:hint="eastAsia" w:ascii="宋体" w:hAnsi="宋体"/>
          <w:color w:val="auto"/>
          <w:szCs w:val="44"/>
          <w:highlight w:val="none"/>
          <w:lang w:eastAsia="zh-CN"/>
        </w:rPr>
        <w:t>名</w:t>
      </w:r>
      <w:r>
        <w:rPr>
          <w:rFonts w:hint="eastAsia" w:ascii="宋体" w:hAnsi="宋体"/>
          <w:color w:val="auto"/>
          <w:szCs w:val="44"/>
          <w:highlight w:val="none"/>
        </w:rPr>
        <w:t>：</w:t>
      </w:r>
    </w:p>
    <w:p>
      <w:pPr>
        <w:spacing w:line="360" w:lineRule="auto"/>
        <w:rPr>
          <w:rFonts w:hint="eastAsia" w:ascii="宋体" w:hAnsi="宋体"/>
          <w:color w:val="auto"/>
          <w:szCs w:val="44"/>
          <w:highlight w:val="none"/>
        </w:rPr>
      </w:pPr>
    </w:p>
    <w:p>
      <w:pPr>
        <w:spacing w:line="360" w:lineRule="auto"/>
        <w:rPr>
          <w:rFonts w:hint="eastAsia" w:ascii="宋体" w:hAnsi="宋体"/>
          <w:color w:val="auto"/>
          <w:szCs w:val="44"/>
          <w:highlight w:val="none"/>
        </w:rPr>
      </w:pPr>
    </w:p>
    <w:p>
      <w:pPr>
        <w:spacing w:line="360" w:lineRule="auto"/>
        <w:rPr>
          <w:rFonts w:hint="eastAsia" w:ascii="仿宋_GB2312" w:eastAsia="仿宋_GB2312"/>
          <w:color w:val="auto"/>
          <w:highlight w:val="none"/>
        </w:rPr>
      </w:pPr>
    </w:p>
    <w:p>
      <w:pPr>
        <w:spacing w:line="360" w:lineRule="auto"/>
        <w:rPr>
          <w:rFonts w:hint="eastAsia" w:ascii="宋体" w:hAnsi="宋体"/>
          <w:color w:val="auto"/>
          <w:highlight w:val="none"/>
        </w:rPr>
      </w:pPr>
      <w:r>
        <w:rPr>
          <w:rFonts w:hint="eastAsia" w:ascii="宋体" w:hAnsi="宋体"/>
          <w:color w:val="auto"/>
          <w:highlight w:val="none"/>
        </w:rPr>
        <w:t>招标人监督小组</w:t>
      </w:r>
      <w:r>
        <w:rPr>
          <w:rFonts w:hint="eastAsia" w:ascii="宋体" w:hAnsi="宋体"/>
          <w:color w:val="auto"/>
          <w:highlight w:val="none"/>
          <w:lang w:eastAsia="zh-CN"/>
        </w:rPr>
        <w:t>（如有）</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rPr>
        <w:t xml:space="preserve">： </w:t>
      </w:r>
    </w:p>
    <w:p>
      <w:pPr>
        <w:tabs>
          <w:tab w:val="left" w:pos="2219"/>
        </w:tabs>
        <w:spacing w:line="360" w:lineRule="auto"/>
        <w:rPr>
          <w:rFonts w:ascii="宋体" w:hAnsi="宋体"/>
          <w:color w:val="auto"/>
          <w:sz w:val="24"/>
          <w:highlight w:val="none"/>
        </w:rPr>
      </w:pPr>
      <w:r>
        <w:rPr>
          <w:rFonts w:ascii="黑体" w:hAnsi="宋体" w:eastAsia="黑体"/>
          <w:color w:val="auto"/>
          <w:highlight w:val="none"/>
        </w:rPr>
        <w:tab/>
      </w:r>
    </w:p>
    <w:p>
      <w:pPr>
        <w:rPr>
          <w:rFonts w:ascii="宋体" w:hAnsi="宋体"/>
          <w:color w:val="auto"/>
          <w:sz w:val="24"/>
          <w:highlight w:val="none"/>
        </w:rPr>
      </w:pPr>
    </w:p>
    <w:p>
      <w:pPr>
        <w:rPr>
          <w:rFonts w:ascii="宋体" w:hAnsi="宋体"/>
          <w:color w:val="auto"/>
          <w:sz w:val="24"/>
          <w:highlight w:val="none"/>
        </w:rPr>
      </w:pPr>
    </w:p>
    <w:p>
      <w:pPr>
        <w:spacing w:line="360" w:lineRule="auto"/>
        <w:jc w:val="right"/>
        <w:rPr>
          <w:rFonts w:hint="eastAsia" w:ascii="宋体" w:hAnsi="宋体"/>
          <w:color w:val="auto"/>
          <w:szCs w:val="44"/>
          <w:highlight w:val="none"/>
        </w:rPr>
      </w:pPr>
      <w:r>
        <w:rPr>
          <w:rFonts w:hint="eastAsia" w:ascii="宋体" w:hAnsi="宋体"/>
          <w:color w:val="auto"/>
          <w:szCs w:val="44"/>
          <w:highlight w:val="none"/>
        </w:rPr>
        <w:t>日期：      年    月    日</w:t>
      </w:r>
    </w:p>
    <w:p>
      <w:pPr>
        <w:jc w:val="right"/>
        <w:rPr>
          <w:rFonts w:ascii="宋体" w:hAnsi="宋体"/>
          <w:color w:val="auto"/>
          <w:sz w:val="24"/>
          <w:highlight w:val="none"/>
        </w:rPr>
        <w:sectPr>
          <w:pgSz w:w="11906" w:h="16838"/>
          <w:pgMar w:top="850" w:right="1134" w:bottom="850" w:left="1134" w:header="567" w:footer="567" w:gutter="0"/>
          <w:pgBorders w:offsetFrom="page">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color w:val="auto"/>
          <w:sz w:val="24"/>
          <w:highlight w:val="none"/>
          <w:lang w:eastAsia="zh-CN"/>
        </w:rPr>
      </w:pPr>
      <w:r>
        <w:rPr>
          <w:rFonts w:hint="eastAsia" w:ascii="宋体" w:hAnsi="宋体"/>
          <w:color w:val="auto"/>
          <w:sz w:val="24"/>
          <w:highlight w:val="none"/>
        </w:rPr>
        <w:t>附表</w:t>
      </w:r>
      <w:r>
        <w:rPr>
          <w:rFonts w:hint="eastAsia" w:ascii="宋体" w:hAnsi="宋体"/>
          <w:color w:val="auto"/>
          <w:sz w:val="24"/>
          <w:highlight w:val="none"/>
          <w:lang w:val="en-US" w:eastAsia="zh-CN"/>
        </w:rPr>
        <w:t>9</w:t>
      </w:r>
      <w:r>
        <w:rPr>
          <w:rFonts w:hint="eastAsia" w:ascii="宋体" w:hAnsi="宋体"/>
          <w:color w:val="auto"/>
          <w:sz w:val="24"/>
          <w:highlight w:val="none"/>
        </w:rPr>
        <w:t>：评标委员会签到表</w:t>
      </w:r>
      <w:r>
        <w:rPr>
          <w:rFonts w:hint="eastAsia" w:ascii="宋体" w:hAnsi="宋体"/>
          <w:color w:val="auto"/>
          <w:sz w:val="24"/>
          <w:highlight w:val="none"/>
          <w:lang w:eastAsia="zh-CN"/>
        </w:rPr>
        <w:t>（参考格式）</w:t>
      </w:r>
    </w:p>
    <w:p>
      <w:pPr>
        <w:rPr>
          <w:rFonts w:hint="eastAsia" w:ascii="宋体" w:hAnsi="宋体"/>
          <w:color w:val="auto"/>
          <w:sz w:val="24"/>
          <w:highlight w:val="none"/>
          <w:lang w:eastAsia="zh-CN"/>
        </w:rPr>
      </w:pPr>
    </w:p>
    <w:p>
      <w:pPr>
        <w:spacing w:before="120" w:beforeLines="50" w:after="120"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评标委员会签到表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名称：</w:t>
      </w:r>
      <w:r>
        <w:rPr>
          <w:rFonts w:hint="eastAsia"/>
          <w:color w:val="auto"/>
          <w:szCs w:val="44"/>
          <w:highlight w:val="none"/>
          <w:u w:val="none"/>
        </w:rPr>
        <w:t xml:space="preserve">               </w:t>
      </w:r>
      <w:r>
        <w:rPr>
          <w:rFonts w:hint="eastAsia"/>
          <w:color w:val="auto"/>
          <w:szCs w:val="44"/>
          <w:highlight w:val="none"/>
          <w:u w:val="none"/>
          <w:lang w:val="en-US" w:eastAsia="zh-CN"/>
        </w:rPr>
        <w:t xml:space="preserve">                </w:t>
      </w:r>
      <w:r>
        <w:rPr>
          <w:rFonts w:hint="eastAsia"/>
          <w:color w:val="auto"/>
          <w:szCs w:val="44"/>
          <w:highlight w:val="none"/>
          <w:u w:val="non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612"/>
        <w:gridCol w:w="1144"/>
        <w:gridCol w:w="2588"/>
        <w:gridCol w:w="230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pPr>
              <w:jc w:val="center"/>
              <w:rPr>
                <w:rFonts w:hint="eastAsia"/>
                <w:b/>
                <w:color w:val="auto"/>
                <w:szCs w:val="44"/>
                <w:highlight w:val="none"/>
              </w:rPr>
            </w:pPr>
            <w:r>
              <w:rPr>
                <w:rFonts w:hint="eastAsia"/>
                <w:b/>
                <w:color w:val="auto"/>
                <w:szCs w:val="44"/>
                <w:highlight w:val="none"/>
              </w:rPr>
              <w:t>序号</w:t>
            </w:r>
          </w:p>
        </w:tc>
        <w:tc>
          <w:tcPr>
            <w:tcW w:w="1612" w:type="dxa"/>
            <w:noWrap w:val="0"/>
            <w:vAlign w:val="center"/>
          </w:tcPr>
          <w:p>
            <w:pPr>
              <w:jc w:val="center"/>
              <w:rPr>
                <w:rFonts w:hint="eastAsia"/>
                <w:b/>
                <w:color w:val="auto"/>
                <w:szCs w:val="44"/>
                <w:highlight w:val="none"/>
              </w:rPr>
            </w:pPr>
            <w:r>
              <w:rPr>
                <w:rFonts w:hint="eastAsia"/>
                <w:b/>
                <w:color w:val="auto"/>
                <w:szCs w:val="44"/>
                <w:highlight w:val="none"/>
              </w:rPr>
              <w:t>姓名</w:t>
            </w:r>
          </w:p>
        </w:tc>
        <w:tc>
          <w:tcPr>
            <w:tcW w:w="1144" w:type="dxa"/>
            <w:noWrap w:val="0"/>
            <w:vAlign w:val="center"/>
          </w:tcPr>
          <w:p>
            <w:pPr>
              <w:jc w:val="center"/>
              <w:rPr>
                <w:rFonts w:hint="eastAsia"/>
                <w:b/>
                <w:color w:val="auto"/>
                <w:szCs w:val="44"/>
                <w:highlight w:val="none"/>
              </w:rPr>
            </w:pPr>
            <w:r>
              <w:rPr>
                <w:rFonts w:hint="eastAsia"/>
                <w:b/>
                <w:color w:val="auto"/>
                <w:szCs w:val="44"/>
                <w:highlight w:val="none"/>
              </w:rPr>
              <w:t>职称</w:t>
            </w:r>
          </w:p>
        </w:tc>
        <w:tc>
          <w:tcPr>
            <w:tcW w:w="2588" w:type="dxa"/>
            <w:noWrap w:val="0"/>
            <w:vAlign w:val="center"/>
          </w:tcPr>
          <w:p>
            <w:pPr>
              <w:jc w:val="center"/>
              <w:rPr>
                <w:rFonts w:hint="eastAsia"/>
                <w:b/>
                <w:color w:val="auto"/>
                <w:szCs w:val="44"/>
                <w:highlight w:val="none"/>
              </w:rPr>
            </w:pPr>
            <w:r>
              <w:rPr>
                <w:rFonts w:hint="eastAsia"/>
                <w:b/>
                <w:color w:val="auto"/>
                <w:szCs w:val="44"/>
                <w:highlight w:val="none"/>
              </w:rPr>
              <w:t>工作单位</w:t>
            </w:r>
          </w:p>
        </w:tc>
        <w:tc>
          <w:tcPr>
            <w:tcW w:w="2306" w:type="dxa"/>
            <w:noWrap w:val="0"/>
            <w:vAlign w:val="center"/>
          </w:tcPr>
          <w:p>
            <w:pPr>
              <w:jc w:val="center"/>
              <w:rPr>
                <w:rFonts w:hint="eastAsia"/>
                <w:b/>
                <w:color w:val="auto"/>
                <w:szCs w:val="44"/>
                <w:highlight w:val="none"/>
              </w:rPr>
            </w:pPr>
            <w:r>
              <w:rPr>
                <w:rFonts w:hint="eastAsia"/>
                <w:b/>
                <w:color w:val="auto"/>
                <w:szCs w:val="44"/>
                <w:highlight w:val="none"/>
              </w:rPr>
              <w:t>专家身份证号码</w:t>
            </w:r>
          </w:p>
        </w:tc>
        <w:tc>
          <w:tcPr>
            <w:tcW w:w="1556" w:type="dxa"/>
            <w:noWrap w:val="0"/>
            <w:vAlign w:val="center"/>
          </w:tcPr>
          <w:p>
            <w:pPr>
              <w:jc w:val="center"/>
              <w:rPr>
                <w:rFonts w:hint="eastAsia"/>
                <w:b/>
                <w:color w:val="auto"/>
                <w:szCs w:val="44"/>
                <w:highlight w:val="none"/>
              </w:rPr>
            </w:pPr>
            <w:r>
              <w:rPr>
                <w:rFonts w:hint="eastAsia"/>
                <w:b/>
                <w:color w:val="auto"/>
                <w:szCs w:val="44"/>
                <w:highlight w:val="none"/>
              </w:rPr>
              <w:t>签到时间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1</w:t>
            </w:r>
          </w:p>
        </w:tc>
        <w:tc>
          <w:tcPr>
            <w:tcW w:w="1612" w:type="dxa"/>
            <w:noWrap w:val="0"/>
            <w:vAlign w:val="center"/>
          </w:tcPr>
          <w:p>
            <w:pPr>
              <w:jc w:val="center"/>
              <w:rPr>
                <w:rFonts w:hint="eastAsia" w:ascii="黑体" w:eastAsia="黑体"/>
                <w:color w:val="auto"/>
                <w:szCs w:val="44"/>
                <w:highlight w:val="none"/>
              </w:rPr>
            </w:pPr>
            <w:r>
              <w:rPr>
                <w:rFonts w:hint="eastAsia" w:ascii="仿宋" w:hAnsi="仿宋" w:eastAsia="仿宋" w:cs="仿宋"/>
                <w:color w:val="auto"/>
                <w:szCs w:val="21"/>
                <w:highlight w:val="none"/>
              </w:rPr>
              <w:t>……</w:t>
            </w: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2</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3</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4</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5</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6</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7</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8</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7" w:type="dxa"/>
            <w:noWrap w:val="0"/>
            <w:vAlign w:val="center"/>
          </w:tcPr>
          <w:p>
            <w:pPr>
              <w:jc w:val="center"/>
              <w:rPr>
                <w:rFonts w:hint="eastAsia" w:ascii="黑体" w:eastAsia="黑体"/>
                <w:color w:val="auto"/>
                <w:szCs w:val="44"/>
                <w:highlight w:val="none"/>
              </w:rPr>
            </w:pPr>
            <w:r>
              <w:rPr>
                <w:rFonts w:hint="eastAsia" w:ascii="黑体" w:eastAsia="黑体"/>
                <w:color w:val="auto"/>
                <w:szCs w:val="44"/>
                <w:highlight w:val="none"/>
              </w:rPr>
              <w:t>9</w:t>
            </w:r>
          </w:p>
        </w:tc>
        <w:tc>
          <w:tcPr>
            <w:tcW w:w="1612" w:type="dxa"/>
            <w:noWrap w:val="0"/>
            <w:vAlign w:val="center"/>
          </w:tcPr>
          <w:p>
            <w:pPr>
              <w:jc w:val="center"/>
              <w:rPr>
                <w:rFonts w:hint="eastAsia" w:ascii="黑体" w:eastAsia="黑体"/>
                <w:color w:val="auto"/>
                <w:szCs w:val="44"/>
                <w:highlight w:val="none"/>
              </w:rPr>
            </w:pPr>
          </w:p>
        </w:tc>
        <w:tc>
          <w:tcPr>
            <w:tcW w:w="1144" w:type="dxa"/>
            <w:noWrap w:val="0"/>
            <w:vAlign w:val="center"/>
          </w:tcPr>
          <w:p>
            <w:pPr>
              <w:jc w:val="center"/>
              <w:rPr>
                <w:rFonts w:hint="eastAsia" w:ascii="黑体" w:eastAsia="黑体"/>
                <w:color w:val="auto"/>
                <w:szCs w:val="44"/>
                <w:highlight w:val="none"/>
              </w:rPr>
            </w:pPr>
          </w:p>
        </w:tc>
        <w:tc>
          <w:tcPr>
            <w:tcW w:w="2588" w:type="dxa"/>
            <w:noWrap w:val="0"/>
            <w:vAlign w:val="center"/>
          </w:tcPr>
          <w:p>
            <w:pPr>
              <w:jc w:val="center"/>
              <w:rPr>
                <w:rFonts w:hint="eastAsia" w:ascii="黑体" w:eastAsia="黑体"/>
                <w:color w:val="auto"/>
                <w:szCs w:val="44"/>
                <w:highlight w:val="none"/>
              </w:rPr>
            </w:pPr>
          </w:p>
        </w:tc>
        <w:tc>
          <w:tcPr>
            <w:tcW w:w="2306" w:type="dxa"/>
            <w:noWrap w:val="0"/>
            <w:vAlign w:val="center"/>
          </w:tcPr>
          <w:p>
            <w:pPr>
              <w:jc w:val="center"/>
              <w:rPr>
                <w:rFonts w:hint="eastAsia" w:ascii="黑体" w:eastAsia="黑体"/>
                <w:color w:val="auto"/>
                <w:szCs w:val="44"/>
                <w:highlight w:val="none"/>
              </w:rPr>
            </w:pPr>
          </w:p>
        </w:tc>
        <w:tc>
          <w:tcPr>
            <w:tcW w:w="1556" w:type="dxa"/>
            <w:noWrap w:val="0"/>
            <w:vAlign w:val="center"/>
          </w:tcPr>
          <w:p>
            <w:pPr>
              <w:jc w:val="center"/>
              <w:rPr>
                <w:rFonts w:hint="eastAsia" w:ascii="黑体" w:eastAsia="黑体"/>
                <w:color w:val="auto"/>
                <w:szCs w:val="44"/>
                <w:highlight w:val="none"/>
              </w:rPr>
            </w:pPr>
          </w:p>
        </w:tc>
      </w:tr>
    </w:tbl>
    <w:p>
      <w:pPr>
        <w:spacing w:line="360" w:lineRule="auto"/>
        <w:rPr>
          <w:rFonts w:hint="eastAsia" w:ascii="黑体" w:eastAsia="黑体"/>
          <w:color w:val="auto"/>
          <w:szCs w:val="44"/>
          <w:highlight w:val="none"/>
        </w:rPr>
      </w:pPr>
    </w:p>
    <w:p>
      <w:pPr>
        <w:spacing w:line="360" w:lineRule="auto"/>
        <w:rPr>
          <w:rFonts w:hint="eastAsia" w:ascii="黑体" w:eastAsia="黑体"/>
          <w:color w:val="auto"/>
          <w:szCs w:val="44"/>
          <w:highlight w:val="none"/>
        </w:rPr>
      </w:pPr>
    </w:p>
    <w:p>
      <w:pPr>
        <w:spacing w:line="360" w:lineRule="auto"/>
        <w:rPr>
          <w:rFonts w:hint="eastAsia" w:ascii="黑体" w:eastAsia="黑体"/>
          <w:color w:val="auto"/>
          <w:szCs w:val="44"/>
          <w:highlight w:val="none"/>
        </w:rPr>
      </w:pPr>
    </w:p>
    <w:p>
      <w:pPr>
        <w:keepNext w:val="0"/>
        <w:keepLines w:val="0"/>
        <w:pageBreakBefore w:val="0"/>
        <w:widowControl/>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pacing w:val="0"/>
          <w:kern w:val="2"/>
          <w:position w:val="0"/>
          <w:sz w:val="24"/>
          <w:highlight w:val="none"/>
        </w:rPr>
        <w:br w:type="page"/>
      </w:r>
      <w:r>
        <w:rPr>
          <w:rFonts w:hint="eastAsia" w:ascii="宋体" w:hAnsi="宋体" w:eastAsia="宋体" w:cs="Times New Roman"/>
          <w:color w:val="auto"/>
          <w:sz w:val="24"/>
          <w:highlight w:val="none"/>
        </w:rPr>
        <w:t>附</w:t>
      </w:r>
      <w:r>
        <w:rPr>
          <w:rFonts w:hint="eastAsia" w:ascii="宋体" w:hAnsi="宋体" w:eastAsia="宋体" w:cs="Times New Roman"/>
          <w:color w:val="auto"/>
          <w:sz w:val="24"/>
          <w:highlight w:val="none"/>
          <w:lang w:val="en-US" w:eastAsia="zh-CN"/>
        </w:rPr>
        <w:t>件10</w:t>
      </w:r>
      <w:r>
        <w:rPr>
          <w:rFonts w:hint="eastAsia" w:ascii="宋体" w:hAnsi="宋体" w:eastAsia="宋体" w:cs="Times New Roman"/>
          <w:color w:val="auto"/>
          <w:sz w:val="24"/>
          <w:highlight w:val="none"/>
        </w:rPr>
        <w:t>：评标专家承诺书</w:t>
      </w:r>
    </w:p>
    <w:p>
      <w:pPr>
        <w:keepNext w:val="0"/>
        <w:keepLines w:val="0"/>
        <w:pageBreakBefore w:val="0"/>
        <w:widowControl/>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Times New Roman"/>
          <w:color w:val="auto"/>
          <w:spacing w:val="0"/>
          <w:kern w:val="2"/>
          <w:position w:val="0"/>
          <w:sz w:val="24"/>
          <w:highlight w:val="none"/>
        </w:rPr>
      </w:pPr>
    </w:p>
    <w:p>
      <w:pPr>
        <w:spacing w:before="120" w:beforeLines="50" w:after="120" w:afterLines="5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评标专家承诺书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受</w:t>
      </w:r>
      <w:r>
        <w:rPr>
          <w:rFonts w:hint="eastAsia" w:ascii="宋体" w:hAnsi="宋体"/>
          <w:color w:val="auto"/>
          <w:szCs w:val="21"/>
          <w:highlight w:val="none"/>
          <w:u w:val="single"/>
        </w:rPr>
        <w:t xml:space="preserve">                                               </w:t>
      </w:r>
      <w:r>
        <w:rPr>
          <w:rFonts w:hint="eastAsia" w:ascii="宋体" w:hAnsi="宋体"/>
          <w:color w:val="auto"/>
          <w:szCs w:val="21"/>
          <w:highlight w:val="none"/>
        </w:rPr>
        <w:t>（招标人）邀请，担任</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项目（项目名称）的评标委员会成员。谨在此作出如下承诺：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1.严格遵守《中华人民共和国招标投标法》《中华人民共和国招标投标法实施条例》</w:t>
      </w:r>
      <w:r>
        <w:rPr>
          <w:rFonts w:hint="eastAsia" w:ascii="宋体" w:hAnsi="宋体"/>
          <w:color w:val="auto"/>
          <w:highlight w:val="none"/>
        </w:rPr>
        <w:t>《评标委员会和评标方法暂行规定》</w:t>
      </w:r>
      <w:r>
        <w:rPr>
          <w:rFonts w:hint="eastAsia" w:ascii="宋体" w:hAnsi="宋体"/>
          <w:color w:val="auto"/>
          <w:szCs w:val="21"/>
          <w:highlight w:val="none"/>
        </w:rPr>
        <w:t>等国家法律及国家有关部门关于招投标的法规规章，维护国家利益。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2.客观、公正地履行职责，遵守职业道德，严格按照招标文件规定的评标标准、办法和有关法律、法规的规定进行评标，对所提出的评审意见承担个人责任。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3.履行相关的保密义务，遵守评标纪律，不私下接触投标人，不收受他人的财物或其他好处，不透露对投标文件的评审和比较、中标候选人的推荐情况以及与评标有关的其他情况。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4.自觉抵制违法违规的招投标活动，协助、配合专家库管理部门的监督、检查工作。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5.如有违反上述承诺的行为发生，自愿接受主管部门处理。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6.有下列情形之一的，本人将主动申请回避，如有违反，同意取消评标专家资格，并承担相应的法律责任：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left="225" w:leftChars="107"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keepNext w:val="0"/>
        <w:keepLines w:val="0"/>
        <w:pageBreakBefore w:val="0"/>
        <w:widowControl w:val="0"/>
        <w:kinsoku/>
        <w:wordWrap/>
        <w:overflowPunct/>
        <w:topLinePunct w:val="0"/>
        <w:autoSpaceDE/>
        <w:autoSpaceDN/>
        <w:bidi w:val="0"/>
        <w:adjustRightInd/>
        <w:snapToGrid/>
        <w:spacing w:line="360" w:lineRule="auto"/>
        <w:ind w:left="225" w:leftChars="107"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（2）项目主管部门或监督管理部门的人员；</w:t>
      </w:r>
    </w:p>
    <w:p>
      <w:pPr>
        <w:keepNext w:val="0"/>
        <w:keepLines w:val="0"/>
        <w:pageBreakBefore w:val="0"/>
        <w:widowControl w:val="0"/>
        <w:kinsoku/>
        <w:wordWrap/>
        <w:overflowPunct/>
        <w:topLinePunct w:val="0"/>
        <w:autoSpaceDE/>
        <w:autoSpaceDN/>
        <w:bidi w:val="0"/>
        <w:adjustRightInd/>
        <w:snapToGrid/>
        <w:spacing w:line="360" w:lineRule="auto"/>
        <w:ind w:left="225" w:leftChars="107"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（3）与投标人有其他社会关系或者经济利益关系，可能影响对投标公正评审的；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left="1275" w:leftChars="357" w:hanging="525" w:hangingChars="250"/>
        <w:textAlignment w:val="auto"/>
        <w:rPr>
          <w:rFonts w:hint="eastAsia" w:ascii="宋体" w:hAnsi="宋体"/>
          <w:color w:val="auto"/>
          <w:szCs w:val="21"/>
          <w:highlight w:val="none"/>
        </w:rPr>
      </w:pPr>
      <w:r>
        <w:rPr>
          <w:rFonts w:hint="eastAsia" w:ascii="宋体" w:hAnsi="宋体"/>
          <w:color w:val="auto"/>
          <w:szCs w:val="21"/>
          <w:highlight w:val="none"/>
        </w:rPr>
        <w:t>（4）曾因在招标、评标以及其他与招标投标活动有关活动中从事违法行为而受过行政处罚或刑事处罚的；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left="225" w:leftChars="107"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（5）其他依法应当回避的人员。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7.本人已听清楚并知悉招标代理宣读的《评标专家纪律要求》</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olor w:val="auto"/>
          <w:szCs w:val="21"/>
          <w:highlight w:val="none"/>
        </w:rPr>
      </w:pPr>
      <w:r>
        <w:rPr>
          <w:rFonts w:hint="eastAsia" w:ascii="宋体" w:hAnsi="宋体"/>
          <w:color w:val="auto"/>
          <w:szCs w:val="21"/>
          <w:highlight w:val="none"/>
        </w:rPr>
        <w:t>承诺日期：             年     月    日</w:t>
      </w:r>
    </w:p>
    <w:p>
      <w:pPr>
        <w:spacing w:line="360" w:lineRule="auto"/>
        <w:jc w:val="center"/>
        <w:rPr>
          <w:rFonts w:hint="eastAsia" w:ascii="楷体_GB2312" w:eastAsia="楷体_GB2312"/>
          <w:color w:val="auto"/>
          <w:highlight w:val="none"/>
        </w:rPr>
      </w:pPr>
    </w:p>
    <w:p>
      <w:pPr>
        <w:widowControl/>
        <w:snapToGrid w:val="0"/>
        <w:ind w:left="10" w:hanging="10"/>
        <w:rPr>
          <w:rFonts w:ascii="黑体" w:eastAsia="黑体" w:cs="黑体"/>
          <w:color w:val="auto"/>
          <w:spacing w:val="2"/>
          <w:kern w:val="0"/>
          <w:position w:val="-3"/>
          <w:sz w:val="24"/>
          <w:highlight w:val="none"/>
        </w:rPr>
      </w:pPr>
    </w:p>
    <w:p>
      <w:pPr>
        <w:widowControl/>
        <w:snapToGrid w:val="0"/>
        <w:ind w:left="10" w:hanging="10"/>
        <w:rPr>
          <w:rFonts w:ascii="黑体" w:eastAsia="黑体" w:cs="黑体"/>
          <w:color w:val="auto"/>
          <w:spacing w:val="2"/>
          <w:kern w:val="0"/>
          <w:position w:val="-3"/>
          <w:sz w:val="24"/>
          <w:highlight w:val="none"/>
        </w:rPr>
      </w:pPr>
    </w:p>
    <w:p>
      <w:pPr>
        <w:widowControl/>
        <w:snapToGrid w:val="0"/>
        <w:ind w:left="10" w:hanging="10"/>
        <w:rPr>
          <w:rFonts w:ascii="黑体" w:eastAsia="黑体" w:cs="黑体"/>
          <w:color w:val="auto"/>
          <w:spacing w:val="2"/>
          <w:kern w:val="0"/>
          <w:position w:val="-3"/>
          <w:sz w:val="24"/>
          <w:highlight w:val="none"/>
        </w:rPr>
      </w:pPr>
    </w:p>
    <w:p>
      <w:pPr>
        <w:spacing w:line="240" w:lineRule="auto"/>
        <w:rPr>
          <w:rFonts w:hint="eastAsia" w:ascii="宋体" w:hAnsi="宋体" w:eastAsia="宋体" w:cs="Times New Roman"/>
          <w:color w:val="auto"/>
          <w:sz w:val="24"/>
          <w:highlight w:val="none"/>
        </w:rPr>
      </w:pPr>
      <w:r>
        <w:rPr>
          <w:rFonts w:ascii="黑体" w:eastAsia="黑体" w:cs="黑体"/>
          <w:color w:val="auto"/>
          <w:spacing w:val="2"/>
          <w:kern w:val="0"/>
          <w:position w:val="-3"/>
          <w:sz w:val="24"/>
          <w:highlight w:val="none"/>
        </w:rPr>
        <w:br w:type="page"/>
      </w:r>
      <w:r>
        <w:rPr>
          <w:rFonts w:hint="eastAsia" w:ascii="宋体" w:hAnsi="宋体" w:eastAsia="宋体" w:cs="Times New Roman"/>
          <w:color w:val="auto"/>
          <w:sz w:val="24"/>
          <w:highlight w:val="none"/>
        </w:rPr>
        <w:t>附</w:t>
      </w:r>
      <w:r>
        <w:rPr>
          <w:rFonts w:hint="eastAsia" w:ascii="宋体" w:hAnsi="宋体" w:eastAsia="宋体" w:cs="Times New Roman"/>
          <w:color w:val="auto"/>
          <w:sz w:val="24"/>
          <w:highlight w:val="none"/>
          <w:lang w:val="en-US" w:eastAsia="zh-CN"/>
        </w:rPr>
        <w:t>件11</w:t>
      </w:r>
      <w:r>
        <w:rPr>
          <w:rFonts w:hint="eastAsia" w:ascii="宋体" w:hAnsi="宋体" w:eastAsia="宋体" w:cs="Times New Roman"/>
          <w:color w:val="auto"/>
          <w:sz w:val="24"/>
          <w:highlight w:val="none"/>
        </w:rPr>
        <w:t>：评标专家纪律要求</w:t>
      </w:r>
    </w:p>
    <w:p>
      <w:pPr>
        <w:spacing w:line="240" w:lineRule="auto"/>
        <w:rPr>
          <w:rFonts w:hint="eastAsia" w:ascii="宋体" w:hAnsi="宋体" w:eastAsia="宋体" w:cs="Times New Roman"/>
          <w:color w:val="auto"/>
          <w:sz w:val="24"/>
          <w:highlight w:val="none"/>
        </w:rPr>
      </w:pPr>
    </w:p>
    <w:p>
      <w:pPr>
        <w:spacing w:before="120" w:beforeLines="50" w:after="120" w:afterLines="5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评标专家纪律要求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评标委员会各成员应遵守以下纪律要求：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1.严格遵守《中华人民共和国招标投标法》《中华人民共和国招标投标法实施条例》</w:t>
      </w:r>
      <w:r>
        <w:rPr>
          <w:rFonts w:hint="eastAsia" w:ascii="宋体" w:hAnsi="宋体"/>
          <w:color w:val="auto"/>
          <w:highlight w:val="none"/>
        </w:rPr>
        <w:t>《评标委员会和评标方法暂行规定》</w:t>
      </w:r>
      <w:r>
        <w:rPr>
          <w:rFonts w:hint="eastAsia" w:ascii="宋体" w:hAnsi="宋体"/>
          <w:color w:val="auto"/>
          <w:szCs w:val="21"/>
          <w:highlight w:val="none"/>
        </w:rPr>
        <w:t>等国家法律及国家有关部门关于招投标的法规规章，维护国家利益。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2.客观、公正地履行职责，遵守职业道德，严格按照招标文件规定的评标标准、办法和有关法律、法规的规定进行评标，对所提出的评审意见承担个人责任。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3.履行相关的保密义务，遵守评标纪律，不私下接触投标人，不收受他人的财物或其他好处，不透露对投标文件的评审和比较、中标候选人的推荐情况以及与评标有关的其他情况。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4.自觉抵制违法违规的招投标活动，协助、配合专家库管理部门的监督、检查工作。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5.如有违反上述承诺的行为发生，自愿接受主管部门处理。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6.有下列情形之一的，本人将主动申请回避，如有违反，同意取消评标专家资格，并承担相应的法律责任：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（2）项目主管部门或监督管理部门的人员；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（3）与投标人有其他社会关系或者经济利益关系，可能影响对投标公正评审的；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（4）曾因在招标、评标以及其他与招标投标活动有关活动中从事违法行为而受过行政处罚或刑事处罚的；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（5）其他依法应当回避的人员。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7.评标委员会违反上述要求，相关法律法规罚则如下：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评标委员会成员有</w:t>
      </w:r>
      <w:r>
        <w:rPr>
          <w:rFonts w:hint="eastAsia" w:ascii="宋体" w:hAnsi="宋体"/>
          <w:color w:val="auto"/>
          <w:szCs w:val="21"/>
          <w:highlight w:val="none"/>
        </w:rPr>
        <w:t>以下行为之一的（包括</w:t>
      </w:r>
      <w:r>
        <w:rPr>
          <w:rFonts w:ascii="宋体" w:hAnsi="宋体"/>
          <w:color w:val="auto"/>
          <w:szCs w:val="21"/>
          <w:highlight w:val="none"/>
        </w:rPr>
        <w:t>应当回避而不回</w:t>
      </w:r>
      <w:r>
        <w:rPr>
          <w:rFonts w:hint="eastAsia" w:ascii="宋体" w:hAnsi="宋体"/>
          <w:color w:val="auto"/>
          <w:szCs w:val="21"/>
          <w:highlight w:val="none"/>
          <w:lang w:eastAsia="zh-CN"/>
        </w:rPr>
        <w:t>避的</w:t>
      </w:r>
      <w:r>
        <w:rPr>
          <w:rFonts w:hint="eastAsia" w:ascii="宋体" w:hAnsi="宋体"/>
          <w:color w:val="auto"/>
          <w:szCs w:val="21"/>
          <w:highlight w:val="none"/>
        </w:rPr>
        <w:t>；</w:t>
      </w:r>
      <w:r>
        <w:rPr>
          <w:rFonts w:ascii="宋体" w:hAnsi="宋体"/>
          <w:color w:val="auto"/>
          <w:szCs w:val="21"/>
          <w:highlight w:val="none"/>
        </w:rPr>
        <w:t>擅离职守</w:t>
      </w:r>
      <w:r>
        <w:rPr>
          <w:rFonts w:hint="eastAsia" w:ascii="宋体" w:hAnsi="宋体"/>
          <w:color w:val="auto"/>
          <w:szCs w:val="21"/>
          <w:highlight w:val="none"/>
        </w:rPr>
        <w:t>的；</w:t>
      </w:r>
      <w:r>
        <w:rPr>
          <w:rFonts w:ascii="宋体" w:hAnsi="宋体"/>
          <w:color w:val="auto"/>
          <w:szCs w:val="21"/>
          <w:highlight w:val="none"/>
        </w:rPr>
        <w:t>不按照招标文件规定的评标标准和方法评标</w:t>
      </w:r>
      <w:r>
        <w:rPr>
          <w:rFonts w:hint="eastAsia" w:ascii="宋体" w:hAnsi="宋体"/>
          <w:color w:val="auto"/>
          <w:szCs w:val="21"/>
          <w:highlight w:val="none"/>
        </w:rPr>
        <w:t>的；</w:t>
      </w:r>
      <w:r>
        <w:rPr>
          <w:rFonts w:ascii="宋体" w:hAnsi="宋体"/>
          <w:color w:val="auto"/>
          <w:szCs w:val="21"/>
          <w:highlight w:val="none"/>
        </w:rPr>
        <w:t>私下接触投标人</w:t>
      </w:r>
      <w:r>
        <w:rPr>
          <w:rFonts w:hint="eastAsia" w:ascii="宋体" w:hAnsi="宋体"/>
          <w:color w:val="auto"/>
          <w:szCs w:val="21"/>
          <w:highlight w:val="none"/>
        </w:rPr>
        <w:t>的；</w:t>
      </w:r>
      <w:r>
        <w:rPr>
          <w:rFonts w:ascii="宋体" w:hAnsi="宋体"/>
          <w:color w:val="auto"/>
          <w:szCs w:val="21"/>
          <w:highlight w:val="none"/>
        </w:rPr>
        <w:t>向招标人征询确定中标人的意向或者接受任何单位或者个人明示或者暗示提出的倾向或者排斥特定投标人的要求</w:t>
      </w:r>
      <w:r>
        <w:rPr>
          <w:rFonts w:hint="eastAsia" w:ascii="宋体" w:hAnsi="宋体"/>
          <w:color w:val="auto"/>
          <w:szCs w:val="21"/>
          <w:highlight w:val="none"/>
        </w:rPr>
        <w:t>的；</w:t>
      </w:r>
      <w:r>
        <w:rPr>
          <w:rFonts w:ascii="宋体" w:hAnsi="宋体"/>
          <w:color w:val="auto"/>
          <w:szCs w:val="21"/>
          <w:highlight w:val="none"/>
        </w:rPr>
        <w:t>对依法应当否决的投标不提出否决意见</w:t>
      </w:r>
      <w:r>
        <w:rPr>
          <w:rFonts w:hint="eastAsia" w:ascii="宋体" w:hAnsi="宋体"/>
          <w:color w:val="auto"/>
          <w:szCs w:val="21"/>
          <w:highlight w:val="none"/>
        </w:rPr>
        <w:t>的；</w:t>
      </w:r>
      <w:r>
        <w:rPr>
          <w:rFonts w:ascii="宋体" w:hAnsi="宋体"/>
          <w:color w:val="auto"/>
          <w:szCs w:val="21"/>
          <w:highlight w:val="none"/>
        </w:rPr>
        <w:t>暗示或者诱导投标人作出澄清、说明或者接受投标人主动提出的澄清、说明</w:t>
      </w:r>
      <w:r>
        <w:rPr>
          <w:rFonts w:hint="eastAsia" w:ascii="宋体" w:hAnsi="宋体"/>
          <w:color w:val="auto"/>
          <w:szCs w:val="21"/>
          <w:highlight w:val="none"/>
        </w:rPr>
        <w:t>的；</w:t>
      </w:r>
      <w:r>
        <w:rPr>
          <w:rFonts w:ascii="宋体" w:hAnsi="宋体"/>
          <w:color w:val="auto"/>
          <w:szCs w:val="21"/>
          <w:highlight w:val="none"/>
        </w:rPr>
        <w:t>其他不客观、不公正履行职务的行为</w:t>
      </w:r>
      <w:r>
        <w:rPr>
          <w:rFonts w:hint="eastAsia" w:ascii="宋体" w:hAnsi="宋体"/>
          <w:color w:val="auto"/>
          <w:szCs w:val="21"/>
          <w:highlight w:val="none"/>
        </w:rPr>
        <w:t>的），</w:t>
      </w:r>
      <w:r>
        <w:rPr>
          <w:rFonts w:ascii="宋体" w:hAnsi="宋体"/>
          <w:color w:val="auto"/>
          <w:szCs w:val="21"/>
          <w:highlight w:val="none"/>
        </w:rPr>
        <w:t>由有关行政监督部门责令改正</w:t>
      </w:r>
      <w:r>
        <w:rPr>
          <w:rFonts w:hint="eastAsia" w:ascii="宋体" w:hAnsi="宋体"/>
          <w:color w:val="auto"/>
          <w:szCs w:val="21"/>
          <w:highlight w:val="none"/>
        </w:rPr>
        <w:t>；</w:t>
      </w:r>
      <w:r>
        <w:rPr>
          <w:rFonts w:ascii="宋体" w:hAnsi="宋体"/>
          <w:color w:val="auto"/>
          <w:szCs w:val="21"/>
          <w:highlight w:val="none"/>
        </w:rPr>
        <w:t>情节严重的</w:t>
      </w:r>
      <w:r>
        <w:rPr>
          <w:rFonts w:hint="eastAsia" w:ascii="宋体" w:hAnsi="宋体"/>
          <w:color w:val="auto"/>
          <w:szCs w:val="21"/>
          <w:highlight w:val="none"/>
        </w:rPr>
        <w:t>，</w:t>
      </w:r>
      <w:r>
        <w:rPr>
          <w:rFonts w:ascii="宋体" w:hAnsi="宋体"/>
          <w:color w:val="auto"/>
          <w:szCs w:val="21"/>
          <w:highlight w:val="none"/>
        </w:rPr>
        <w:t>禁止其在一定期限内参加依法必须进行招标的项目的评标</w:t>
      </w:r>
      <w:r>
        <w:rPr>
          <w:rFonts w:hint="eastAsia" w:ascii="宋体" w:hAnsi="宋体"/>
          <w:color w:val="auto"/>
          <w:szCs w:val="21"/>
          <w:highlight w:val="none"/>
        </w:rPr>
        <w:t>；</w:t>
      </w:r>
      <w:r>
        <w:rPr>
          <w:rFonts w:ascii="宋体" w:hAnsi="宋体"/>
          <w:color w:val="auto"/>
          <w:szCs w:val="21"/>
          <w:highlight w:val="none"/>
        </w:rPr>
        <w:t>情节特别严重的</w:t>
      </w:r>
      <w:r>
        <w:rPr>
          <w:rFonts w:hint="eastAsia" w:ascii="宋体" w:hAnsi="宋体"/>
          <w:color w:val="auto"/>
          <w:szCs w:val="21"/>
          <w:highlight w:val="none"/>
        </w:rPr>
        <w:t>，</w:t>
      </w:r>
      <w:r>
        <w:rPr>
          <w:rFonts w:ascii="宋体" w:hAnsi="宋体"/>
          <w:color w:val="auto"/>
          <w:szCs w:val="21"/>
          <w:highlight w:val="none"/>
        </w:rPr>
        <w:t>取消其担任评标委员会成员的资格</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黑体" w:eastAsia="黑体"/>
          <w:color w:val="auto"/>
          <w:szCs w:val="44"/>
          <w:highlight w:val="none"/>
        </w:rPr>
        <w:sectPr>
          <w:pgSz w:w="11906" w:h="16838"/>
          <w:pgMar w:top="850" w:right="1134" w:bottom="850" w:left="1134" w:header="567" w:footer="567" w:gutter="0"/>
          <w:pgBorders w:offsetFrom="page">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color w:val="auto"/>
          <w:szCs w:val="21"/>
          <w:highlight w:val="none"/>
        </w:rPr>
        <w:t>（2）评标委员会成员收受投标人的财物或者其他好处的，评标委员会成员向他人透露对投标文件的评审和比较、中标候选人的推荐以及与评标有关的其他情况的</w:t>
      </w:r>
      <w:r>
        <w:rPr>
          <w:rFonts w:hint="eastAsia" w:ascii="宋体" w:hAnsi="宋体"/>
          <w:color w:val="auto"/>
          <w:szCs w:val="21"/>
          <w:highlight w:val="none"/>
          <w:lang w:eastAsia="zh-CN"/>
        </w:rPr>
        <w:t>，</w:t>
      </w:r>
      <w:r>
        <w:rPr>
          <w:rFonts w:hint="eastAsia" w:ascii="宋体" w:hAnsi="宋体"/>
          <w:color w:val="auto"/>
          <w:szCs w:val="21"/>
          <w:highlight w:val="none"/>
        </w:rPr>
        <w:t>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pStyle w:val="38"/>
        <w:rPr>
          <w:rFonts w:hint="eastAsia" w:ascii="宋体" w:hAnsi="宋体" w:eastAsia="宋体"/>
          <w:color w:val="auto"/>
          <w:sz w:val="36"/>
          <w:szCs w:val="36"/>
          <w:highlight w:val="none"/>
          <w:lang w:eastAsia="zh-CN"/>
        </w:rPr>
      </w:pPr>
      <w:bookmarkStart w:id="28" w:name="_Toc255372870"/>
      <w:bookmarkStart w:id="29" w:name="_Toc28964996"/>
      <w:bookmarkStart w:id="30" w:name="_Toc1430284413"/>
      <w:bookmarkStart w:id="31" w:name="_Toc548757442"/>
      <w:r>
        <w:rPr>
          <w:rFonts w:hint="eastAsia" w:ascii="宋体" w:hAnsi="宋体" w:eastAsia="宋体"/>
          <w:color w:val="auto"/>
          <w:sz w:val="36"/>
          <w:szCs w:val="36"/>
          <w:highlight w:val="none"/>
        </w:rPr>
        <w:t>第四</w:t>
      </w:r>
      <w:r>
        <w:rPr>
          <w:rFonts w:ascii="宋体" w:hAnsi="宋体" w:eastAsia="宋体"/>
          <w:color w:val="auto"/>
          <w:sz w:val="36"/>
          <w:szCs w:val="36"/>
          <w:highlight w:val="none"/>
        </w:rPr>
        <w:t>章</w:t>
      </w:r>
      <w:r>
        <w:rPr>
          <w:rFonts w:hint="eastAsia" w:ascii="宋体" w:hAnsi="宋体" w:eastAsia="宋体"/>
          <w:color w:val="auto"/>
          <w:sz w:val="36"/>
          <w:szCs w:val="36"/>
          <w:highlight w:val="none"/>
          <w:lang w:eastAsia="zh-CN"/>
        </w:rPr>
        <w:t xml:space="preserve">  </w:t>
      </w:r>
      <w:r>
        <w:rPr>
          <w:rFonts w:hint="eastAsia" w:ascii="宋体" w:hAnsi="宋体" w:eastAsia="宋体"/>
          <w:color w:val="auto"/>
          <w:sz w:val="36"/>
          <w:szCs w:val="36"/>
          <w:highlight w:val="none"/>
        </w:rPr>
        <w:t>定标办法</w:t>
      </w:r>
      <w:bookmarkEnd w:id="28"/>
      <w:bookmarkEnd w:id="29"/>
      <w:bookmarkEnd w:id="30"/>
      <w:bookmarkEnd w:id="31"/>
    </w:p>
    <w:p>
      <w:pPr>
        <w:spacing w:after="120" w:afterLines="5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定标办法前附</w:t>
      </w:r>
      <w:r>
        <w:rPr>
          <w:rFonts w:ascii="黑体" w:hAnsi="宋体" w:eastAsia="黑体"/>
          <w:color w:val="auto"/>
          <w:sz w:val="28"/>
          <w:szCs w:val="28"/>
          <w:highlight w:val="none"/>
        </w:rPr>
        <w:t>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5"/>
        <w:gridCol w:w="750"/>
        <w:gridCol w:w="1118"/>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1165"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11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定标因素</w:t>
            </w:r>
          </w:p>
        </w:tc>
        <w:tc>
          <w:tcPr>
            <w:tcW w:w="7436"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定标标准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415"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750"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定量评价定标</w:t>
            </w:r>
          </w:p>
        </w:tc>
        <w:tc>
          <w:tcPr>
            <w:tcW w:w="1118" w:type="dxa"/>
            <w:noWrap w:val="0"/>
            <w:vAlign w:val="center"/>
          </w:tcPr>
          <w:p>
            <w:pPr>
              <w:jc w:val="center"/>
              <w:rPr>
                <w:rFonts w:hint="eastAsia"/>
                <w:color w:val="auto"/>
                <w:szCs w:val="21"/>
                <w:highlight w:val="none"/>
                <w:u w:val="single"/>
              </w:rPr>
            </w:pPr>
            <w:r>
              <w:rPr>
                <w:rFonts w:hint="eastAsia"/>
                <w:color w:val="auto"/>
                <w:szCs w:val="21"/>
                <w:highlight w:val="none"/>
                <w:u w:val="single"/>
              </w:rPr>
              <w:t>技术因素</w:t>
            </w:r>
          </w:p>
        </w:tc>
        <w:tc>
          <w:tcPr>
            <w:tcW w:w="7436" w:type="dxa"/>
            <w:noWrap w:val="0"/>
            <w:vAlign w:val="center"/>
          </w:tcPr>
          <w:p>
            <w:pPr>
              <w:rPr>
                <w:rFonts w:hint="eastAsia" w:ascii="宋体" w:hAnsi="宋体"/>
                <w:color w:val="auto"/>
                <w:szCs w:val="21"/>
                <w:highlight w:val="none"/>
              </w:rPr>
            </w:pPr>
            <w:r>
              <w:rPr>
                <w:rFonts w:hint="eastAsia"/>
                <w:color w:val="auto"/>
                <w:szCs w:val="21"/>
                <w:highlight w:val="none"/>
                <w:u w:val="single"/>
              </w:rPr>
              <w:t>包括但不限于质量标准、质量创优目标、进度目标、安全文明施工目标、主要管理和技术人员投入等；与工程建设有关的货物可将必须响应的技术规格、技术参数、服务标准、交付或实施的时间地点等列入技术标的评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color w:val="auto"/>
                <w:szCs w:val="21"/>
                <w:highlight w:val="none"/>
                <w:u w:val="single"/>
              </w:rPr>
            </w:pPr>
            <w:r>
              <w:rPr>
                <w:rFonts w:hint="eastAsia"/>
                <w:color w:val="auto"/>
                <w:szCs w:val="21"/>
                <w:highlight w:val="none"/>
                <w:u w:val="single"/>
              </w:rPr>
              <w:t>价格因素</w:t>
            </w:r>
          </w:p>
        </w:tc>
        <w:tc>
          <w:tcPr>
            <w:tcW w:w="7436" w:type="dxa"/>
            <w:noWrap w:val="0"/>
            <w:vAlign w:val="center"/>
          </w:tcPr>
          <w:p>
            <w:pPr>
              <w:rPr>
                <w:rFonts w:hint="eastAsia" w:ascii="宋体" w:hAnsi="宋体"/>
                <w:color w:val="auto"/>
                <w:szCs w:val="21"/>
                <w:highlight w:val="none"/>
              </w:rPr>
            </w:pPr>
            <w:r>
              <w:rPr>
                <w:rFonts w:hint="eastAsia"/>
                <w:color w:val="auto"/>
                <w:szCs w:val="21"/>
                <w:highlight w:val="none"/>
                <w:u w:val="single"/>
              </w:rPr>
              <w:t>按照定标候选人报价</w:t>
            </w:r>
            <w:r>
              <w:rPr>
                <w:rFonts w:hint="eastAsia"/>
                <w:color w:val="auto"/>
                <w:szCs w:val="21"/>
                <w:highlight w:val="none"/>
                <w:u w:val="single"/>
                <w:lang w:eastAsia="zh-CN"/>
              </w:rPr>
              <w:t>与评标阶段的报价平均值的差额</w:t>
            </w:r>
            <w:r>
              <w:rPr>
                <w:rFonts w:hint="eastAsia"/>
                <w:color w:val="auto"/>
                <w:szCs w:val="21"/>
                <w:highlight w:val="none"/>
                <w:u w:val="single"/>
              </w:rPr>
              <w:t>由低到高排序。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4"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color w:val="auto"/>
                <w:szCs w:val="21"/>
                <w:highlight w:val="none"/>
                <w:u w:val="single"/>
              </w:rPr>
            </w:pPr>
            <w:r>
              <w:rPr>
                <w:rFonts w:hint="eastAsia"/>
                <w:color w:val="auto"/>
                <w:szCs w:val="21"/>
                <w:highlight w:val="none"/>
                <w:u w:val="single"/>
              </w:rPr>
              <w:t>企业实力因素</w:t>
            </w:r>
          </w:p>
        </w:tc>
        <w:tc>
          <w:tcPr>
            <w:tcW w:w="7436" w:type="dxa"/>
            <w:noWrap w:val="0"/>
            <w:vAlign w:val="center"/>
          </w:tcPr>
          <w:p>
            <w:pPr>
              <w:rPr>
                <w:rFonts w:hint="eastAsia" w:ascii="宋体" w:hAnsi="宋体"/>
                <w:color w:val="auto"/>
                <w:szCs w:val="21"/>
                <w:highlight w:val="none"/>
              </w:rPr>
            </w:pPr>
            <w:r>
              <w:rPr>
                <w:rFonts w:hint="eastAsia"/>
                <w:color w:val="auto"/>
                <w:szCs w:val="21"/>
                <w:highlight w:val="none"/>
                <w:u w:val="single"/>
              </w:rPr>
              <w:t>包括但不限于资质等级、企业信用、</w:t>
            </w:r>
            <w:r>
              <w:rPr>
                <w:rFonts w:hint="eastAsia"/>
                <w:color w:val="auto"/>
                <w:szCs w:val="21"/>
                <w:highlight w:val="none"/>
                <w:u w:val="single"/>
                <w:lang w:eastAsia="zh-CN"/>
              </w:rPr>
              <w:t>资产负债率、行业地位、</w:t>
            </w:r>
            <w:r>
              <w:rPr>
                <w:rFonts w:hint="eastAsia"/>
                <w:color w:val="auto"/>
                <w:szCs w:val="21"/>
                <w:highlight w:val="none"/>
                <w:u w:val="single"/>
              </w:rPr>
              <w:t>过往业绩、履约情况等等。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color w:val="auto"/>
                <w:szCs w:val="21"/>
                <w:highlight w:val="none"/>
                <w:u w:val="single"/>
              </w:rPr>
            </w:pPr>
            <w:r>
              <w:rPr>
                <w:rFonts w:hint="eastAsia"/>
                <w:color w:val="auto"/>
                <w:szCs w:val="21"/>
                <w:highlight w:val="none"/>
                <w:u w:val="single"/>
              </w:rPr>
              <w:t>经济社会贡献因素</w:t>
            </w:r>
          </w:p>
        </w:tc>
        <w:tc>
          <w:tcPr>
            <w:tcW w:w="7436" w:type="dxa"/>
            <w:noWrap w:val="0"/>
            <w:vAlign w:val="center"/>
          </w:tcPr>
          <w:p>
            <w:pPr>
              <w:rPr>
                <w:rFonts w:hint="eastAsia" w:ascii="宋体" w:hAnsi="宋体"/>
                <w:color w:val="auto"/>
                <w:szCs w:val="21"/>
                <w:highlight w:val="none"/>
              </w:rPr>
            </w:pPr>
            <w:r>
              <w:rPr>
                <w:rFonts w:hint="eastAsia"/>
                <w:color w:val="auto"/>
                <w:szCs w:val="21"/>
                <w:highlight w:val="none"/>
                <w:u w:val="single"/>
              </w:rPr>
              <w:t>包括但不限于企业近年的入统产值和增速、纳税、对建筑业发展的带动</w:t>
            </w:r>
            <w:r>
              <w:rPr>
                <w:rFonts w:hint="eastAsia"/>
                <w:color w:val="auto"/>
                <w:szCs w:val="21"/>
                <w:highlight w:val="none"/>
                <w:u w:val="single"/>
                <w:lang w:eastAsia="zh-CN"/>
              </w:rPr>
              <w:t>、投身“百县千镇万村高质量发展工程”情况</w:t>
            </w:r>
            <w:r>
              <w:rPr>
                <w:rFonts w:hint="eastAsia"/>
                <w:color w:val="auto"/>
                <w:szCs w:val="21"/>
                <w:highlight w:val="none"/>
                <w:u w:val="singl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eastAsia="宋体"/>
                <w:color w:val="auto"/>
                <w:szCs w:val="21"/>
                <w:highlight w:val="none"/>
                <w:u w:val="single"/>
                <w:lang w:eastAsia="zh-CN"/>
              </w:rPr>
            </w:pPr>
            <w:r>
              <w:rPr>
                <w:rFonts w:hint="eastAsia"/>
                <w:color w:val="auto"/>
                <w:szCs w:val="21"/>
                <w:highlight w:val="none"/>
                <w:u w:val="single"/>
                <w:lang w:eastAsia="zh-CN"/>
              </w:rPr>
              <w:t>考察答辩情况因素</w:t>
            </w:r>
          </w:p>
        </w:tc>
        <w:tc>
          <w:tcPr>
            <w:tcW w:w="7436" w:type="dxa"/>
            <w:noWrap w:val="0"/>
            <w:vAlign w:val="center"/>
          </w:tcPr>
          <w:p>
            <w:pPr>
              <w:rPr>
                <w:rFonts w:hint="eastAsia" w:eastAsia="宋体"/>
                <w:color w:val="auto"/>
                <w:szCs w:val="21"/>
                <w:highlight w:val="none"/>
                <w:u w:val="single"/>
                <w:lang w:eastAsia="zh-CN"/>
              </w:rPr>
            </w:pPr>
            <w:r>
              <w:rPr>
                <w:rFonts w:hint="eastAsia"/>
                <w:color w:val="auto"/>
                <w:szCs w:val="21"/>
                <w:highlight w:val="none"/>
                <w:u w:val="single"/>
                <w:lang w:eastAsia="zh-CN"/>
              </w:rPr>
              <w:t>招标人的定标前考察报告和定标阶段的答辩情况。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color w:val="auto"/>
                <w:kern w:val="2"/>
                <w:sz w:val="21"/>
                <w:szCs w:val="21"/>
                <w:highlight w:val="none"/>
                <w:u w:val="single"/>
                <w:lang w:val="en-US" w:eastAsia="zh-CN" w:bidi="ar-SA"/>
              </w:rPr>
            </w:pPr>
            <w:r>
              <w:rPr>
                <w:rFonts w:hint="eastAsia"/>
                <w:color w:val="auto"/>
                <w:szCs w:val="21"/>
                <w:highlight w:val="none"/>
                <w:u w:val="single"/>
              </w:rPr>
              <w:t>不良信息因素</w:t>
            </w:r>
          </w:p>
        </w:tc>
        <w:tc>
          <w:tcPr>
            <w:tcW w:w="7436" w:type="dxa"/>
            <w:noWrap w:val="0"/>
            <w:vAlign w:val="center"/>
          </w:tcPr>
          <w:p>
            <w:pPr>
              <w:rPr>
                <w:rFonts w:hint="eastAsia"/>
                <w:color w:val="auto"/>
                <w:kern w:val="2"/>
                <w:sz w:val="21"/>
                <w:szCs w:val="21"/>
                <w:highlight w:val="none"/>
                <w:u w:val="single"/>
                <w:lang w:val="en-US" w:eastAsia="zh-CN" w:bidi="ar-SA"/>
              </w:rPr>
            </w:pPr>
            <w:r>
              <w:rPr>
                <w:rFonts w:hint="eastAsia"/>
                <w:color w:val="auto"/>
                <w:szCs w:val="21"/>
                <w:highlight w:val="none"/>
                <w:u w:val="single"/>
              </w:rPr>
              <w:t>包括但不限于行政部门作出的各种处罚和不良行为记录、建设单位对其不良行为记录、履约评价不合格记录以及其他失信记录。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jc w:val="center"/>
              <w:rPr>
                <w:rFonts w:hint="eastAsia"/>
                <w:color w:val="auto"/>
                <w:szCs w:val="21"/>
                <w:highlight w:val="none"/>
                <w:u w:val="single"/>
              </w:rPr>
            </w:pPr>
            <w:r>
              <w:rPr>
                <w:rFonts w:hint="eastAsia" w:ascii="仿宋" w:hAnsi="仿宋" w:eastAsia="仿宋" w:cs="仿宋"/>
                <w:color w:val="auto"/>
                <w:szCs w:val="21"/>
                <w:highlight w:val="none"/>
                <w:u w:val="single"/>
              </w:rPr>
              <w:t>………</w:t>
            </w:r>
          </w:p>
        </w:tc>
        <w:tc>
          <w:tcPr>
            <w:tcW w:w="7436" w:type="dxa"/>
            <w:noWrap w:val="0"/>
            <w:vAlign w:val="center"/>
          </w:tcPr>
          <w:p>
            <w:pPr>
              <w:jc w:val="center"/>
              <w:rPr>
                <w:rFonts w:hint="eastAsia" w:ascii="宋体" w:hAnsi="宋体"/>
                <w:color w:val="auto"/>
                <w:szCs w:val="21"/>
                <w:highlight w:val="none"/>
              </w:rPr>
            </w:pPr>
            <w:r>
              <w:rPr>
                <w:rFonts w:hint="eastAsia" w:ascii="仿宋" w:hAnsi="仿宋" w:eastAsia="仿宋" w:cs="仿宋"/>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415"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50"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票决定标法</w:t>
            </w:r>
          </w:p>
        </w:tc>
        <w:tc>
          <w:tcPr>
            <w:tcW w:w="1118" w:type="dxa"/>
            <w:noWrap w:val="0"/>
            <w:vAlign w:val="center"/>
          </w:tcPr>
          <w:p>
            <w:pPr>
              <w:pStyle w:val="110"/>
              <w:spacing w:before="0" w:beforeAutospacing="0" w:after="0" w:afterAutospacing="0"/>
              <w:jc w:val="center"/>
              <w:rPr>
                <w:rFonts w:hint="eastAsia"/>
                <w:color w:val="auto"/>
                <w:kern w:val="2"/>
                <w:sz w:val="21"/>
                <w:szCs w:val="21"/>
                <w:highlight w:val="none"/>
                <w:u w:val="single"/>
              </w:rPr>
            </w:pPr>
            <w:r>
              <w:rPr>
                <w:rFonts w:hint="eastAsia"/>
                <w:color w:val="auto"/>
                <w:kern w:val="2"/>
                <w:sz w:val="21"/>
                <w:szCs w:val="21"/>
                <w:highlight w:val="none"/>
                <w:u w:val="single"/>
              </w:rPr>
              <w:t>信用评价</w:t>
            </w:r>
          </w:p>
        </w:tc>
        <w:tc>
          <w:tcPr>
            <w:tcW w:w="7436" w:type="dxa"/>
            <w:noWrap w:val="0"/>
            <w:vAlign w:val="center"/>
          </w:tcPr>
          <w:p>
            <w:pPr>
              <w:pStyle w:val="110"/>
              <w:spacing w:before="0" w:beforeAutospacing="0" w:after="0" w:afterAutospacing="0"/>
              <w:rPr>
                <w:rFonts w:hint="eastAsia"/>
                <w:color w:val="auto"/>
                <w:kern w:val="2"/>
                <w:sz w:val="21"/>
                <w:szCs w:val="21"/>
                <w:highlight w:val="none"/>
                <w:u w:val="single"/>
              </w:rPr>
            </w:pPr>
            <w:r>
              <w:rPr>
                <w:rFonts w:hint="eastAsia"/>
                <w:color w:val="auto"/>
                <w:kern w:val="2"/>
                <w:sz w:val="21"/>
                <w:szCs w:val="21"/>
                <w:highlight w:val="none"/>
                <w:u w:val="single"/>
              </w:rPr>
              <w:t>信用评价好的投标人优于信用评价一般的投标人。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rPr>
                <w:rFonts w:hint="eastAsia" w:ascii="宋体" w:hAnsi="宋体"/>
                <w:color w:val="auto"/>
                <w:szCs w:val="21"/>
                <w:highlight w:val="none"/>
              </w:rPr>
            </w:pPr>
          </w:p>
        </w:tc>
        <w:tc>
          <w:tcPr>
            <w:tcW w:w="1118" w:type="dxa"/>
            <w:noWrap w:val="0"/>
            <w:vAlign w:val="center"/>
          </w:tcPr>
          <w:p>
            <w:pPr>
              <w:pStyle w:val="110"/>
              <w:spacing w:before="0" w:beforeAutospacing="0" w:after="0" w:afterAutospacing="0"/>
              <w:jc w:val="center"/>
              <w:rPr>
                <w:rFonts w:hint="eastAsia"/>
                <w:color w:val="auto"/>
                <w:kern w:val="2"/>
                <w:sz w:val="21"/>
                <w:szCs w:val="21"/>
                <w:highlight w:val="none"/>
                <w:u w:val="single"/>
              </w:rPr>
            </w:pPr>
            <w:r>
              <w:rPr>
                <w:rFonts w:hint="eastAsia"/>
                <w:color w:val="auto"/>
                <w:kern w:val="2"/>
                <w:sz w:val="21"/>
                <w:szCs w:val="21"/>
                <w:highlight w:val="none"/>
                <w:u w:val="single"/>
              </w:rPr>
              <w:t>经济贡献</w:t>
            </w:r>
          </w:p>
        </w:tc>
        <w:tc>
          <w:tcPr>
            <w:tcW w:w="7436" w:type="dxa"/>
            <w:noWrap w:val="0"/>
            <w:vAlign w:val="center"/>
          </w:tcPr>
          <w:p>
            <w:pPr>
              <w:pStyle w:val="110"/>
              <w:spacing w:before="0" w:beforeAutospacing="0" w:after="0" w:afterAutospacing="0"/>
              <w:rPr>
                <w:rFonts w:hint="eastAsia"/>
                <w:color w:val="auto"/>
                <w:kern w:val="2"/>
                <w:sz w:val="21"/>
                <w:szCs w:val="21"/>
                <w:highlight w:val="none"/>
                <w:u w:val="single"/>
              </w:rPr>
            </w:pPr>
            <w:r>
              <w:rPr>
                <w:rFonts w:hint="eastAsia"/>
                <w:color w:val="auto"/>
                <w:kern w:val="2"/>
                <w:sz w:val="21"/>
                <w:szCs w:val="21"/>
                <w:highlight w:val="none"/>
                <w:u w:val="single"/>
              </w:rPr>
              <w:t>对经济社会贡献、建筑业发展带动大的投标人优于贡献和带动作用小的投标人。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415" w:type="dxa"/>
            <w:vMerge w:val="continue"/>
            <w:noWrap w:val="0"/>
            <w:vAlign w:val="center"/>
          </w:tcPr>
          <w:p>
            <w:pPr>
              <w:jc w:val="center"/>
              <w:rPr>
                <w:rFonts w:hint="eastAsia" w:ascii="宋体" w:hAnsi="宋体"/>
                <w:color w:val="auto"/>
                <w:szCs w:val="21"/>
                <w:highlight w:val="none"/>
              </w:rPr>
            </w:pPr>
          </w:p>
        </w:tc>
        <w:tc>
          <w:tcPr>
            <w:tcW w:w="750" w:type="dxa"/>
            <w:vMerge w:val="continue"/>
            <w:noWrap w:val="0"/>
            <w:vAlign w:val="center"/>
          </w:tcPr>
          <w:p>
            <w:pPr>
              <w:rPr>
                <w:rFonts w:hint="eastAsia" w:ascii="宋体" w:hAnsi="宋体"/>
                <w:color w:val="auto"/>
                <w:szCs w:val="21"/>
                <w:highlight w:val="none"/>
              </w:rPr>
            </w:pPr>
          </w:p>
        </w:tc>
        <w:tc>
          <w:tcPr>
            <w:tcW w:w="1118" w:type="dxa"/>
            <w:noWrap w:val="0"/>
            <w:vAlign w:val="center"/>
          </w:tcPr>
          <w:p>
            <w:pPr>
              <w:pStyle w:val="110"/>
              <w:spacing w:before="0" w:beforeAutospacing="0" w:after="0" w:afterAutospacing="0"/>
              <w:jc w:val="center"/>
              <w:rPr>
                <w:rFonts w:hint="eastAsia"/>
                <w:color w:val="auto"/>
                <w:kern w:val="2"/>
                <w:sz w:val="21"/>
                <w:szCs w:val="21"/>
                <w:highlight w:val="none"/>
                <w:u w:val="single"/>
              </w:rPr>
            </w:pPr>
            <w:r>
              <w:rPr>
                <w:rFonts w:hint="eastAsia"/>
                <w:color w:val="auto"/>
                <w:kern w:val="2"/>
                <w:sz w:val="21"/>
                <w:szCs w:val="21"/>
                <w:highlight w:val="none"/>
                <w:u w:val="single"/>
              </w:rPr>
              <w:t>履约记录</w:t>
            </w:r>
          </w:p>
        </w:tc>
        <w:tc>
          <w:tcPr>
            <w:tcW w:w="7436" w:type="dxa"/>
            <w:noWrap w:val="0"/>
            <w:vAlign w:val="center"/>
          </w:tcPr>
          <w:p>
            <w:pPr>
              <w:pStyle w:val="110"/>
              <w:spacing w:before="0" w:beforeAutospacing="0" w:after="0" w:afterAutospacing="0"/>
              <w:rPr>
                <w:rFonts w:hint="eastAsia"/>
                <w:color w:val="auto"/>
                <w:kern w:val="2"/>
                <w:sz w:val="21"/>
                <w:szCs w:val="21"/>
                <w:highlight w:val="none"/>
                <w:u w:val="single"/>
              </w:rPr>
            </w:pPr>
            <w:r>
              <w:rPr>
                <w:rFonts w:hint="eastAsia"/>
                <w:color w:val="auto"/>
                <w:kern w:val="2"/>
                <w:sz w:val="21"/>
                <w:szCs w:val="21"/>
                <w:highlight w:val="none"/>
                <w:u w:val="single"/>
              </w:rPr>
              <w:t>履约记录良好的投标人优先于有不良履约记录或没有履约记录的投标人。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投标价格</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投标价格接近入围报价平均值的投标人优于投标价格远离入围报价平均值的投标人。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团队实力</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团队实力强的投标人优于团队实力一般的投标人。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工程业绩</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工程业绩技术复杂、难度大、完成质量好的投标人优于工程业绩技术相对简单、难度较小、完成质量差的投标人。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荣誉</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获得各级权威性荣誉多的投标人优于获得荣誉少的投标人，优先考虑各行业主管部门和各级行业协会颁发的奖项。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财务状况</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财务状况好的投标人优于财务状况一般的投标人。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不良行为记录</w:t>
            </w:r>
          </w:p>
        </w:tc>
        <w:tc>
          <w:tcPr>
            <w:tcW w:w="7436" w:type="dxa"/>
            <w:noWrap w:val="0"/>
            <w:vAlign w:val="center"/>
          </w:tcPr>
          <w:p>
            <w:pPr>
              <w:snapToGrid w:val="0"/>
              <w:jc w:val="left"/>
              <w:rPr>
                <w:rFonts w:hint="eastAsia" w:ascii="宋体" w:hAnsi="宋体"/>
                <w:color w:val="auto"/>
                <w:szCs w:val="21"/>
                <w:highlight w:val="none"/>
              </w:rPr>
            </w:pPr>
            <w:r>
              <w:rPr>
                <w:rFonts w:hint="eastAsia"/>
                <w:color w:val="auto"/>
                <w:szCs w:val="21"/>
                <w:highlight w:val="none"/>
                <w:u w:val="single"/>
              </w:rPr>
              <w:t>无不良行为记</w:t>
            </w:r>
            <w:r>
              <w:rPr>
                <w:rFonts w:hint="eastAsia"/>
                <w:color w:val="auto"/>
                <w:szCs w:val="21"/>
                <w:highlight w:val="none"/>
                <w:u w:val="single"/>
                <w:lang w:eastAsia="zh-CN"/>
              </w:rPr>
              <w:t>录的</w:t>
            </w:r>
            <w:r>
              <w:rPr>
                <w:rFonts w:hint="eastAsia"/>
                <w:color w:val="auto"/>
                <w:szCs w:val="21"/>
                <w:highlight w:val="none"/>
                <w:u w:val="single"/>
              </w:rPr>
              <w:t>投标人优于有不良行为记录的投标人，不良行为记录较</w:t>
            </w:r>
            <w:r>
              <w:rPr>
                <w:rFonts w:hint="eastAsia"/>
                <w:color w:val="auto"/>
                <w:szCs w:val="21"/>
                <w:highlight w:val="none"/>
                <w:u w:val="single"/>
                <w:lang w:eastAsia="zh-CN"/>
              </w:rPr>
              <w:t>轻的</w:t>
            </w:r>
            <w:r>
              <w:rPr>
                <w:rFonts w:hint="eastAsia"/>
                <w:color w:val="auto"/>
                <w:szCs w:val="21"/>
                <w:highlight w:val="none"/>
                <w:u w:val="single"/>
              </w:rPr>
              <w:t>投标人优于不良行为记录较重的投标人。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415" w:type="dxa"/>
            <w:vMerge w:val="continue"/>
            <w:noWrap w:val="0"/>
            <w:vAlign w:val="center"/>
          </w:tcPr>
          <w:p>
            <w:pPr>
              <w:jc w:val="center"/>
              <w:rPr>
                <w:rFonts w:ascii="宋体" w:hAnsi="宋体"/>
                <w:color w:val="auto"/>
                <w:szCs w:val="21"/>
                <w:highlight w:val="none"/>
              </w:rPr>
            </w:pPr>
          </w:p>
        </w:tc>
        <w:tc>
          <w:tcPr>
            <w:tcW w:w="750" w:type="dxa"/>
            <w:vMerge w:val="continue"/>
            <w:noWrap w:val="0"/>
            <w:vAlign w:val="center"/>
          </w:tcPr>
          <w:p>
            <w:pPr>
              <w:jc w:val="center"/>
              <w:rPr>
                <w:rFonts w:hint="eastAsia" w:ascii="宋体" w:hAnsi="宋体"/>
                <w:color w:val="auto"/>
                <w:szCs w:val="21"/>
                <w:highlight w:val="none"/>
              </w:rPr>
            </w:pPr>
          </w:p>
        </w:tc>
        <w:tc>
          <w:tcPr>
            <w:tcW w:w="1118" w:type="dxa"/>
            <w:noWrap w:val="0"/>
            <w:vAlign w:val="center"/>
          </w:tcPr>
          <w:p>
            <w:pPr>
              <w:snapToGrid w:val="0"/>
              <w:jc w:val="center"/>
              <w:rPr>
                <w:rFonts w:hint="eastAsia"/>
                <w:color w:val="auto"/>
                <w:szCs w:val="21"/>
                <w:highlight w:val="none"/>
                <w:u w:val="single"/>
              </w:rPr>
            </w:pPr>
            <w:r>
              <w:rPr>
                <w:rFonts w:hint="eastAsia"/>
                <w:color w:val="auto"/>
                <w:szCs w:val="21"/>
                <w:highlight w:val="none"/>
                <w:u w:val="single"/>
              </w:rPr>
              <w:t>其他方面</w:t>
            </w:r>
          </w:p>
        </w:tc>
        <w:tc>
          <w:tcPr>
            <w:tcW w:w="7436" w:type="dxa"/>
            <w:noWrap w:val="0"/>
            <w:vAlign w:val="center"/>
          </w:tcPr>
          <w:p>
            <w:pPr>
              <w:pStyle w:val="15"/>
              <w:shd w:val="clear" w:color="auto" w:fill="FFFFFF"/>
              <w:autoSpaceDE/>
              <w:autoSpaceDN/>
              <w:adjustRightInd/>
              <w:spacing w:after="0" w:line="240" w:lineRule="auto"/>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w:t>
            </w:r>
          </w:p>
          <w:p>
            <w:pPr>
              <w:pStyle w:val="15"/>
              <w:shd w:val="clear" w:color="auto" w:fill="FFFFFF"/>
              <w:autoSpaceDE/>
              <w:autoSpaceDN/>
              <w:adjustRightInd/>
              <w:spacing w:after="0" w:line="240" w:lineRule="auto"/>
              <w:rPr>
                <w:rFonts w:hint="eastAsia"/>
                <w:color w:val="auto"/>
                <w:szCs w:val="21"/>
                <w:highlight w:val="none"/>
                <w:u w:val="single"/>
              </w:rPr>
            </w:pPr>
            <w:r>
              <w:rPr>
                <w:rFonts w:hint="eastAsia" w:ascii="Times New Roman" w:hAnsi="Times New Roman" w:cs="Times New Roman"/>
                <w:color w:val="auto"/>
                <w:kern w:val="2"/>
                <w:sz w:val="21"/>
                <w:szCs w:val="21"/>
                <w:highlight w:val="none"/>
                <w:u w:val="single"/>
                <w:lang w:val="en-US"/>
              </w:rPr>
              <w:t>（招标人结合实际，认为有必要依法增加的其他方面的择优标准</w:t>
            </w:r>
            <w:r>
              <w:rPr>
                <w:rFonts w:hint="eastAsia" w:ascii="Times New Roman" w:hAnsi="Times New Roman" w:cs="Times New Roman"/>
                <w:color w:val="auto"/>
                <w:kern w:val="2"/>
                <w:sz w:val="21"/>
                <w:szCs w:val="21"/>
                <w:highlight w:val="none"/>
                <w:u w:val="single"/>
                <w:lang w:val="en-US" w:eastAsia="zh-CN"/>
              </w:rPr>
              <w:t>，例如项目考察、答辩、企业投身</w:t>
            </w:r>
            <w:r>
              <w:rPr>
                <w:rFonts w:hint="eastAsia"/>
                <w:color w:val="auto"/>
                <w:sz w:val="21"/>
                <w:szCs w:val="21"/>
                <w:highlight w:val="none"/>
                <w:u w:val="single"/>
                <w:lang w:eastAsia="zh-CN"/>
              </w:rPr>
              <w:t>“百县千镇万村高质量发展工程”情况</w:t>
            </w:r>
            <w:r>
              <w:rPr>
                <w:rFonts w:hint="eastAsia" w:ascii="Times New Roman" w:hAnsi="Times New Roman" w:cs="Times New Roman"/>
                <w:color w:val="auto"/>
                <w:kern w:val="2"/>
                <w:sz w:val="21"/>
                <w:szCs w:val="21"/>
                <w:highlight w:val="none"/>
                <w:u w:val="single"/>
                <w:lang w:val="en-US"/>
              </w:rPr>
              <w:t>。）</w:t>
            </w:r>
          </w:p>
        </w:tc>
      </w:tr>
    </w:tbl>
    <w:p>
      <w:pPr>
        <w:spacing w:before="240" w:line="360" w:lineRule="auto"/>
        <w:rPr>
          <w:rFonts w:ascii="宋体" w:hAnsi="宋体"/>
          <w:b/>
          <w:color w:val="auto"/>
          <w:sz w:val="28"/>
          <w:szCs w:val="28"/>
          <w:highlight w:val="none"/>
        </w:rPr>
      </w:pPr>
    </w:p>
    <w:p>
      <w:pPr>
        <w:spacing w:before="240" w:line="360" w:lineRule="auto"/>
        <w:rPr>
          <w:rFonts w:ascii="宋体" w:hAnsi="宋体"/>
          <w:b/>
          <w:color w:val="auto"/>
          <w:sz w:val="28"/>
          <w:szCs w:val="28"/>
          <w:highlight w:val="none"/>
        </w:rPr>
      </w:pPr>
    </w:p>
    <w:p>
      <w:pPr>
        <w:spacing w:after="120" w:afterLines="50"/>
        <w:rPr>
          <w:rFonts w:hint="eastAsia" w:ascii="黑体" w:eastAsia="黑体"/>
          <w:b/>
          <w:color w:val="auto"/>
          <w:sz w:val="32"/>
          <w:highlight w:val="none"/>
        </w:rPr>
      </w:pPr>
      <w:r>
        <w:rPr>
          <w:rFonts w:ascii="宋体" w:hAnsi="宋体"/>
          <w:b/>
          <w:color w:val="auto"/>
          <w:sz w:val="28"/>
          <w:szCs w:val="28"/>
          <w:highlight w:val="none"/>
        </w:rPr>
        <w:br w:type="page"/>
      </w:r>
      <w:r>
        <w:rPr>
          <w:rFonts w:hint="eastAsia" w:ascii="黑体" w:hAnsi="宋体" w:eastAsia="黑体"/>
          <w:color w:val="auto"/>
          <w:sz w:val="28"/>
          <w:szCs w:val="28"/>
          <w:highlight w:val="none"/>
        </w:rPr>
        <w:t>定标办法正文部分</w:t>
      </w:r>
    </w:p>
    <w:p>
      <w:pPr>
        <w:pStyle w:val="112"/>
        <w:spacing w:line="24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1.定标方法</w:t>
      </w:r>
    </w:p>
    <w:p>
      <w:pPr>
        <w:tabs>
          <w:tab w:val="left" w:pos="639"/>
        </w:tabs>
        <w:ind w:firstLine="420" w:firstLineChars="200"/>
        <w:rPr>
          <w:rFonts w:hint="eastAsia" w:ascii="宋体" w:hAnsi="宋体"/>
          <w:color w:val="auto"/>
          <w:highlight w:val="none"/>
        </w:rPr>
      </w:pPr>
      <w:r>
        <w:rPr>
          <w:rFonts w:hint="eastAsia" w:ascii="宋体" w:hAnsi="宋体"/>
          <w:color w:val="auto"/>
          <w:highlight w:val="none"/>
        </w:rPr>
        <w:t>定标委员会根据招标</w:t>
      </w:r>
      <w:r>
        <w:rPr>
          <w:rFonts w:ascii="宋体" w:hAnsi="宋体"/>
          <w:color w:val="auto"/>
          <w:highlight w:val="none"/>
        </w:rPr>
        <w:t>文件的要求</w:t>
      </w:r>
      <w:r>
        <w:rPr>
          <w:rFonts w:hint="eastAsia" w:ascii="宋体" w:hAnsi="宋体"/>
          <w:color w:val="auto"/>
          <w:highlight w:val="none"/>
        </w:rPr>
        <w:t>，按本</w:t>
      </w:r>
      <w:r>
        <w:rPr>
          <w:rFonts w:ascii="宋体" w:hAnsi="宋体"/>
          <w:color w:val="auto"/>
          <w:highlight w:val="none"/>
        </w:rPr>
        <w:t>办法前附表规定的</w:t>
      </w:r>
      <w:r>
        <w:rPr>
          <w:rFonts w:hint="eastAsia" w:ascii="宋体" w:hAnsi="宋体"/>
          <w:color w:val="auto"/>
          <w:highlight w:val="none"/>
        </w:rPr>
        <w:t>定标因素，对进入定标环节的投标人提出定标意见，确定排序的中标候选人。</w:t>
      </w:r>
    </w:p>
    <w:p>
      <w:pPr>
        <w:pStyle w:val="112"/>
        <w:spacing w:line="24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w:t>
      </w:r>
      <w:r>
        <w:rPr>
          <w:rFonts w:ascii="宋体" w:hAnsi="宋体" w:eastAsia="宋体"/>
          <w:b/>
          <w:color w:val="auto"/>
          <w:sz w:val="24"/>
          <w:szCs w:val="24"/>
          <w:highlight w:val="none"/>
        </w:rPr>
        <w:t>.定标</w:t>
      </w:r>
      <w:r>
        <w:rPr>
          <w:rFonts w:hint="eastAsia" w:ascii="宋体" w:hAnsi="宋体" w:eastAsia="宋体"/>
          <w:b/>
          <w:color w:val="auto"/>
          <w:sz w:val="24"/>
          <w:szCs w:val="24"/>
          <w:highlight w:val="none"/>
        </w:rPr>
        <w:t>程序</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定标活动将按以下三个步骤进行：</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1.定标准备</w:t>
      </w:r>
      <w:r>
        <w:rPr>
          <w:rFonts w:hint="eastAsia" w:ascii="宋体" w:hAnsi="宋体"/>
          <w:color w:val="auto"/>
          <w:szCs w:val="21"/>
          <w:highlight w:val="none"/>
          <w:lang w:eastAsia="zh-CN"/>
        </w:rPr>
        <w:t>。</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2.定标</w:t>
      </w:r>
      <w:r>
        <w:rPr>
          <w:rFonts w:ascii="宋体" w:hAnsi="宋体"/>
          <w:color w:val="auto"/>
          <w:szCs w:val="21"/>
          <w:highlight w:val="none"/>
        </w:rPr>
        <w:t>规则</w:t>
      </w:r>
      <w:r>
        <w:rPr>
          <w:rFonts w:hint="eastAsia" w:ascii="宋体" w:hAnsi="宋体"/>
          <w:color w:val="auto"/>
          <w:szCs w:val="21"/>
          <w:highlight w:val="none"/>
          <w:lang w:eastAsia="zh-CN"/>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3.确定中标候选人。</w:t>
      </w:r>
    </w:p>
    <w:p>
      <w:pPr>
        <w:pStyle w:val="112"/>
        <w:spacing w:line="24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3</w:t>
      </w:r>
      <w:r>
        <w:rPr>
          <w:rFonts w:ascii="宋体" w:hAnsi="宋体" w:eastAsia="宋体"/>
          <w:b/>
          <w:color w:val="auto"/>
          <w:sz w:val="24"/>
          <w:szCs w:val="24"/>
          <w:highlight w:val="none"/>
        </w:rPr>
        <w:t>.定标准备</w:t>
      </w:r>
    </w:p>
    <w:p>
      <w:pPr>
        <w:tabs>
          <w:tab w:val="left" w:pos="639"/>
        </w:tabs>
        <w:ind w:firstLine="420" w:firstLineChars="200"/>
        <w:rPr>
          <w:rFonts w:ascii="宋体" w:hAnsi="宋体"/>
          <w:color w:val="auto"/>
          <w:szCs w:val="21"/>
          <w:highlight w:val="none"/>
        </w:rPr>
      </w:pPr>
      <w:r>
        <w:rPr>
          <w:rFonts w:ascii="宋体" w:hAnsi="宋体"/>
          <w:color w:val="auto"/>
          <w:highlight w:val="none"/>
        </w:rPr>
        <w:t>3</w:t>
      </w:r>
      <w:r>
        <w:rPr>
          <w:rFonts w:hint="eastAsia" w:ascii="宋体" w:hAnsi="宋体"/>
          <w:color w:val="auto"/>
          <w:highlight w:val="none"/>
        </w:rPr>
        <w:t>.</w:t>
      </w:r>
      <w:r>
        <w:rPr>
          <w:rFonts w:ascii="宋体" w:hAnsi="宋体"/>
          <w:color w:val="auto"/>
          <w:highlight w:val="none"/>
        </w:rPr>
        <w:t>1</w:t>
      </w:r>
      <w:r>
        <w:rPr>
          <w:rFonts w:hint="eastAsia" w:ascii="宋体" w:hAnsi="宋体"/>
          <w:color w:val="auto"/>
          <w:szCs w:val="21"/>
          <w:highlight w:val="none"/>
        </w:rPr>
        <w:t>定标委员会成员到达定标现场时应在签到表上签到以证明其出席。</w:t>
      </w:r>
    </w:p>
    <w:p>
      <w:pPr>
        <w:tabs>
          <w:tab w:val="left" w:pos="639"/>
        </w:tabs>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招标人的法定代表人或者主要负责人</w:t>
      </w:r>
      <w:r>
        <w:rPr>
          <w:rFonts w:hint="eastAsia" w:ascii="宋体" w:hAnsi="宋体"/>
          <w:color w:val="auto"/>
          <w:szCs w:val="21"/>
          <w:highlight w:val="none"/>
          <w:lang w:eastAsia="zh-CN"/>
        </w:rPr>
        <w:t>牵头组建并担任组长，</w:t>
      </w:r>
      <w:r>
        <w:rPr>
          <w:rFonts w:hint="eastAsia" w:ascii="宋体" w:hAnsi="宋体"/>
          <w:color w:val="auto"/>
          <w:szCs w:val="21"/>
          <w:highlight w:val="none"/>
        </w:rPr>
        <w:t>负责定标活动的组织领导工作。。</w:t>
      </w:r>
    </w:p>
    <w:p>
      <w:pPr>
        <w:tabs>
          <w:tab w:val="left" w:pos="639"/>
        </w:tabs>
        <w:ind w:firstLine="420" w:firstLineChars="200"/>
        <w:rPr>
          <w:rFonts w:hint="eastAsia" w:ascii="宋体" w:hAnsi="宋体"/>
          <w:color w:val="auto"/>
          <w:szCs w:val="21"/>
          <w:highlight w:val="none"/>
        </w:rPr>
      </w:pPr>
      <w:r>
        <w:rPr>
          <w:rFonts w:ascii="宋体" w:hAnsi="宋体"/>
          <w:color w:val="auto"/>
          <w:highlight w:val="none"/>
        </w:rPr>
        <w:t>3</w:t>
      </w:r>
      <w:r>
        <w:rPr>
          <w:rFonts w:hint="eastAsia" w:ascii="宋体" w:hAnsi="宋体"/>
          <w:color w:val="auto"/>
          <w:highlight w:val="none"/>
        </w:rPr>
        <w:t>.</w:t>
      </w:r>
      <w:r>
        <w:rPr>
          <w:rFonts w:ascii="宋体" w:hAnsi="宋体"/>
          <w:color w:val="auto"/>
          <w:highlight w:val="none"/>
        </w:rPr>
        <w:t>3</w:t>
      </w:r>
      <w:r>
        <w:rPr>
          <w:rFonts w:hint="eastAsia" w:ascii="宋体" w:hAnsi="宋体"/>
          <w:color w:val="auto"/>
          <w:szCs w:val="21"/>
          <w:highlight w:val="none"/>
        </w:rPr>
        <w:t>招标人向定标委员会提交定标候选人</w:t>
      </w:r>
      <w:r>
        <w:rPr>
          <w:rFonts w:ascii="宋体" w:hAnsi="宋体"/>
          <w:color w:val="auto"/>
          <w:szCs w:val="21"/>
          <w:highlight w:val="none"/>
        </w:rPr>
        <w:t>情况汇总表</w:t>
      </w:r>
      <w:r>
        <w:rPr>
          <w:rFonts w:hint="eastAsia" w:ascii="宋体" w:hAnsi="宋体"/>
          <w:color w:val="auto"/>
          <w:szCs w:val="21"/>
          <w:highlight w:val="none"/>
        </w:rPr>
        <w:t>和定标</w:t>
      </w:r>
      <w:r>
        <w:rPr>
          <w:rFonts w:ascii="宋体" w:hAnsi="宋体"/>
          <w:color w:val="auto"/>
          <w:szCs w:val="21"/>
          <w:highlight w:val="none"/>
        </w:rPr>
        <w:t>候选人</w:t>
      </w:r>
      <w:r>
        <w:rPr>
          <w:rFonts w:hint="eastAsia" w:ascii="宋体" w:hAnsi="宋体"/>
          <w:color w:val="auto"/>
          <w:szCs w:val="21"/>
          <w:highlight w:val="none"/>
        </w:rPr>
        <w:t>投标</w:t>
      </w:r>
      <w:r>
        <w:rPr>
          <w:rFonts w:ascii="宋体" w:hAnsi="宋体"/>
          <w:color w:val="auto"/>
          <w:szCs w:val="21"/>
          <w:highlight w:val="none"/>
        </w:rPr>
        <w:t>文件</w:t>
      </w:r>
      <w:r>
        <w:rPr>
          <w:rFonts w:hint="eastAsia" w:ascii="宋体" w:hAnsi="宋体"/>
          <w:color w:val="auto"/>
          <w:szCs w:val="21"/>
          <w:highlight w:val="none"/>
        </w:rPr>
        <w:t>。</w:t>
      </w:r>
    </w:p>
    <w:p>
      <w:pPr>
        <w:tabs>
          <w:tab w:val="left" w:pos="639"/>
        </w:tabs>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招标人在定标会上可以介绍项目情况，定标委员会成员有疑问的，可以向招标人提出。</w:t>
      </w:r>
    </w:p>
    <w:p>
      <w:pPr>
        <w:pStyle w:val="112"/>
        <w:spacing w:line="24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4</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定标规则</w:t>
      </w:r>
    </w:p>
    <w:p>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4.</w:t>
      </w:r>
      <w:r>
        <w:rPr>
          <w:rFonts w:hint="eastAsia" w:ascii="宋体" w:hAnsi="宋体"/>
          <w:color w:val="auto"/>
          <w:szCs w:val="21"/>
          <w:highlight w:val="none"/>
        </w:rPr>
        <w:t>1定量评价定标法：</w:t>
      </w:r>
      <w:r>
        <w:rPr>
          <w:rFonts w:ascii="宋体" w:hAnsi="宋体"/>
          <w:color w:val="auto"/>
          <w:szCs w:val="21"/>
          <w:highlight w:val="none"/>
        </w:rPr>
        <w:t>见</w:t>
      </w:r>
      <w:r>
        <w:rPr>
          <w:rFonts w:hint="eastAsia" w:ascii="宋体" w:hAnsi="宋体"/>
          <w:color w:val="auto"/>
          <w:szCs w:val="21"/>
          <w:highlight w:val="none"/>
        </w:rPr>
        <w:t>本</w:t>
      </w:r>
      <w:r>
        <w:rPr>
          <w:rFonts w:ascii="宋体" w:hAnsi="宋体"/>
          <w:color w:val="auto"/>
          <w:szCs w:val="21"/>
          <w:highlight w:val="none"/>
        </w:rPr>
        <w:t>章附则</w:t>
      </w:r>
      <w:r>
        <w:rPr>
          <w:rFonts w:hint="eastAsia" w:ascii="宋体" w:hAnsi="宋体"/>
          <w:color w:val="auto"/>
          <w:szCs w:val="21"/>
          <w:highlight w:val="none"/>
        </w:rPr>
        <w:t>规则1</w:t>
      </w:r>
      <w:r>
        <w:rPr>
          <w:rFonts w:hint="eastAsia" w:ascii="宋体" w:hAnsi="宋体"/>
          <w:color w:val="auto"/>
          <w:szCs w:val="21"/>
          <w:highlight w:val="none"/>
          <w:lang w:eastAsia="zh-CN"/>
        </w:rPr>
        <w:t>。</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择优票决定标</w:t>
      </w:r>
      <w:r>
        <w:rPr>
          <w:rFonts w:ascii="宋体" w:hAnsi="宋体"/>
          <w:color w:val="auto"/>
          <w:szCs w:val="21"/>
          <w:highlight w:val="none"/>
        </w:rPr>
        <w:t>法</w:t>
      </w:r>
      <w:r>
        <w:rPr>
          <w:rFonts w:hint="eastAsia" w:ascii="宋体" w:hAnsi="宋体"/>
          <w:color w:val="auto"/>
          <w:szCs w:val="21"/>
          <w:highlight w:val="none"/>
        </w:rPr>
        <w:t>：</w:t>
      </w:r>
      <w:r>
        <w:rPr>
          <w:rFonts w:ascii="宋体" w:hAnsi="宋体"/>
          <w:color w:val="auto"/>
          <w:szCs w:val="21"/>
          <w:highlight w:val="none"/>
        </w:rPr>
        <w:t>见</w:t>
      </w:r>
      <w:r>
        <w:rPr>
          <w:rFonts w:hint="eastAsia" w:ascii="宋体" w:hAnsi="宋体"/>
          <w:color w:val="auto"/>
          <w:szCs w:val="21"/>
          <w:highlight w:val="none"/>
        </w:rPr>
        <w:t>本</w:t>
      </w:r>
      <w:r>
        <w:rPr>
          <w:rFonts w:ascii="宋体" w:hAnsi="宋体"/>
          <w:color w:val="auto"/>
          <w:szCs w:val="21"/>
          <w:highlight w:val="none"/>
        </w:rPr>
        <w:t>章附则</w:t>
      </w:r>
      <w:r>
        <w:rPr>
          <w:rFonts w:hint="eastAsia" w:ascii="宋体" w:hAnsi="宋体"/>
          <w:color w:val="auto"/>
          <w:szCs w:val="21"/>
          <w:highlight w:val="none"/>
        </w:rPr>
        <w:t>规则2</w:t>
      </w:r>
      <w:r>
        <w:rPr>
          <w:rFonts w:hint="eastAsia" w:ascii="宋体" w:hAnsi="宋体"/>
          <w:color w:val="auto"/>
          <w:szCs w:val="21"/>
          <w:highlight w:val="none"/>
          <w:lang w:eastAsia="zh-CN"/>
        </w:rPr>
        <w:t>。</w:t>
      </w:r>
    </w:p>
    <w:p>
      <w:pPr>
        <w:ind w:firstLine="840" w:firstLineChars="400"/>
        <w:rPr>
          <w:rFonts w:hint="eastAsia"/>
          <w:color w:val="auto"/>
          <w:kern w:val="2"/>
          <w:sz w:val="21"/>
          <w:szCs w:val="21"/>
          <w:highlight w:val="none"/>
          <w:u w:val="none"/>
          <w:lang w:eastAsia="zh-CN"/>
        </w:rPr>
      </w:pPr>
      <w:r>
        <w:rPr>
          <w:rFonts w:hint="eastAsia" w:ascii="宋体" w:hAnsi="宋体"/>
          <w:color w:val="auto"/>
          <w:szCs w:val="21"/>
          <w:highlight w:val="none"/>
          <w:u w:val="none"/>
          <w:lang w:val="en-US" w:eastAsia="zh-CN"/>
        </w:rPr>
        <w:t>4.2.1</w:t>
      </w:r>
      <w:r>
        <w:rPr>
          <w:rFonts w:hint="eastAsia"/>
          <w:color w:val="auto"/>
          <w:kern w:val="2"/>
          <w:sz w:val="21"/>
          <w:szCs w:val="21"/>
          <w:highlight w:val="none"/>
          <w:u w:val="none"/>
        </w:rPr>
        <w:t>信用评价</w:t>
      </w:r>
      <w:r>
        <w:rPr>
          <w:rFonts w:hint="eastAsia"/>
          <w:color w:val="auto"/>
          <w:kern w:val="2"/>
          <w:sz w:val="21"/>
          <w:szCs w:val="21"/>
          <w:highlight w:val="none"/>
          <w:u w:val="none"/>
          <w:lang w:eastAsia="zh-CN"/>
        </w:rPr>
        <w:t>是指在“江门市建筑市场信用信息管理系统”的评价情况。</w:t>
      </w:r>
    </w:p>
    <w:p>
      <w:pPr>
        <w:ind w:firstLine="840" w:firstLineChars="400"/>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4.2.2</w:t>
      </w:r>
      <w:r>
        <w:rPr>
          <w:rFonts w:hint="eastAsia"/>
          <w:color w:val="auto"/>
          <w:kern w:val="2"/>
          <w:sz w:val="21"/>
          <w:szCs w:val="21"/>
          <w:highlight w:val="none"/>
          <w:u w:val="none"/>
        </w:rPr>
        <w:t>经济社会贡献、建筑业发展带动</w:t>
      </w:r>
      <w:r>
        <w:rPr>
          <w:rFonts w:hint="eastAsia"/>
          <w:color w:val="auto"/>
          <w:kern w:val="2"/>
          <w:sz w:val="21"/>
          <w:szCs w:val="21"/>
          <w:highlight w:val="none"/>
          <w:u w:val="none"/>
          <w:lang w:eastAsia="zh-CN"/>
        </w:rPr>
        <w:t>是指产值入统及纳税情况，和慈善捐赠、公益投入等情况。</w:t>
      </w:r>
    </w:p>
    <w:p>
      <w:pPr>
        <w:ind w:firstLine="840" w:firstLineChars="400"/>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4.2.3</w:t>
      </w:r>
      <w:r>
        <w:rPr>
          <w:rFonts w:hint="eastAsia"/>
          <w:color w:val="auto"/>
          <w:kern w:val="2"/>
          <w:sz w:val="21"/>
          <w:szCs w:val="21"/>
          <w:highlight w:val="none"/>
          <w:u w:val="none"/>
        </w:rPr>
        <w:t>履约记录</w:t>
      </w:r>
      <w:r>
        <w:rPr>
          <w:rFonts w:hint="eastAsia"/>
          <w:color w:val="auto"/>
          <w:kern w:val="2"/>
          <w:sz w:val="21"/>
          <w:szCs w:val="21"/>
          <w:highlight w:val="none"/>
          <w:u w:val="none"/>
          <w:lang w:eastAsia="zh-CN"/>
        </w:rPr>
        <w:t>是指招标人自有的过往履约记录或投标人提供参考的其他履约情况。</w:t>
      </w:r>
    </w:p>
    <w:p>
      <w:pPr>
        <w:ind w:left="0" w:leftChars="0" w:firstLine="840" w:firstLineChars="400"/>
        <w:rPr>
          <w:rFonts w:hint="eastAsia"/>
          <w:color w:val="auto"/>
          <w:szCs w:val="21"/>
          <w:highlight w:val="none"/>
          <w:u w:val="none"/>
          <w:lang w:eastAsia="zh-CN"/>
        </w:rPr>
      </w:pPr>
      <w:r>
        <w:rPr>
          <w:rFonts w:hint="eastAsia" w:ascii="宋体" w:hAnsi="宋体"/>
          <w:color w:val="auto"/>
          <w:szCs w:val="21"/>
          <w:highlight w:val="none"/>
          <w:u w:val="none"/>
          <w:lang w:val="en-US" w:eastAsia="zh-CN"/>
        </w:rPr>
        <w:t>4.2.4</w:t>
      </w:r>
      <w:r>
        <w:rPr>
          <w:rFonts w:hint="eastAsia"/>
          <w:color w:val="auto"/>
          <w:szCs w:val="21"/>
          <w:highlight w:val="none"/>
          <w:u w:val="none"/>
        </w:rPr>
        <w:t>财务状况</w:t>
      </w:r>
      <w:r>
        <w:rPr>
          <w:rFonts w:hint="eastAsia"/>
          <w:color w:val="auto"/>
          <w:szCs w:val="21"/>
          <w:highlight w:val="none"/>
          <w:u w:val="none"/>
          <w:lang w:eastAsia="zh-CN"/>
        </w:rPr>
        <w:t>是指企业的资产负债率、营业收入、利润等情况。</w:t>
      </w:r>
    </w:p>
    <w:p>
      <w:pPr>
        <w:ind w:left="399" w:leftChars="190" w:firstLine="420" w:firstLineChars="200"/>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4.2.5</w:t>
      </w:r>
      <w:r>
        <w:rPr>
          <w:rFonts w:hint="eastAsia"/>
          <w:color w:val="auto"/>
          <w:szCs w:val="21"/>
          <w:highlight w:val="none"/>
          <w:u w:val="none"/>
        </w:rPr>
        <w:t>无不良行为记录包括但不限于</w:t>
      </w:r>
      <w:r>
        <w:rPr>
          <w:rFonts w:hint="eastAsia"/>
          <w:color w:val="auto"/>
          <w:szCs w:val="21"/>
          <w:highlight w:val="none"/>
          <w:u w:val="none"/>
          <w:lang w:eastAsia="zh-CN"/>
        </w:rPr>
        <w:t>在“信用中国”或“信用广东”网站的公开信用报告被列为严重失信主体、经营异常以及行政处罚</w:t>
      </w:r>
      <w:r>
        <w:rPr>
          <w:rFonts w:hint="eastAsia"/>
          <w:color w:val="auto"/>
          <w:szCs w:val="21"/>
          <w:highlight w:val="none"/>
          <w:u w:val="none"/>
        </w:rPr>
        <w:t>、建设单位对其</w:t>
      </w:r>
      <w:r>
        <w:rPr>
          <w:rFonts w:hint="eastAsia"/>
          <w:color w:val="auto"/>
          <w:szCs w:val="21"/>
          <w:highlight w:val="none"/>
          <w:u w:val="none"/>
          <w:lang w:eastAsia="zh-CN"/>
        </w:rPr>
        <w:t>的履约</w:t>
      </w:r>
      <w:r>
        <w:rPr>
          <w:rFonts w:hint="eastAsia"/>
          <w:color w:val="auto"/>
          <w:szCs w:val="21"/>
          <w:highlight w:val="none"/>
          <w:u w:val="none"/>
        </w:rPr>
        <w:t>评价</w:t>
      </w:r>
      <w:r>
        <w:rPr>
          <w:rFonts w:hint="eastAsia"/>
          <w:color w:val="auto"/>
          <w:szCs w:val="21"/>
          <w:highlight w:val="none"/>
          <w:u w:val="none"/>
          <w:lang w:eastAsia="zh-CN"/>
        </w:rPr>
        <w:t>不合极</w:t>
      </w:r>
      <w:r>
        <w:rPr>
          <w:rFonts w:hint="eastAsia"/>
          <w:color w:val="auto"/>
          <w:szCs w:val="21"/>
          <w:highlight w:val="none"/>
          <w:u w:val="none"/>
        </w:rPr>
        <w:t>以及其他失信记录</w:t>
      </w:r>
      <w:r>
        <w:rPr>
          <w:rFonts w:hint="eastAsia"/>
          <w:color w:val="auto"/>
          <w:szCs w:val="21"/>
          <w:highlight w:val="none"/>
          <w:u w:val="none"/>
          <w:lang w:eastAsia="zh-CN"/>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逐轮淘汰票</w:t>
      </w:r>
      <w:r>
        <w:rPr>
          <w:rFonts w:ascii="宋体" w:hAnsi="宋体"/>
          <w:color w:val="auto"/>
          <w:szCs w:val="21"/>
          <w:highlight w:val="none"/>
        </w:rPr>
        <w:t>决</w:t>
      </w:r>
      <w:r>
        <w:rPr>
          <w:rFonts w:hint="eastAsia" w:ascii="宋体" w:hAnsi="宋体"/>
          <w:color w:val="auto"/>
          <w:szCs w:val="21"/>
          <w:highlight w:val="none"/>
        </w:rPr>
        <w:t>定标</w:t>
      </w:r>
      <w:r>
        <w:rPr>
          <w:rFonts w:ascii="宋体" w:hAnsi="宋体"/>
          <w:color w:val="auto"/>
          <w:szCs w:val="21"/>
          <w:highlight w:val="none"/>
        </w:rPr>
        <w:t>法</w:t>
      </w:r>
      <w:r>
        <w:rPr>
          <w:rFonts w:hint="eastAsia" w:ascii="宋体" w:hAnsi="宋体"/>
          <w:color w:val="auto"/>
          <w:szCs w:val="21"/>
          <w:highlight w:val="none"/>
        </w:rPr>
        <w:t>：</w:t>
      </w:r>
      <w:r>
        <w:rPr>
          <w:rFonts w:ascii="宋体" w:hAnsi="宋体"/>
          <w:color w:val="auto"/>
          <w:szCs w:val="21"/>
          <w:highlight w:val="none"/>
        </w:rPr>
        <w:t>见</w:t>
      </w:r>
      <w:r>
        <w:rPr>
          <w:rFonts w:hint="eastAsia" w:ascii="宋体" w:hAnsi="宋体"/>
          <w:color w:val="auto"/>
          <w:szCs w:val="21"/>
          <w:highlight w:val="none"/>
        </w:rPr>
        <w:t>本</w:t>
      </w:r>
      <w:r>
        <w:rPr>
          <w:rFonts w:ascii="宋体" w:hAnsi="宋体"/>
          <w:color w:val="auto"/>
          <w:szCs w:val="21"/>
          <w:highlight w:val="none"/>
        </w:rPr>
        <w:t>章附则</w:t>
      </w:r>
      <w:r>
        <w:rPr>
          <w:rFonts w:hint="eastAsia" w:ascii="宋体" w:hAnsi="宋体"/>
          <w:color w:val="auto"/>
          <w:szCs w:val="21"/>
          <w:highlight w:val="none"/>
        </w:rPr>
        <w:t>规则3。</w:t>
      </w:r>
    </w:p>
    <w:p>
      <w:pPr>
        <w:ind w:firstLine="420" w:firstLineChars="200"/>
        <w:rPr>
          <w:rFonts w:hint="eastAsia" w:ascii="宋体" w:hAnsi="宋体"/>
          <w:color w:val="auto"/>
          <w:szCs w:val="21"/>
          <w:highlight w:val="none"/>
        </w:rPr>
      </w:pPr>
      <w:r>
        <w:rPr>
          <w:rFonts w:hint="eastAsia" w:ascii="宋体" w:hAnsi="宋体"/>
          <w:color w:val="auto"/>
          <w:szCs w:val="21"/>
          <w:highlight w:val="none"/>
        </w:rPr>
        <w:t>4.4定量评价定标法是通过对定标候选人进行定量评价以确定中标候选人及其排序的方法。由定标委员会根据招标文件规定的定标因素以及招标人制定的评分细则（作为招标人的内控机制，由招标人自行制定并在定标会上提供），对定标候选人进行比较、打分，按照总得分对定标候选人排序。</w:t>
      </w:r>
    </w:p>
    <w:p>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4.5票决定标法是通过投票确定中标候选人及其排序的方法。定标委员会根据招标文件规定的定标标准对定标候选人进行评审比较，以票决方式确定定标候选人的排序。</w:t>
      </w:r>
    </w:p>
    <w:p>
      <w:pPr>
        <w:pStyle w:val="112"/>
        <w:spacing w:line="24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5</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确定定标候选</w:t>
      </w:r>
      <w:r>
        <w:rPr>
          <w:rFonts w:ascii="宋体" w:hAnsi="宋体" w:eastAsia="宋体"/>
          <w:b/>
          <w:color w:val="auto"/>
          <w:sz w:val="24"/>
          <w:szCs w:val="24"/>
          <w:highlight w:val="none"/>
        </w:rPr>
        <w:t>人</w:t>
      </w:r>
    </w:p>
    <w:p>
      <w:pPr>
        <w:snapToGrid w:val="0"/>
        <w:ind w:firstLine="420" w:firstLineChars="200"/>
        <w:rPr>
          <w:rFonts w:hint="eastAsia"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 xml:space="preserve"> 定标委员会根据招标</w:t>
      </w:r>
      <w:r>
        <w:rPr>
          <w:rFonts w:ascii="宋体" w:hAnsi="宋体"/>
          <w:color w:val="auto"/>
          <w:szCs w:val="21"/>
          <w:highlight w:val="none"/>
        </w:rPr>
        <w:t>文件规定的</w:t>
      </w:r>
      <w:r>
        <w:rPr>
          <w:rFonts w:hint="eastAsia" w:ascii="宋体" w:hAnsi="宋体"/>
          <w:color w:val="auto"/>
          <w:szCs w:val="21"/>
          <w:highlight w:val="none"/>
        </w:rPr>
        <w:t>定标规则推荐中标候选人，中标候选人应不超过三名。</w:t>
      </w:r>
    </w:p>
    <w:p>
      <w:pPr>
        <w:snapToGrid w:val="0"/>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xml:space="preserve"> 定标委员会完成定标后向招标人提交定标报告，定标报告应当由全体定标委员会成员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w:t>
      </w:r>
    </w:p>
    <w:p>
      <w:pPr>
        <w:pStyle w:val="41"/>
        <w:ind w:firstLine="528"/>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宋体" w:eastAsia="黑体"/>
          <w:color w:val="auto"/>
          <w:sz w:val="28"/>
          <w:szCs w:val="28"/>
          <w:highlight w:val="none"/>
        </w:rPr>
      </w:pPr>
      <w:r>
        <w:rPr>
          <w:rFonts w:ascii="黑体" w:hAnsi="宋体" w:eastAsia="黑体"/>
          <w:color w:val="auto"/>
          <w:sz w:val="28"/>
          <w:szCs w:val="28"/>
          <w:highlight w:val="none"/>
        </w:rPr>
        <w:br w:type="page"/>
      </w:r>
      <w:r>
        <w:rPr>
          <w:rFonts w:hint="eastAsia" w:ascii="黑体" w:hAnsi="宋体" w:eastAsia="黑体"/>
          <w:color w:val="auto"/>
          <w:sz w:val="28"/>
          <w:szCs w:val="28"/>
          <w:highlight w:val="none"/>
        </w:rPr>
        <w:t>定标办法附则</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eastAsia="黑体"/>
          <w:color w:val="auto"/>
          <w:sz w:val="30"/>
          <w:szCs w:val="30"/>
          <w:highlight w:val="none"/>
        </w:rPr>
      </w:pPr>
      <w:r>
        <w:rPr>
          <w:rFonts w:hint="eastAsia" w:ascii="黑体" w:eastAsia="黑体"/>
          <w:color w:val="auto"/>
          <w:sz w:val="30"/>
          <w:szCs w:val="30"/>
          <w:highlight w:val="none"/>
        </w:rPr>
        <w:t>规则</w:t>
      </w:r>
      <w:r>
        <w:rPr>
          <w:rFonts w:ascii="黑体" w:eastAsia="黑体"/>
          <w:color w:val="auto"/>
          <w:sz w:val="30"/>
          <w:szCs w:val="30"/>
          <w:highlight w:val="none"/>
        </w:rPr>
        <w:t>1</w:t>
      </w:r>
      <w:r>
        <w:rPr>
          <w:rFonts w:hint="eastAsia" w:ascii="黑体" w:eastAsia="黑体"/>
          <w:color w:val="auto"/>
          <w:sz w:val="30"/>
          <w:szCs w:val="30"/>
          <w:highlight w:val="none"/>
        </w:rPr>
        <w:t>：定量</w:t>
      </w:r>
      <w:r>
        <w:rPr>
          <w:rFonts w:ascii="黑体" w:eastAsia="黑体"/>
          <w:color w:val="auto"/>
          <w:sz w:val="30"/>
          <w:szCs w:val="30"/>
          <w:highlight w:val="none"/>
        </w:rPr>
        <w:t>评价</w:t>
      </w:r>
      <w:r>
        <w:rPr>
          <w:rFonts w:hint="eastAsia" w:ascii="黑体" w:eastAsia="黑体"/>
          <w:color w:val="auto"/>
          <w:sz w:val="30"/>
          <w:szCs w:val="30"/>
          <w:highlight w:val="none"/>
        </w:rPr>
        <w:t>定标</w:t>
      </w:r>
      <w:r>
        <w:rPr>
          <w:rFonts w:ascii="黑体" w:eastAsia="黑体"/>
          <w:color w:val="auto"/>
          <w:sz w:val="30"/>
          <w:szCs w:val="30"/>
          <w:highlight w:val="none"/>
        </w:rPr>
        <w:t>法</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1.规则简述</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1.1“投标人须知前附表</w:t>
      </w:r>
      <w:r>
        <w:rPr>
          <w:rFonts w:hint="eastAsia" w:ascii="宋体" w:hAnsi="宋体"/>
          <w:color w:val="auto"/>
          <w:szCs w:val="21"/>
          <w:highlight w:val="none"/>
          <w:lang w:eastAsia="zh-CN"/>
        </w:rPr>
        <w:t>”</w:t>
      </w:r>
      <w:r>
        <w:rPr>
          <w:rFonts w:hint="eastAsia" w:ascii="宋体" w:hAnsi="宋体"/>
          <w:color w:val="auto"/>
          <w:szCs w:val="21"/>
          <w:highlight w:val="none"/>
        </w:rPr>
        <w:t>第9.</w:t>
      </w:r>
      <w:r>
        <w:rPr>
          <w:rFonts w:hint="eastAsia" w:ascii="宋体" w:hAnsi="宋体"/>
          <w:color w:val="auto"/>
          <w:szCs w:val="21"/>
          <w:highlight w:val="none"/>
          <w:lang w:val="en-US" w:eastAsia="zh-CN"/>
        </w:rPr>
        <w:t>2.2</w:t>
      </w:r>
      <w:r>
        <w:rPr>
          <w:rFonts w:hint="eastAsia" w:ascii="宋体" w:hAnsi="宋体"/>
          <w:color w:val="auto"/>
          <w:szCs w:val="21"/>
          <w:highlight w:val="none"/>
        </w:rPr>
        <w:t>款选择定量评价定标法的，适用本规则。</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1.2本规则使用附表1、2定量评价定标表进行评价。</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2.评价规则</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2.1选择定量评价定标法的，评价方式如下：</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2.1.1定标委员会根据招标人制定的评分细则，对各定标候选人进行评价评分。</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2.1.2定标候选人定标总得分为定标委员会成员评分的算术平均值。</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2.1.3定标委员会按照定标总得分由高到低的顺序对定标候选人依次排序，并推荐不超过三名的中标候选人。</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2.1.4如果出现定标候选人定标总得分相同的情况时，则对总得分相同的定标候选人，按照去掉一个最高评分和一个最低分后计算的算术平均值再进行排序</w:t>
      </w:r>
      <w:r>
        <w:rPr>
          <w:rFonts w:hint="eastAsia" w:ascii="宋体" w:hAnsi="宋体"/>
          <w:color w:val="auto"/>
          <w:szCs w:val="21"/>
          <w:highlight w:val="none"/>
          <w:lang w:eastAsia="zh-CN"/>
        </w:rPr>
        <w:t>，如果分数仍然相同，则由定标委员会投票决定</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规则2：择优票决定标法</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1.规则简述</w:t>
      </w:r>
    </w:p>
    <w:p>
      <w:pPr>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kern w:val="0"/>
          <w:szCs w:val="21"/>
          <w:highlight w:val="none"/>
        </w:rPr>
        <w:t>投标人须知</w:t>
      </w:r>
      <w:r>
        <w:rPr>
          <w:rFonts w:hint="eastAsia" w:ascii="宋体" w:hAnsi="宋体"/>
          <w:color w:val="auto"/>
          <w:szCs w:val="21"/>
          <w:highlight w:val="none"/>
        </w:rPr>
        <w:t>前附表</w:t>
      </w:r>
      <w:r>
        <w:rPr>
          <w:rFonts w:hint="eastAsia" w:ascii="宋体" w:hAnsi="宋体"/>
          <w:color w:val="auto"/>
          <w:szCs w:val="21"/>
          <w:highlight w:val="none"/>
          <w:lang w:eastAsia="zh-CN"/>
        </w:rPr>
        <w:t>”</w:t>
      </w:r>
      <w:r>
        <w:rPr>
          <w:rFonts w:hint="eastAsia" w:ascii="宋体" w:hAnsi="宋体"/>
          <w:color w:val="auto"/>
          <w:szCs w:val="21"/>
          <w:highlight w:val="none"/>
        </w:rPr>
        <w:t>第</w:t>
      </w:r>
      <w:r>
        <w:rPr>
          <w:rFonts w:hint="eastAsia" w:ascii="宋体" w:hAnsi="宋体"/>
          <w:color w:val="auto"/>
          <w:kern w:val="0"/>
          <w:szCs w:val="21"/>
          <w:highlight w:val="none"/>
        </w:rPr>
        <w:t>9.</w:t>
      </w:r>
      <w:r>
        <w:rPr>
          <w:rFonts w:hint="eastAsia" w:ascii="宋体" w:hAnsi="宋体"/>
          <w:color w:val="auto"/>
          <w:szCs w:val="21"/>
          <w:highlight w:val="none"/>
          <w:lang w:val="en-US" w:eastAsia="zh-CN"/>
        </w:rPr>
        <w:t>2.2</w:t>
      </w:r>
      <w:r>
        <w:rPr>
          <w:rFonts w:hint="eastAsia" w:ascii="宋体" w:hAnsi="宋体"/>
          <w:color w:val="auto"/>
          <w:szCs w:val="21"/>
          <w:highlight w:val="none"/>
        </w:rPr>
        <w:t>款</w:t>
      </w:r>
      <w:r>
        <w:rPr>
          <w:rFonts w:hint="eastAsia" w:ascii="宋体" w:hAnsi="宋体"/>
          <w:color w:val="auto"/>
          <w:highlight w:val="none"/>
        </w:rPr>
        <w:t>选择票决方法为</w:t>
      </w:r>
      <w:r>
        <w:rPr>
          <w:rFonts w:hint="eastAsia" w:ascii="宋体" w:hAnsi="宋体"/>
          <w:color w:val="auto"/>
          <w:szCs w:val="21"/>
          <w:highlight w:val="none"/>
        </w:rPr>
        <w:t>择优票决定标法的</w:t>
      </w:r>
      <w:r>
        <w:rPr>
          <w:rFonts w:ascii="宋体" w:hAnsi="宋体"/>
          <w:color w:val="auto"/>
          <w:szCs w:val="21"/>
          <w:highlight w:val="none"/>
        </w:rPr>
        <w:t>，适用本</w:t>
      </w:r>
      <w:r>
        <w:rPr>
          <w:rFonts w:hint="eastAsia" w:ascii="宋体" w:hAnsi="宋体"/>
          <w:color w:val="auto"/>
          <w:szCs w:val="21"/>
          <w:highlight w:val="none"/>
        </w:rPr>
        <w:t>规则</w:t>
      </w:r>
      <w:r>
        <w:rPr>
          <w:rFonts w:ascii="宋体" w:hAnsi="宋体"/>
          <w:color w:val="auto"/>
          <w:szCs w:val="21"/>
          <w:highlight w:val="none"/>
        </w:rPr>
        <w:t>。</w:t>
      </w:r>
    </w:p>
    <w:p>
      <w:pPr>
        <w:ind w:firstLine="420" w:firstLineChars="200"/>
        <w:rPr>
          <w:rFonts w:hint="eastAsia"/>
          <w:color w:val="auto"/>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color w:val="auto"/>
          <w:highlight w:val="none"/>
        </w:rPr>
        <w:t>本规则使用附</w:t>
      </w:r>
      <w:r>
        <w:rPr>
          <w:rFonts w:hint="eastAsia" w:ascii="宋体" w:hAnsi="宋体" w:eastAsia="宋体" w:cs="宋体"/>
          <w:color w:val="auto"/>
          <w:highlight w:val="none"/>
        </w:rPr>
        <w:t>表3、4择优</w:t>
      </w:r>
      <w:r>
        <w:rPr>
          <w:rFonts w:hint="eastAsia"/>
          <w:color w:val="auto"/>
          <w:highlight w:val="none"/>
        </w:rPr>
        <w:t>票决定标</w:t>
      </w:r>
      <w:r>
        <w:rPr>
          <w:color w:val="auto"/>
          <w:highlight w:val="none"/>
        </w:rPr>
        <w:t>表</w:t>
      </w:r>
      <w:r>
        <w:rPr>
          <w:rFonts w:hint="eastAsia"/>
          <w:color w:val="auto"/>
          <w:highlight w:val="none"/>
        </w:rPr>
        <w:t>进行票决。</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2.票决规则</w:t>
      </w:r>
    </w:p>
    <w:p>
      <w:pPr>
        <w:ind w:firstLine="420" w:firstLineChars="200"/>
        <w:rPr>
          <w:rFonts w:hint="eastAsia" w:ascii="宋体" w:hAnsi="宋体"/>
          <w:color w:val="auto"/>
          <w:highlight w:val="none"/>
        </w:rPr>
      </w:pPr>
      <w:r>
        <w:rPr>
          <w:rFonts w:hint="eastAsia" w:ascii="宋体" w:hAnsi="宋体"/>
          <w:color w:val="auto"/>
          <w:highlight w:val="none"/>
        </w:rPr>
        <w:t>2.1选择票决方法为</w:t>
      </w:r>
      <w:r>
        <w:rPr>
          <w:rFonts w:hint="eastAsia" w:ascii="宋体" w:hAnsi="宋体"/>
          <w:color w:val="auto"/>
          <w:szCs w:val="21"/>
          <w:highlight w:val="none"/>
        </w:rPr>
        <w:t>择优票决定标法</w:t>
      </w:r>
      <w:r>
        <w:rPr>
          <w:rFonts w:hint="eastAsia" w:ascii="宋体" w:hAnsi="宋体"/>
          <w:color w:val="auto"/>
          <w:highlight w:val="none"/>
        </w:rPr>
        <w:t>的，票决方式如下：</w:t>
      </w:r>
    </w:p>
    <w:p>
      <w:pPr>
        <w:ind w:left="420" w:firstLine="420" w:firstLineChars="200"/>
        <w:rPr>
          <w:rFonts w:hint="eastAsia"/>
          <w:color w:val="auto"/>
          <w:highlight w:val="none"/>
        </w:rPr>
      </w:pPr>
      <w:r>
        <w:rPr>
          <w:rFonts w:hint="eastAsia" w:ascii="宋体" w:hAnsi="宋体"/>
          <w:color w:val="auto"/>
          <w:highlight w:val="none"/>
        </w:rPr>
        <w:t>2.1.1定标委员会在定标候选人中，以每人投票支持一个投标人的方式，得票最</w:t>
      </w:r>
      <w:r>
        <w:rPr>
          <w:rFonts w:hint="eastAsia"/>
          <w:color w:val="auto"/>
          <w:highlight w:val="none"/>
        </w:rPr>
        <w:t>多且过半数的投标人为中标候选人。</w:t>
      </w:r>
    </w:p>
    <w:p>
      <w:pPr>
        <w:ind w:left="420" w:firstLine="420" w:firstLineChars="200"/>
        <w:rPr>
          <w:rFonts w:hint="eastAsia"/>
          <w:color w:val="auto"/>
          <w:highlight w:val="none"/>
        </w:rPr>
      </w:pPr>
      <w:r>
        <w:rPr>
          <w:rFonts w:hint="eastAsia" w:ascii="宋体" w:hAnsi="宋体"/>
          <w:color w:val="auto"/>
          <w:highlight w:val="none"/>
        </w:rPr>
        <w:t>2.1.2当没有投标人得票超过半数时，选择得票最多的两名投标人进入二次投票的范围（按</w:t>
      </w:r>
      <w:r>
        <w:rPr>
          <w:rFonts w:hint="eastAsia"/>
          <w:color w:val="auto"/>
          <w:highlight w:val="none"/>
        </w:rPr>
        <w:t>上一轮得票多少的顺序选择，若出现平票的投标</w:t>
      </w:r>
      <w:r>
        <w:rPr>
          <w:color w:val="auto"/>
          <w:highlight w:val="none"/>
        </w:rPr>
        <w:t>人</w:t>
      </w:r>
      <w:r>
        <w:rPr>
          <w:rFonts w:hint="eastAsia"/>
          <w:color w:val="auto"/>
          <w:highlight w:val="none"/>
        </w:rPr>
        <w:t>超过两名时，则</w:t>
      </w:r>
      <w:r>
        <w:rPr>
          <w:color w:val="auto"/>
          <w:highlight w:val="none"/>
        </w:rPr>
        <w:t>一</w:t>
      </w:r>
      <w:r>
        <w:rPr>
          <w:rFonts w:hint="eastAsia"/>
          <w:color w:val="auto"/>
          <w:highlight w:val="none"/>
        </w:rPr>
        <w:t>并纳入二</w:t>
      </w:r>
      <w:r>
        <w:rPr>
          <w:color w:val="auto"/>
          <w:highlight w:val="none"/>
        </w:rPr>
        <w:t>次</w:t>
      </w:r>
      <w:r>
        <w:rPr>
          <w:rFonts w:hint="eastAsia"/>
          <w:color w:val="auto"/>
          <w:highlight w:val="none"/>
        </w:rPr>
        <w:t>投票的范围），直至出现得票过半数的投标人为止。</w:t>
      </w:r>
    </w:p>
    <w:p>
      <w:pPr>
        <w:ind w:left="420" w:firstLine="420" w:firstLineChars="200"/>
        <w:rPr>
          <w:rFonts w:hint="eastAsia"/>
          <w:color w:val="auto"/>
          <w:highlight w:val="none"/>
        </w:rPr>
      </w:pPr>
      <w:r>
        <w:rPr>
          <w:rFonts w:hint="eastAsia" w:ascii="宋体" w:hAnsi="宋体"/>
          <w:color w:val="auto"/>
          <w:highlight w:val="none"/>
        </w:rPr>
        <w:t>2.1.3如出现连续两轮投票情况完全相同而无法确定中标人时，改用逐轮淘汰票决定标法的票决</w:t>
      </w:r>
      <w:r>
        <w:rPr>
          <w:rFonts w:ascii="宋体" w:hAnsi="宋体"/>
          <w:color w:val="auto"/>
          <w:highlight w:val="none"/>
        </w:rPr>
        <w:t>方式</w:t>
      </w:r>
      <w:r>
        <w:rPr>
          <w:rFonts w:hint="eastAsia" w:ascii="宋体" w:hAnsi="宋体"/>
          <w:color w:val="auto"/>
          <w:highlight w:val="none"/>
        </w:rPr>
        <w:t>在该两轮票</w:t>
      </w:r>
      <w:r>
        <w:rPr>
          <w:rFonts w:hint="eastAsia"/>
          <w:color w:val="auto"/>
          <w:highlight w:val="none"/>
        </w:rPr>
        <w:t>决的投标人中确定中标候选人，详见</w:t>
      </w:r>
      <w:r>
        <w:rPr>
          <w:rFonts w:hint="eastAsia" w:ascii="宋体" w:hAnsi="宋体"/>
          <w:color w:val="auto"/>
          <w:highlight w:val="none"/>
        </w:rPr>
        <w:t>规则</w:t>
      </w:r>
      <w:r>
        <w:rPr>
          <w:rFonts w:ascii="宋体" w:hAnsi="宋体"/>
          <w:color w:val="auto"/>
          <w:highlight w:val="none"/>
        </w:rPr>
        <w:t>3</w:t>
      </w:r>
      <w:r>
        <w:rPr>
          <w:rFonts w:hint="eastAsia" w:ascii="宋体" w:hAnsi="宋体"/>
          <w:color w:val="auto"/>
          <w:highlight w:val="none"/>
        </w:rPr>
        <w:t>第2.1.2款</w:t>
      </w:r>
      <w:r>
        <w:rPr>
          <w:rFonts w:hint="eastAsia"/>
          <w:color w:val="auto"/>
          <w:highlight w:val="none"/>
        </w:rPr>
        <w:t>。</w:t>
      </w:r>
    </w:p>
    <w:p>
      <w:pPr>
        <w:ind w:left="420" w:firstLine="420" w:firstLineChars="200"/>
        <w:rPr>
          <w:rFonts w:hint="eastAsia"/>
          <w:color w:val="auto"/>
          <w:highlight w:val="none"/>
        </w:rPr>
      </w:pPr>
      <w:r>
        <w:rPr>
          <w:rFonts w:hint="eastAsia" w:ascii="宋体" w:hAnsi="宋体"/>
          <w:color w:val="auto"/>
          <w:highlight w:val="none"/>
        </w:rPr>
        <w:t>2.1.4根据上述规则，定标委员会应先对第一中标候选人进行票决，并以连续票决的方式依次票决，依次确定</w:t>
      </w:r>
      <w:r>
        <w:rPr>
          <w:rFonts w:hint="eastAsia"/>
          <w:color w:val="auto"/>
          <w:highlight w:val="none"/>
        </w:rPr>
        <w:t>中标候选人，中标候选人</w:t>
      </w:r>
      <w:r>
        <w:rPr>
          <w:rFonts w:hint="eastAsia" w:ascii="宋体" w:hAnsi="宋体"/>
          <w:color w:val="auto"/>
          <w:highlight w:val="none"/>
        </w:rPr>
        <w:t>不超过</w:t>
      </w:r>
      <w:r>
        <w:rPr>
          <w:rFonts w:hint="eastAsia"/>
          <w:color w:val="auto"/>
          <w:highlight w:val="none"/>
        </w:rPr>
        <w:t>三名。</w:t>
      </w:r>
    </w:p>
    <w:p>
      <w:pPr>
        <w:ind w:firstLine="420" w:firstLineChars="200"/>
        <w:rPr>
          <w:rFonts w:hint="eastAsia" w:ascii="宋体" w:hAnsi="宋体"/>
          <w:color w:val="auto"/>
          <w:highlight w:val="none"/>
        </w:rPr>
      </w:pPr>
      <w:r>
        <w:rPr>
          <w:rFonts w:hint="eastAsia" w:ascii="宋体" w:hAnsi="宋体"/>
          <w:color w:val="auto"/>
          <w:highlight w:val="none"/>
        </w:rPr>
        <w:t>2.2定标委员会成员投票时应注明投票理由。选票范本见附表。</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规则3：逐轮淘汰票决定标法</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1.规则简述</w:t>
      </w:r>
    </w:p>
    <w:p>
      <w:pPr>
        <w:ind w:firstLine="420" w:firstLineChars="200"/>
        <w:rPr>
          <w:rFonts w:ascii="宋体" w:hAnsi="宋体"/>
          <w:color w:val="auto"/>
          <w:highlight w:val="none"/>
        </w:rPr>
      </w:pPr>
      <w:r>
        <w:rPr>
          <w:rFonts w:hint="eastAsia" w:ascii="宋体" w:hAnsi="宋体"/>
          <w:color w:val="auto"/>
          <w:highlight w:val="none"/>
        </w:rPr>
        <w:t>1.1</w:t>
      </w:r>
      <w:r>
        <w:rPr>
          <w:rFonts w:ascii="宋体" w:hAnsi="宋体"/>
          <w:color w:val="auto"/>
          <w:szCs w:val="21"/>
          <w:highlight w:val="none"/>
        </w:rPr>
        <w:t>“</w:t>
      </w:r>
      <w:r>
        <w:rPr>
          <w:rFonts w:hint="eastAsia" w:ascii="宋体" w:hAnsi="宋体"/>
          <w:color w:val="auto"/>
          <w:kern w:val="0"/>
          <w:szCs w:val="21"/>
          <w:highlight w:val="none"/>
        </w:rPr>
        <w:t>投标人须知</w:t>
      </w:r>
      <w:r>
        <w:rPr>
          <w:rFonts w:hint="eastAsia" w:ascii="宋体" w:hAnsi="宋体"/>
          <w:color w:val="auto"/>
          <w:highlight w:val="none"/>
        </w:rPr>
        <w:t>前附表</w:t>
      </w:r>
      <w:r>
        <w:rPr>
          <w:rFonts w:hint="eastAsia" w:ascii="宋体" w:hAnsi="宋体"/>
          <w:color w:val="auto"/>
          <w:szCs w:val="21"/>
          <w:highlight w:val="none"/>
          <w:lang w:eastAsia="zh-CN"/>
        </w:rPr>
        <w:t>”</w:t>
      </w:r>
      <w:r>
        <w:rPr>
          <w:rFonts w:hint="eastAsia" w:ascii="宋体" w:hAnsi="宋体"/>
          <w:color w:val="auto"/>
          <w:highlight w:val="none"/>
        </w:rPr>
        <w:t>第</w:t>
      </w:r>
      <w:r>
        <w:rPr>
          <w:rFonts w:hint="eastAsia" w:ascii="宋体" w:hAnsi="宋体"/>
          <w:color w:val="auto"/>
          <w:kern w:val="0"/>
          <w:szCs w:val="21"/>
          <w:highlight w:val="none"/>
        </w:rPr>
        <w:t>9.</w:t>
      </w:r>
      <w:r>
        <w:rPr>
          <w:rFonts w:hint="eastAsia" w:ascii="宋体" w:hAnsi="宋体"/>
          <w:color w:val="auto"/>
          <w:szCs w:val="21"/>
          <w:highlight w:val="none"/>
          <w:lang w:val="en-US" w:eastAsia="zh-CN"/>
        </w:rPr>
        <w:t>2.2</w:t>
      </w:r>
      <w:r>
        <w:rPr>
          <w:rFonts w:hint="eastAsia" w:ascii="宋体" w:hAnsi="宋体"/>
          <w:color w:val="auto"/>
          <w:highlight w:val="none"/>
        </w:rPr>
        <w:t>款选择票决方法为逐轮淘汰票决定标法的</w:t>
      </w:r>
      <w:r>
        <w:rPr>
          <w:rFonts w:ascii="宋体" w:hAnsi="宋体"/>
          <w:color w:val="auto"/>
          <w:highlight w:val="none"/>
        </w:rPr>
        <w:t>，适用本</w:t>
      </w:r>
      <w:r>
        <w:rPr>
          <w:rFonts w:hint="eastAsia" w:ascii="宋体" w:hAnsi="宋体"/>
          <w:color w:val="auto"/>
          <w:highlight w:val="none"/>
        </w:rPr>
        <w:t>规则</w:t>
      </w:r>
      <w:r>
        <w:rPr>
          <w:rFonts w:ascii="宋体" w:hAnsi="宋体"/>
          <w:color w:val="auto"/>
          <w:highlight w:val="none"/>
        </w:rPr>
        <w:t>。</w:t>
      </w:r>
    </w:p>
    <w:p>
      <w:pPr>
        <w:ind w:firstLine="420" w:firstLineChars="200"/>
        <w:rPr>
          <w:rFonts w:hint="eastAsia" w:ascii="宋体" w:hAnsi="宋体"/>
          <w:color w:val="auto"/>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highlight w:val="none"/>
        </w:rPr>
        <w:t>本规则使用附表5、6逐轮淘汰票决定标表进行票决。</w:t>
      </w:r>
    </w:p>
    <w:p>
      <w:pPr>
        <w:pStyle w:val="112"/>
        <w:keepNext/>
        <w:keepLines/>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2.票决规则</w:t>
      </w:r>
    </w:p>
    <w:p>
      <w:pPr>
        <w:ind w:firstLine="420"/>
        <w:rPr>
          <w:rFonts w:hint="eastAsia"/>
          <w:color w:val="auto"/>
          <w:highlight w:val="none"/>
        </w:rPr>
      </w:pPr>
      <w:r>
        <w:rPr>
          <w:rFonts w:hint="eastAsia" w:ascii="宋体" w:hAnsi="宋体"/>
          <w:color w:val="auto"/>
          <w:highlight w:val="none"/>
        </w:rPr>
        <w:t>2.1</w:t>
      </w:r>
      <w:r>
        <w:rPr>
          <w:rFonts w:hint="eastAsia"/>
          <w:color w:val="auto"/>
          <w:highlight w:val="none"/>
        </w:rPr>
        <w:t>选择票决方法为</w:t>
      </w:r>
      <w:r>
        <w:rPr>
          <w:rFonts w:hint="eastAsia" w:ascii="宋体" w:hAnsi="宋体"/>
          <w:color w:val="auto"/>
          <w:highlight w:val="none"/>
        </w:rPr>
        <w:t>逐轮淘汰票决定标法</w:t>
      </w:r>
      <w:r>
        <w:rPr>
          <w:rFonts w:hint="eastAsia"/>
          <w:color w:val="auto"/>
          <w:highlight w:val="none"/>
        </w:rPr>
        <w:t>的，票决方式如下：</w:t>
      </w:r>
    </w:p>
    <w:p>
      <w:pPr>
        <w:ind w:left="420" w:leftChars="200" w:firstLine="420" w:firstLineChars="200"/>
        <w:rPr>
          <w:rFonts w:hint="eastAsia" w:ascii="宋体" w:hAnsi="宋体" w:eastAsia="宋体" w:cs="宋体"/>
          <w:color w:val="auto"/>
          <w:highlight w:val="none"/>
        </w:rPr>
      </w:pPr>
      <w:r>
        <w:rPr>
          <w:rFonts w:hint="eastAsia" w:ascii="宋体" w:hAnsi="宋体"/>
          <w:color w:val="auto"/>
          <w:highlight w:val="none"/>
        </w:rPr>
        <w:t>2.1.1定</w:t>
      </w:r>
      <w:r>
        <w:rPr>
          <w:rFonts w:hint="eastAsia" w:ascii="宋体" w:hAnsi="宋体" w:eastAsia="宋体" w:cs="宋体"/>
          <w:color w:val="auto"/>
          <w:highlight w:val="none"/>
        </w:rPr>
        <w:t>标委员会在定标候选人中，以每人投票支持3个投标人的方式，得票最多的3个投标人进入下一轮的淘汰投票。在确定第3个投标人时如果出现平票的，则得票相同的投标人一并进入下一轮的淘汰投票。</w:t>
      </w:r>
    </w:p>
    <w:p>
      <w:pPr>
        <w:ind w:left="420" w:firstLine="420" w:firstLineChars="200"/>
        <w:rPr>
          <w:rFonts w:hint="eastAsia"/>
          <w:color w:val="auto"/>
          <w:highlight w:val="none"/>
        </w:rPr>
      </w:pPr>
      <w:r>
        <w:rPr>
          <w:rFonts w:hint="eastAsia" w:ascii="宋体" w:hAnsi="宋体" w:eastAsia="宋体" w:cs="宋体"/>
          <w:color w:val="auto"/>
          <w:highlight w:val="none"/>
        </w:rPr>
        <w:t>2.1.2原则上每轮淘汰1名投标人。各轮投票时，每人投1个淘汰单位，该轮得票最多的投标人被淘汰。得票最多的投标人不止1个时，可以一并加以淘汰，但必须确保第一次淘汰之后剩余的投标人不少于2名，否则在得票最多的几个投标人中按前述规则进行二次淘汰，剩余的投标人进入下一轮淘汰投票。连续两轮</w:t>
      </w:r>
      <w:r>
        <w:rPr>
          <w:rFonts w:hint="eastAsia"/>
          <w:color w:val="auto"/>
          <w:highlight w:val="none"/>
        </w:rPr>
        <w:t>投票情况完全相同且无法确定淘汰单位时，下一轮投票中定标委员会每人增加一票。</w:t>
      </w:r>
    </w:p>
    <w:p>
      <w:pPr>
        <w:ind w:left="420" w:firstLine="420" w:firstLineChars="200"/>
        <w:rPr>
          <w:rFonts w:hint="eastAsia" w:ascii="宋体" w:hAnsi="宋体"/>
          <w:color w:val="auto"/>
          <w:highlight w:val="none"/>
        </w:rPr>
      </w:pPr>
      <w:r>
        <w:rPr>
          <w:rFonts w:hint="eastAsia" w:ascii="宋体" w:hAnsi="宋体"/>
          <w:color w:val="auto"/>
          <w:highlight w:val="none"/>
        </w:rPr>
        <w:t>2.1.3根据上述规则，直至确定第一中标候选人。定标委员会按规定可确定不超过三名中标候选人并排序。</w:t>
      </w:r>
    </w:p>
    <w:p>
      <w:pPr>
        <w:ind w:firstLine="420"/>
        <w:rPr>
          <w:rFonts w:hint="eastAsia" w:ascii="宋体" w:hAnsi="宋体"/>
          <w:color w:val="auto"/>
          <w:highlight w:val="none"/>
        </w:rPr>
      </w:pPr>
      <w:r>
        <w:rPr>
          <w:rFonts w:hint="eastAsia" w:ascii="宋体" w:hAnsi="宋体"/>
          <w:color w:val="auto"/>
          <w:highlight w:val="none"/>
        </w:rPr>
        <w:t>2.2定标委员会成员投票时应注明投票理由。选票范本见附表。</w:t>
      </w:r>
    </w:p>
    <w:p>
      <w:pPr>
        <w:spacing w:before="240" w:line="360" w:lineRule="auto"/>
        <w:rPr>
          <w:rFonts w:hint="eastAsia" w:ascii="宋体" w:hAnsi="宋体"/>
          <w:b/>
          <w:color w:val="auto"/>
          <w:sz w:val="28"/>
          <w:szCs w:val="28"/>
          <w:highlight w:val="none"/>
        </w:rPr>
      </w:pPr>
      <w:r>
        <w:rPr>
          <w:rFonts w:ascii="黑体" w:eastAsia="黑体"/>
          <w:color w:val="auto"/>
          <w:sz w:val="30"/>
          <w:szCs w:val="30"/>
          <w:highlight w:val="none"/>
        </w:rPr>
        <w:br w:type="page"/>
      </w:r>
      <w:r>
        <w:rPr>
          <w:rFonts w:hint="eastAsia" w:ascii="宋体" w:hAnsi="宋体"/>
          <w:b/>
          <w:color w:val="auto"/>
          <w:sz w:val="28"/>
          <w:szCs w:val="28"/>
          <w:highlight w:val="none"/>
        </w:rPr>
        <w:t>定标办法附表</w:t>
      </w:r>
    </w:p>
    <w:p>
      <w:pPr>
        <w:spacing w:before="240" w:line="360" w:lineRule="auto"/>
        <w:jc w:val="center"/>
        <w:rPr>
          <w:rFonts w:hint="eastAsia" w:ascii="黑体" w:eastAsia="黑体"/>
          <w:color w:val="auto"/>
          <w:sz w:val="30"/>
          <w:szCs w:val="30"/>
          <w:highlight w:val="none"/>
        </w:rPr>
      </w:pPr>
      <w:r>
        <w:rPr>
          <w:rFonts w:hint="eastAsia" w:ascii="黑体" w:eastAsia="黑体"/>
          <w:color w:val="auto"/>
          <w:sz w:val="30"/>
          <w:szCs w:val="30"/>
          <w:highlight w:val="none"/>
        </w:rPr>
        <w:t>附表1：定量评价定标评分表</w:t>
      </w:r>
    </w:p>
    <w:p>
      <w:pPr>
        <w:spacing w:after="72" w:afterLines="30" w:line="360" w:lineRule="auto"/>
        <w:rPr>
          <w:rFonts w:hint="eastAsia" w:ascii="宋体" w:hAnsi="宋体"/>
          <w:color w:val="auto"/>
          <w:highlight w:val="none"/>
        </w:rPr>
      </w:pPr>
      <w:r>
        <w:rPr>
          <w:rFonts w:hint="eastAsia"/>
          <w:color w:val="auto"/>
          <w:sz w:val="24"/>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2154"/>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58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15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定标因素</w:t>
            </w:r>
          </w:p>
        </w:tc>
        <w:tc>
          <w:tcPr>
            <w:tcW w:w="1701"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（定标候选人）</w:t>
            </w:r>
          </w:p>
        </w:tc>
        <w:tc>
          <w:tcPr>
            <w:tcW w:w="1701" w:type="dxa"/>
            <w:noWrap w:val="0"/>
            <w:vAlign w:val="center"/>
          </w:tcPr>
          <w:p>
            <w:pPr>
              <w:widowControl/>
              <w:jc w:val="center"/>
              <w:rPr>
                <w:rFonts w:hint="eastAsia" w:ascii="宋体" w:hAnsi="宋体" w:cs="宋体"/>
                <w:color w:val="auto"/>
                <w:kern w:val="0"/>
                <w:sz w:val="20"/>
                <w:szCs w:val="20"/>
                <w:highlight w:val="none"/>
              </w:rPr>
            </w:pPr>
          </w:p>
        </w:tc>
        <w:tc>
          <w:tcPr>
            <w:tcW w:w="1701" w:type="dxa"/>
            <w:noWrap w:val="0"/>
            <w:vAlign w:val="center"/>
          </w:tcPr>
          <w:p>
            <w:pPr>
              <w:widowControl/>
              <w:jc w:val="center"/>
              <w:rPr>
                <w:rFonts w:hint="eastAsia" w:ascii="宋体" w:hAnsi="宋体" w:cs="宋体"/>
                <w:color w:val="auto"/>
                <w:kern w:val="0"/>
                <w:sz w:val="20"/>
                <w:szCs w:val="20"/>
                <w:highlight w:val="none"/>
              </w:rPr>
            </w:pPr>
          </w:p>
        </w:tc>
        <w:tc>
          <w:tcPr>
            <w:tcW w:w="1701" w:type="dxa"/>
            <w:noWrap w:val="0"/>
            <w:vAlign w:val="center"/>
          </w:tcPr>
          <w:p>
            <w:pPr>
              <w:widowControl/>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2154" w:type="dxa"/>
            <w:noWrap/>
            <w:vAlign w:val="center"/>
          </w:tcPr>
          <w:p>
            <w:pPr>
              <w:jc w:val="center"/>
              <w:rPr>
                <w:rFonts w:ascii="宋体" w:hAnsi="宋体" w:cs="宋体"/>
                <w:color w:val="auto"/>
                <w:kern w:val="0"/>
                <w:sz w:val="20"/>
                <w:szCs w:val="20"/>
                <w:highlight w:val="none"/>
              </w:rPr>
            </w:pPr>
            <w:r>
              <w:rPr>
                <w:rFonts w:hint="eastAsia" w:ascii="仿宋" w:hAnsi="仿宋" w:eastAsia="仿宋" w:cs="仿宋"/>
                <w:color w:val="auto"/>
                <w:szCs w:val="21"/>
                <w:highlight w:val="none"/>
              </w:rPr>
              <w:t>……</w:t>
            </w: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5</w:t>
            </w:r>
          </w:p>
        </w:tc>
        <w:tc>
          <w:tcPr>
            <w:tcW w:w="2154" w:type="dxa"/>
            <w:noWrap/>
            <w:vAlign w:val="center"/>
          </w:tcPr>
          <w:p>
            <w:pPr>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6</w:t>
            </w:r>
          </w:p>
        </w:tc>
        <w:tc>
          <w:tcPr>
            <w:tcW w:w="2154" w:type="dxa"/>
            <w:noWrap/>
            <w:vAlign w:val="center"/>
          </w:tcPr>
          <w:p>
            <w:pPr>
              <w:jc w:val="center"/>
              <w:rPr>
                <w:rFonts w:hint="eastAsia"/>
                <w:color w:val="auto"/>
                <w:szCs w:val="21"/>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left"/>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c>
          <w:tcPr>
            <w:tcW w:w="1701" w:type="dxa"/>
            <w:noWrap w:val="0"/>
            <w:vAlign w:val="center"/>
          </w:tcPr>
          <w:p>
            <w:pPr>
              <w:widowControl/>
              <w:jc w:val="center"/>
              <w:rPr>
                <w:rFonts w:ascii="宋体" w:hAnsi="宋体" w:cs="宋体"/>
                <w:color w:val="auto"/>
                <w:kern w:val="0"/>
                <w:sz w:val="20"/>
                <w:szCs w:val="20"/>
                <w:highlight w:val="none"/>
              </w:rPr>
            </w:pPr>
          </w:p>
        </w:tc>
      </w:tr>
    </w:tbl>
    <w:p>
      <w:pPr>
        <w:rPr>
          <w:rFonts w:hint="eastAsia" w:ascii="宋体" w:hAnsi="宋体"/>
          <w:color w:val="auto"/>
          <w:szCs w:val="21"/>
          <w:highlight w:val="none"/>
        </w:rPr>
      </w:pPr>
    </w:p>
    <w:p>
      <w:pPr>
        <w:rPr>
          <w:rFonts w:hint="eastAsia" w:ascii="宋体" w:hAnsi="宋体"/>
          <w:color w:val="auto"/>
          <w:szCs w:val="21"/>
          <w:highlight w:val="none"/>
        </w:rPr>
      </w:pPr>
    </w:p>
    <w:p>
      <w:pPr>
        <w:tabs>
          <w:tab w:val="left" w:pos="639"/>
        </w:tabs>
        <w:rPr>
          <w:rFonts w:hint="eastAsia" w:ascii="宋体" w:hAnsi="宋体" w:eastAsia="宋体"/>
          <w:color w:val="auto"/>
          <w:highlight w:val="none"/>
          <w:lang w:eastAsia="zh-CN"/>
        </w:rPr>
      </w:pPr>
      <w:r>
        <w:rPr>
          <w:rFonts w:hint="eastAsia" w:ascii="宋体" w:hAnsi="宋体"/>
          <w:color w:val="auto"/>
          <w:highlight w:val="none"/>
        </w:rPr>
        <w:t>定标成员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lang w:eastAsia="zh-CN"/>
        </w:rPr>
        <w:t>：</w:t>
      </w: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jc w:val="right"/>
        <w:rPr>
          <w:rFonts w:hint="eastAsia" w:ascii="宋体" w:hAnsi="宋体"/>
          <w:color w:val="auto"/>
          <w:szCs w:val="44"/>
          <w:highlight w:val="none"/>
        </w:rPr>
      </w:pPr>
      <w:r>
        <w:rPr>
          <w:rFonts w:hint="eastAsia" w:ascii="宋体" w:hAnsi="宋体"/>
          <w:color w:val="auto"/>
          <w:szCs w:val="44"/>
          <w:highlight w:val="none"/>
        </w:rPr>
        <w:t>日期：      年    月    日</w:t>
      </w: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黑体" w:eastAsia="黑体"/>
          <w:color w:val="auto"/>
          <w:sz w:val="30"/>
          <w:szCs w:val="30"/>
          <w:highlight w:val="none"/>
        </w:rPr>
      </w:pPr>
    </w:p>
    <w:p>
      <w:pPr>
        <w:spacing w:before="240" w:line="360" w:lineRule="auto"/>
        <w:rPr>
          <w:rFonts w:hint="eastAsia" w:ascii="黑体" w:eastAsia="黑体"/>
          <w:color w:val="auto"/>
          <w:sz w:val="30"/>
          <w:szCs w:val="30"/>
          <w:highlight w:val="none"/>
        </w:rPr>
      </w:pPr>
    </w:p>
    <w:p>
      <w:pPr>
        <w:spacing w:before="240" w:line="360" w:lineRule="auto"/>
        <w:jc w:val="center"/>
        <w:rPr>
          <w:rFonts w:ascii="黑体" w:eastAsia="黑体"/>
          <w:color w:val="auto"/>
          <w:sz w:val="30"/>
          <w:szCs w:val="30"/>
          <w:highlight w:val="none"/>
        </w:rPr>
      </w:pPr>
    </w:p>
    <w:p>
      <w:pPr>
        <w:spacing w:before="240" w:line="360" w:lineRule="auto"/>
        <w:jc w:val="center"/>
        <w:rPr>
          <w:rFonts w:ascii="黑体" w:eastAsia="黑体"/>
          <w:color w:val="auto"/>
          <w:sz w:val="30"/>
          <w:szCs w:val="30"/>
          <w:highlight w:val="none"/>
        </w:rPr>
      </w:pPr>
    </w:p>
    <w:p>
      <w:pPr>
        <w:spacing w:before="240" w:line="360" w:lineRule="auto"/>
        <w:jc w:val="center"/>
        <w:rPr>
          <w:rFonts w:ascii="黑体" w:eastAsia="黑体"/>
          <w:color w:val="auto"/>
          <w:sz w:val="30"/>
          <w:szCs w:val="30"/>
          <w:highlight w:val="none"/>
        </w:rPr>
      </w:pPr>
    </w:p>
    <w:p>
      <w:pPr>
        <w:spacing w:before="240" w:line="360" w:lineRule="auto"/>
        <w:jc w:val="center"/>
        <w:rPr>
          <w:rFonts w:ascii="黑体" w:eastAsia="黑体"/>
          <w:color w:val="auto"/>
          <w:sz w:val="30"/>
          <w:szCs w:val="30"/>
          <w:highlight w:val="none"/>
        </w:rPr>
      </w:pPr>
    </w:p>
    <w:p>
      <w:pPr>
        <w:spacing w:before="240" w:line="360" w:lineRule="auto"/>
        <w:jc w:val="center"/>
        <w:rPr>
          <w:rFonts w:hint="eastAsia" w:ascii="黑体" w:eastAsia="黑体"/>
          <w:color w:val="auto"/>
          <w:sz w:val="30"/>
          <w:szCs w:val="30"/>
          <w:highlight w:val="none"/>
        </w:rPr>
      </w:pPr>
      <w:r>
        <w:rPr>
          <w:rFonts w:hint="eastAsia" w:ascii="黑体" w:eastAsia="黑体"/>
          <w:color w:val="auto"/>
          <w:sz w:val="30"/>
          <w:szCs w:val="30"/>
          <w:highlight w:val="none"/>
        </w:rPr>
        <w:br w:type="page"/>
      </w:r>
      <w:r>
        <w:rPr>
          <w:rFonts w:hint="eastAsia" w:ascii="黑体" w:eastAsia="黑体"/>
          <w:color w:val="auto"/>
          <w:sz w:val="30"/>
          <w:szCs w:val="30"/>
          <w:highlight w:val="none"/>
        </w:rPr>
        <w:t>附表2：定量</w:t>
      </w:r>
      <w:r>
        <w:rPr>
          <w:rFonts w:ascii="黑体" w:eastAsia="黑体"/>
          <w:color w:val="auto"/>
          <w:sz w:val="30"/>
          <w:szCs w:val="30"/>
          <w:highlight w:val="none"/>
        </w:rPr>
        <w:t>评</w:t>
      </w:r>
      <w:r>
        <w:rPr>
          <w:rFonts w:hint="eastAsia" w:ascii="黑体" w:eastAsia="黑体"/>
          <w:color w:val="auto"/>
          <w:sz w:val="30"/>
          <w:szCs w:val="30"/>
          <w:highlight w:val="none"/>
        </w:rPr>
        <w:t>价</w:t>
      </w:r>
      <w:r>
        <w:rPr>
          <w:rFonts w:ascii="黑体" w:eastAsia="黑体"/>
          <w:color w:val="auto"/>
          <w:sz w:val="30"/>
          <w:szCs w:val="30"/>
          <w:highlight w:val="none"/>
        </w:rPr>
        <w:t>定标汇总表</w:t>
      </w:r>
    </w:p>
    <w:p>
      <w:pPr>
        <w:spacing w:after="72" w:afterLines="30" w:line="360" w:lineRule="auto"/>
        <w:rPr>
          <w:rFonts w:hint="eastAsia" w:ascii="宋体" w:hAnsi="宋体"/>
          <w:color w:val="auto"/>
          <w:highlight w:val="none"/>
        </w:rPr>
      </w:pPr>
      <w:r>
        <w:rPr>
          <w:rFonts w:hint="eastAsia"/>
          <w:color w:val="auto"/>
          <w:sz w:val="24"/>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2154"/>
        <w:gridCol w:w="499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58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154" w:type="dxa"/>
            <w:noWrap w:val="0"/>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企业名称</w:t>
            </w:r>
          </w:p>
        </w:tc>
        <w:tc>
          <w:tcPr>
            <w:tcW w:w="4998"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总得分</w:t>
            </w:r>
          </w:p>
        </w:tc>
        <w:tc>
          <w:tcPr>
            <w:tcW w:w="1277"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2154" w:type="dxa"/>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（定标候选人）</w:t>
            </w:r>
          </w:p>
        </w:tc>
        <w:tc>
          <w:tcPr>
            <w:tcW w:w="4998" w:type="dxa"/>
            <w:noWrap w:val="0"/>
            <w:vAlign w:val="center"/>
          </w:tcPr>
          <w:p>
            <w:pPr>
              <w:widowControl/>
              <w:jc w:val="center"/>
              <w:rPr>
                <w:rFonts w:ascii="宋体" w:hAnsi="宋体" w:cs="宋体"/>
                <w:color w:val="auto"/>
                <w:kern w:val="0"/>
                <w:sz w:val="20"/>
                <w:szCs w:val="20"/>
                <w:highlight w:val="none"/>
              </w:rPr>
            </w:pPr>
          </w:p>
        </w:tc>
        <w:tc>
          <w:tcPr>
            <w:tcW w:w="1277"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2154" w:type="dxa"/>
            <w:noWrap/>
            <w:vAlign w:val="center"/>
          </w:tcPr>
          <w:p>
            <w:pPr>
              <w:widowControl/>
              <w:jc w:val="center"/>
              <w:rPr>
                <w:rFonts w:ascii="宋体" w:hAnsi="宋体" w:cs="宋体"/>
                <w:color w:val="auto"/>
                <w:kern w:val="0"/>
                <w:sz w:val="20"/>
                <w:szCs w:val="20"/>
                <w:highlight w:val="none"/>
              </w:rPr>
            </w:pPr>
          </w:p>
        </w:tc>
        <w:tc>
          <w:tcPr>
            <w:tcW w:w="4998" w:type="dxa"/>
            <w:noWrap w:val="0"/>
            <w:vAlign w:val="center"/>
          </w:tcPr>
          <w:p>
            <w:pPr>
              <w:widowControl/>
              <w:jc w:val="center"/>
              <w:rPr>
                <w:rFonts w:ascii="宋体" w:hAnsi="宋体" w:cs="宋体"/>
                <w:color w:val="auto"/>
                <w:kern w:val="0"/>
                <w:sz w:val="20"/>
                <w:szCs w:val="20"/>
                <w:highlight w:val="none"/>
              </w:rPr>
            </w:pPr>
          </w:p>
        </w:tc>
        <w:tc>
          <w:tcPr>
            <w:tcW w:w="1277"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2154" w:type="dxa"/>
            <w:noWrap/>
            <w:vAlign w:val="center"/>
          </w:tcPr>
          <w:p>
            <w:pPr>
              <w:widowControl/>
              <w:jc w:val="center"/>
              <w:rPr>
                <w:rFonts w:ascii="宋体" w:hAnsi="宋体" w:cs="宋体"/>
                <w:color w:val="auto"/>
                <w:kern w:val="0"/>
                <w:sz w:val="20"/>
                <w:szCs w:val="20"/>
                <w:highlight w:val="none"/>
              </w:rPr>
            </w:pPr>
          </w:p>
        </w:tc>
        <w:tc>
          <w:tcPr>
            <w:tcW w:w="4998" w:type="dxa"/>
            <w:noWrap w:val="0"/>
            <w:vAlign w:val="center"/>
          </w:tcPr>
          <w:p>
            <w:pPr>
              <w:widowControl/>
              <w:jc w:val="center"/>
              <w:rPr>
                <w:rFonts w:ascii="宋体" w:hAnsi="宋体" w:cs="宋体"/>
                <w:color w:val="auto"/>
                <w:kern w:val="0"/>
                <w:sz w:val="20"/>
                <w:szCs w:val="20"/>
                <w:highlight w:val="none"/>
              </w:rPr>
            </w:pPr>
          </w:p>
        </w:tc>
        <w:tc>
          <w:tcPr>
            <w:tcW w:w="1277"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2154" w:type="dxa"/>
            <w:noWrap/>
            <w:vAlign w:val="center"/>
          </w:tcPr>
          <w:p>
            <w:pPr>
              <w:widowControl/>
              <w:jc w:val="center"/>
              <w:rPr>
                <w:rFonts w:ascii="宋体" w:hAnsi="宋体" w:cs="宋体"/>
                <w:color w:val="auto"/>
                <w:kern w:val="0"/>
                <w:sz w:val="20"/>
                <w:szCs w:val="20"/>
                <w:highlight w:val="none"/>
              </w:rPr>
            </w:pPr>
          </w:p>
        </w:tc>
        <w:tc>
          <w:tcPr>
            <w:tcW w:w="4998" w:type="dxa"/>
            <w:noWrap w:val="0"/>
            <w:vAlign w:val="center"/>
          </w:tcPr>
          <w:p>
            <w:pPr>
              <w:widowControl/>
              <w:jc w:val="center"/>
              <w:rPr>
                <w:rFonts w:ascii="宋体" w:hAnsi="宋体" w:cs="宋体"/>
                <w:color w:val="auto"/>
                <w:kern w:val="0"/>
                <w:sz w:val="20"/>
                <w:szCs w:val="20"/>
                <w:highlight w:val="none"/>
              </w:rPr>
            </w:pPr>
          </w:p>
        </w:tc>
        <w:tc>
          <w:tcPr>
            <w:tcW w:w="1277" w:type="dxa"/>
            <w:noWrap w:val="0"/>
            <w:vAlign w:val="center"/>
          </w:tcPr>
          <w:p>
            <w:pPr>
              <w:widowControl/>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584" w:type="dxa"/>
            <w:noWrap w:val="0"/>
            <w:vAlign w:val="center"/>
          </w:tcPr>
          <w:p>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5</w:t>
            </w:r>
          </w:p>
        </w:tc>
        <w:tc>
          <w:tcPr>
            <w:tcW w:w="2154" w:type="dxa"/>
            <w:noWrap/>
            <w:vAlign w:val="center"/>
          </w:tcPr>
          <w:p>
            <w:pPr>
              <w:widowControl/>
              <w:jc w:val="center"/>
              <w:rPr>
                <w:rFonts w:ascii="宋体" w:hAnsi="宋体" w:cs="宋体"/>
                <w:color w:val="auto"/>
                <w:kern w:val="0"/>
                <w:sz w:val="20"/>
                <w:szCs w:val="20"/>
                <w:highlight w:val="none"/>
              </w:rPr>
            </w:pPr>
          </w:p>
        </w:tc>
        <w:tc>
          <w:tcPr>
            <w:tcW w:w="4998" w:type="dxa"/>
            <w:noWrap w:val="0"/>
            <w:vAlign w:val="center"/>
          </w:tcPr>
          <w:p>
            <w:pPr>
              <w:widowControl/>
              <w:jc w:val="center"/>
              <w:rPr>
                <w:rFonts w:ascii="宋体" w:hAnsi="宋体" w:cs="宋体"/>
                <w:color w:val="auto"/>
                <w:kern w:val="0"/>
                <w:sz w:val="20"/>
                <w:szCs w:val="20"/>
                <w:highlight w:val="none"/>
              </w:rPr>
            </w:pPr>
          </w:p>
        </w:tc>
        <w:tc>
          <w:tcPr>
            <w:tcW w:w="1277" w:type="dxa"/>
            <w:noWrap w:val="0"/>
            <w:vAlign w:val="center"/>
          </w:tcPr>
          <w:p>
            <w:pPr>
              <w:widowControl/>
              <w:jc w:val="center"/>
              <w:rPr>
                <w:rFonts w:ascii="宋体" w:hAnsi="宋体" w:cs="宋体"/>
                <w:color w:val="auto"/>
                <w:kern w:val="0"/>
                <w:sz w:val="20"/>
                <w:szCs w:val="20"/>
                <w:highlight w:val="none"/>
              </w:rPr>
            </w:pPr>
          </w:p>
        </w:tc>
      </w:tr>
    </w:tbl>
    <w:p>
      <w:pPr>
        <w:rPr>
          <w:rFonts w:hint="eastAsia" w:ascii="宋体" w:hAnsi="宋体"/>
          <w:color w:val="auto"/>
          <w:szCs w:val="21"/>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szCs w:val="44"/>
          <w:highlight w:val="none"/>
        </w:rPr>
      </w:pPr>
      <w:r>
        <w:rPr>
          <w:rFonts w:hint="eastAsia" w:ascii="宋体" w:hAnsi="宋体"/>
          <w:color w:val="auto"/>
          <w:highlight w:val="none"/>
        </w:rPr>
        <w:t>定标委员会全体成员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rPr>
        <w:t>：</w:t>
      </w:r>
      <w:r>
        <w:rPr>
          <w:rFonts w:hint="eastAsia" w:ascii="宋体" w:hAnsi="宋体"/>
          <w:color w:val="auto"/>
          <w:szCs w:val="44"/>
          <w:highlight w:val="none"/>
        </w:rPr>
        <w:t xml:space="preserve">                                           日期：      年    月    日</w:t>
      </w: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szCs w:val="44"/>
          <w:highlight w:val="none"/>
        </w:rPr>
      </w:pPr>
    </w:p>
    <w:p>
      <w:pPr>
        <w:tabs>
          <w:tab w:val="left" w:pos="639"/>
        </w:tabs>
        <w:rPr>
          <w:rFonts w:hint="eastAsia" w:ascii="宋体" w:hAnsi="宋体"/>
          <w:color w:val="auto"/>
          <w:highlight w:val="none"/>
        </w:rPr>
      </w:pPr>
      <w:r>
        <w:rPr>
          <w:rFonts w:hint="eastAsia" w:ascii="宋体" w:hAnsi="宋体"/>
          <w:color w:val="auto"/>
          <w:highlight w:val="none"/>
        </w:rPr>
        <w:t>招标</w:t>
      </w:r>
      <w:r>
        <w:rPr>
          <w:rFonts w:ascii="宋体" w:hAnsi="宋体"/>
          <w:color w:val="auto"/>
          <w:highlight w:val="none"/>
        </w:rPr>
        <w:t>人监督小组：</w:t>
      </w:r>
    </w:p>
    <w:p>
      <w:pPr>
        <w:spacing w:before="240" w:line="360" w:lineRule="auto"/>
        <w:jc w:val="center"/>
        <w:rPr>
          <w:rFonts w:ascii="黑体" w:eastAsia="黑体"/>
          <w:color w:val="auto"/>
          <w:sz w:val="30"/>
          <w:szCs w:val="30"/>
          <w:highlight w:val="none"/>
        </w:rPr>
      </w:pPr>
    </w:p>
    <w:p>
      <w:pPr>
        <w:spacing w:before="240" w:line="360" w:lineRule="auto"/>
        <w:jc w:val="center"/>
        <w:rPr>
          <w:rFonts w:ascii="黑体" w:eastAsia="黑体"/>
          <w:color w:val="auto"/>
          <w:sz w:val="30"/>
          <w:szCs w:val="30"/>
          <w:highlight w:val="none"/>
        </w:rPr>
      </w:pPr>
      <w:r>
        <w:rPr>
          <w:rFonts w:ascii="黑体" w:eastAsia="黑体"/>
          <w:color w:val="auto"/>
          <w:sz w:val="30"/>
          <w:szCs w:val="30"/>
          <w:highlight w:val="none"/>
        </w:rPr>
        <w:br w:type="page"/>
      </w:r>
      <w:r>
        <w:rPr>
          <w:rFonts w:hint="eastAsia" w:ascii="黑体" w:eastAsia="黑体"/>
          <w:color w:val="auto"/>
          <w:sz w:val="30"/>
          <w:szCs w:val="30"/>
          <w:highlight w:val="none"/>
        </w:rPr>
        <w:t>附表3：择优票决定标法投票表</w:t>
      </w:r>
    </w:p>
    <w:p>
      <w:pPr>
        <w:spacing w:line="360" w:lineRule="auto"/>
        <w:rPr>
          <w:rFonts w:hint="eastAsia"/>
          <w:color w:val="auto"/>
          <w:sz w:val="24"/>
          <w:highlight w:val="none"/>
        </w:rPr>
      </w:pPr>
      <w:r>
        <w:rPr>
          <w:rFonts w:hint="eastAsia"/>
          <w:color w:val="auto"/>
          <w:sz w:val="24"/>
          <w:highlight w:val="none"/>
        </w:rPr>
        <w:t>项目名称：</w:t>
      </w:r>
    </w:p>
    <w:p>
      <w:pPr>
        <w:spacing w:line="360" w:lineRule="auto"/>
        <w:rPr>
          <w:rFonts w:hint="eastAsia"/>
          <w:color w:val="auto"/>
          <w:sz w:val="24"/>
          <w:highlight w:val="none"/>
        </w:rPr>
      </w:pPr>
      <w:r>
        <w:rPr>
          <w:rFonts w:hint="eastAsia"/>
          <w:color w:val="auto"/>
          <w:sz w:val="24"/>
          <w:highlight w:val="none"/>
        </w:rPr>
        <w:t>现定标委员对第</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中</w:t>
      </w:r>
      <w:r>
        <w:rPr>
          <w:color w:val="auto"/>
          <w:sz w:val="24"/>
          <w:highlight w:val="none"/>
        </w:rPr>
        <w:t>标候选人</w:t>
      </w:r>
      <w:r>
        <w:rPr>
          <w:rFonts w:hint="eastAsia"/>
          <w:color w:val="auto"/>
          <w:sz w:val="24"/>
          <w:highlight w:val="none"/>
        </w:rPr>
        <w:t>进行择优票</w:t>
      </w:r>
      <w:r>
        <w:rPr>
          <w:color w:val="auto"/>
          <w:sz w:val="24"/>
          <w:highlight w:val="none"/>
        </w:rPr>
        <w:t>决</w:t>
      </w:r>
      <w:r>
        <w:rPr>
          <w:rFonts w:hint="eastAsia"/>
          <w:color w:val="auto"/>
          <w:sz w:val="24"/>
          <w:highlight w:val="none"/>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412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20" w:type="dxa"/>
            <w:noWrap w:val="0"/>
            <w:vAlign w:val="center"/>
          </w:tcPr>
          <w:p>
            <w:pPr>
              <w:jc w:val="center"/>
              <w:rPr>
                <w:rFonts w:hint="eastAsia" w:ascii="宋体" w:hAnsi="宋体"/>
                <w:b/>
                <w:color w:val="auto"/>
                <w:highlight w:val="none"/>
              </w:rPr>
            </w:pPr>
            <w:r>
              <w:rPr>
                <w:rFonts w:hint="eastAsia" w:ascii="宋体" w:hAnsi="宋体"/>
                <w:b/>
                <w:color w:val="auto"/>
                <w:highlight w:val="none"/>
              </w:rPr>
              <w:t>支持票</w:t>
            </w:r>
          </w:p>
          <w:p>
            <w:pPr>
              <w:jc w:val="center"/>
              <w:rPr>
                <w:rFonts w:hint="eastAsia" w:ascii="宋体" w:hAnsi="宋体"/>
                <w:color w:val="auto"/>
                <w:highlight w:val="none"/>
              </w:rPr>
            </w:pPr>
            <w:r>
              <w:rPr>
                <w:rFonts w:hint="eastAsia" w:ascii="宋体" w:hAnsi="宋体"/>
                <w:color w:val="auto"/>
                <w:highlight w:val="none"/>
              </w:rPr>
              <w:t>（定标委员对支持的其中1名投标人投票）</w:t>
            </w:r>
          </w:p>
        </w:tc>
        <w:tc>
          <w:tcPr>
            <w:tcW w:w="4095"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pict>
                <v:shape id="_x0000_i1025" o:spt="136" type="#_x0000_t136" style="height:28.3pt;width:84.85pt;" fillcolor="#FFFFFF" filled="t" stroked="t" coordsize="21600,21600">
                  <v:path/>
                  <v:fill on="t" focussize="0,0"/>
                  <v:stroke weight="2.25pt" color="#D8D8D8"/>
                  <v:imagedata o:title=""/>
                  <o:lock v:ext="edit"/>
                  <v:textpath on="t" fitshape="t" fitpath="t" trim="t" xscale="f" string="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w:t>
            </w:r>
          </w:p>
          <w:p>
            <w:pPr>
              <w:jc w:val="center"/>
              <w:rPr>
                <w:rFonts w:hint="eastAsia" w:ascii="宋体" w:hAnsi="宋体"/>
                <w:b/>
                <w:color w:val="auto"/>
                <w:highlight w:val="none"/>
              </w:rPr>
            </w:pPr>
            <w:r>
              <w:rPr>
                <w:rFonts w:hint="eastAsia" w:ascii="宋体" w:hAnsi="宋体"/>
                <w:b/>
                <w:color w:val="auto"/>
                <w:highlight w:val="none"/>
              </w:rPr>
              <w:t>名称</w:t>
            </w:r>
          </w:p>
        </w:tc>
        <w:tc>
          <w:tcPr>
            <w:tcW w:w="4120" w:type="dxa"/>
            <w:noWrap w:val="0"/>
            <w:vAlign w:val="center"/>
          </w:tcPr>
          <w:p>
            <w:pPr>
              <w:jc w:val="center"/>
              <w:rPr>
                <w:rFonts w:hint="eastAsia" w:ascii="宋体" w:hAnsi="宋体"/>
                <w:color w:val="auto"/>
                <w:highlight w:val="none"/>
              </w:rPr>
            </w:pPr>
          </w:p>
        </w:tc>
        <w:tc>
          <w:tcPr>
            <w:tcW w:w="4095" w:type="dxa"/>
            <w:vMerge w:val="continue"/>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20" w:type="dxa"/>
            <w:noWrap w:val="0"/>
            <w:vAlign w:val="center"/>
          </w:tcPr>
          <w:p>
            <w:pPr>
              <w:jc w:val="center"/>
              <w:rPr>
                <w:rFonts w:hint="eastAsia" w:ascii="宋体" w:hAnsi="宋体"/>
                <w:b/>
                <w:color w:val="auto"/>
                <w:highlight w:val="none"/>
              </w:rPr>
            </w:pPr>
            <w:r>
              <w:rPr>
                <w:rFonts w:hint="eastAsia" w:ascii="宋体" w:hAnsi="宋体"/>
                <w:b/>
                <w:color w:val="auto"/>
                <w:highlight w:val="none"/>
              </w:rPr>
              <w:t>支持票</w:t>
            </w:r>
          </w:p>
          <w:p>
            <w:pPr>
              <w:jc w:val="center"/>
              <w:rPr>
                <w:rFonts w:hint="eastAsia" w:ascii="宋体" w:hAnsi="宋体"/>
                <w:color w:val="auto"/>
                <w:highlight w:val="none"/>
              </w:rPr>
            </w:pPr>
            <w:r>
              <w:rPr>
                <w:rFonts w:hint="eastAsia" w:ascii="宋体" w:hAnsi="宋体"/>
                <w:color w:val="auto"/>
                <w:highlight w:val="none"/>
              </w:rPr>
              <w:t>（定标委员对支持的其中1名投标人投票）</w:t>
            </w:r>
          </w:p>
        </w:tc>
        <w:tc>
          <w:tcPr>
            <w:tcW w:w="4095"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pict>
                <v:shape id="_x0000_i1026" o:spt="136" type="#_x0000_t136" style="height:28.3pt;width:84.85pt;" fillcolor="#FFFFFF" filled="t" stroked="t" coordsize="21600,21600">
                  <v:path/>
                  <v:fill on="t" focussize="0,0"/>
                  <v:stroke weight="2.25pt" color="#D8D8D8"/>
                  <v:imagedata o:title=""/>
                  <o:lock v:ext="edit"/>
                  <v:textpath on="t" fitshape="t" fitpath="t" trim="t" xscale="f" string="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w:t>
            </w:r>
          </w:p>
          <w:p>
            <w:pPr>
              <w:jc w:val="center"/>
              <w:rPr>
                <w:rFonts w:hint="eastAsia" w:ascii="宋体" w:hAnsi="宋体"/>
                <w:b/>
                <w:color w:val="auto"/>
                <w:highlight w:val="none"/>
              </w:rPr>
            </w:pPr>
            <w:r>
              <w:rPr>
                <w:rFonts w:hint="eastAsia" w:ascii="宋体" w:hAnsi="宋体"/>
                <w:b/>
                <w:color w:val="auto"/>
                <w:highlight w:val="none"/>
              </w:rPr>
              <w:t>名称</w:t>
            </w:r>
          </w:p>
        </w:tc>
        <w:tc>
          <w:tcPr>
            <w:tcW w:w="4120" w:type="dxa"/>
            <w:noWrap w:val="0"/>
            <w:vAlign w:val="center"/>
          </w:tcPr>
          <w:p>
            <w:pPr>
              <w:jc w:val="center"/>
              <w:rPr>
                <w:rFonts w:hint="eastAsia" w:ascii="宋体" w:hAnsi="宋体"/>
                <w:color w:val="auto"/>
                <w:highlight w:val="none"/>
              </w:rPr>
            </w:pPr>
          </w:p>
        </w:tc>
        <w:tc>
          <w:tcPr>
            <w:tcW w:w="4095" w:type="dxa"/>
            <w:vMerge w:val="continue"/>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20" w:type="dxa"/>
            <w:noWrap w:val="0"/>
            <w:vAlign w:val="center"/>
          </w:tcPr>
          <w:p>
            <w:pPr>
              <w:jc w:val="center"/>
              <w:rPr>
                <w:rFonts w:hint="eastAsia" w:ascii="宋体" w:hAnsi="宋体"/>
                <w:b/>
                <w:color w:val="auto"/>
                <w:highlight w:val="none"/>
              </w:rPr>
            </w:pPr>
            <w:r>
              <w:rPr>
                <w:rFonts w:hint="eastAsia" w:ascii="宋体" w:hAnsi="宋体"/>
                <w:b/>
                <w:color w:val="auto"/>
                <w:highlight w:val="none"/>
              </w:rPr>
              <w:t>支持票</w:t>
            </w:r>
          </w:p>
          <w:p>
            <w:pPr>
              <w:jc w:val="center"/>
              <w:rPr>
                <w:rFonts w:hint="eastAsia" w:ascii="宋体" w:hAnsi="宋体"/>
                <w:color w:val="auto"/>
                <w:highlight w:val="none"/>
              </w:rPr>
            </w:pPr>
            <w:r>
              <w:rPr>
                <w:rFonts w:hint="eastAsia" w:ascii="宋体" w:hAnsi="宋体"/>
                <w:color w:val="auto"/>
                <w:highlight w:val="none"/>
              </w:rPr>
              <w:t>（定标委员对支持的其中1名投标人投票）</w:t>
            </w:r>
          </w:p>
        </w:tc>
        <w:tc>
          <w:tcPr>
            <w:tcW w:w="4095" w:type="dxa"/>
            <w:vMerge w:val="restart"/>
            <w:noWrap w:val="0"/>
            <w:vAlign w:val="center"/>
          </w:tcPr>
          <w:p>
            <w:pPr>
              <w:jc w:val="center"/>
              <w:rPr>
                <w:rFonts w:hint="eastAsia" w:ascii="宋体" w:hAnsi="宋体"/>
                <w:b/>
                <w:color w:val="auto"/>
                <w:highlight w:val="none"/>
              </w:rPr>
            </w:pPr>
            <w:r>
              <w:rPr>
                <w:rFonts w:hint="eastAsia" w:ascii="宋体" w:hAnsi="宋体"/>
                <w:b/>
                <w:color w:val="auto"/>
                <w:highlight w:val="none"/>
              </w:rPr>
              <w:pict>
                <v:shape id="_x0000_i1027" o:spt="136" type="#_x0000_t136" style="height:28.3pt;width:84.85pt;" fillcolor="#FFFFFF" filled="t" stroked="t" coordsize="21600,21600">
                  <v:path/>
                  <v:fill on="t" focussize="0,0"/>
                  <v:stroke weight="2.25pt" color="#D8D8D8"/>
                  <v:imagedata o:title=""/>
                  <o:lock v:ext="edit"/>
                  <v:textpath on="t" fitshape="t" fitpath="t" trim="t" xscale="f" string="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042"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w:t>
            </w:r>
          </w:p>
          <w:p>
            <w:pPr>
              <w:jc w:val="center"/>
              <w:rPr>
                <w:rFonts w:hint="eastAsia" w:ascii="宋体" w:hAnsi="宋体"/>
                <w:b/>
                <w:color w:val="auto"/>
                <w:highlight w:val="none"/>
              </w:rPr>
            </w:pPr>
            <w:r>
              <w:rPr>
                <w:rFonts w:hint="eastAsia" w:ascii="宋体" w:hAnsi="宋体"/>
                <w:b/>
                <w:color w:val="auto"/>
                <w:highlight w:val="none"/>
              </w:rPr>
              <w:t>名称</w:t>
            </w:r>
          </w:p>
        </w:tc>
        <w:tc>
          <w:tcPr>
            <w:tcW w:w="4120" w:type="dxa"/>
            <w:noWrap w:val="0"/>
            <w:vAlign w:val="center"/>
          </w:tcPr>
          <w:p>
            <w:pPr>
              <w:jc w:val="center"/>
              <w:rPr>
                <w:rFonts w:hint="eastAsia" w:ascii="宋体" w:hAnsi="宋体"/>
                <w:color w:val="auto"/>
                <w:highlight w:val="none"/>
              </w:rPr>
            </w:pPr>
          </w:p>
        </w:tc>
        <w:tc>
          <w:tcPr>
            <w:tcW w:w="4095" w:type="dxa"/>
            <w:vMerge w:val="continue"/>
            <w:noWrap w:val="0"/>
            <w:vAlign w:val="center"/>
          </w:tcPr>
          <w:p>
            <w:pPr>
              <w:jc w:val="center"/>
              <w:rPr>
                <w:rFonts w:hint="eastAsia" w:ascii="宋体" w:hAnsi="宋体"/>
                <w:color w:val="auto"/>
                <w:highlight w:val="none"/>
              </w:rPr>
            </w:pPr>
          </w:p>
        </w:tc>
      </w:tr>
    </w:tbl>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本页发给评标委员会成员，投票结束时收回。</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定标</w:t>
      </w:r>
      <w:r>
        <w:rPr>
          <w:rFonts w:ascii="宋体" w:hAnsi="宋体"/>
          <w:color w:val="auto"/>
          <w:szCs w:val="21"/>
          <w:highlight w:val="none"/>
        </w:rPr>
        <w:t>结束</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未</w:t>
      </w:r>
      <w:r>
        <w:rPr>
          <w:rFonts w:ascii="宋体" w:hAnsi="宋体"/>
          <w:color w:val="auto"/>
          <w:szCs w:val="21"/>
          <w:highlight w:val="none"/>
        </w:rPr>
        <w:t>使用的部分</w:t>
      </w:r>
      <w:r>
        <w:rPr>
          <w:rFonts w:hint="eastAsia" w:ascii="宋体" w:hAnsi="宋体"/>
          <w:color w:val="auto"/>
          <w:szCs w:val="21"/>
          <w:highlight w:val="none"/>
        </w:rPr>
        <w:t>打</w:t>
      </w:r>
      <w:r>
        <w:rPr>
          <w:rFonts w:ascii="宋体" w:hAnsi="宋体"/>
          <w:color w:val="auto"/>
          <w:szCs w:val="21"/>
          <w:highlight w:val="none"/>
        </w:rPr>
        <w:t>上斜线</w:t>
      </w:r>
      <w:r>
        <w:rPr>
          <w:rFonts w:hint="eastAsia" w:ascii="宋体" w:hAnsi="宋体"/>
          <w:color w:val="auto"/>
          <w:szCs w:val="21"/>
          <w:highlight w:val="none"/>
        </w:rPr>
        <w:t>“/”</w:t>
      </w:r>
      <w:r>
        <w:rPr>
          <w:rFonts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定标委员会可根据被投票投标人家数或投票轮数适当扩充表格。</w:t>
      </w: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rPr>
          <w:rFonts w:hint="eastAsia" w:ascii="宋体" w:hAnsi="宋体"/>
          <w:b/>
          <w:color w:val="auto"/>
          <w:szCs w:val="21"/>
          <w:highlight w:val="none"/>
        </w:rPr>
      </w:pPr>
    </w:p>
    <w:p>
      <w:pPr>
        <w:rPr>
          <w:rFonts w:hint="eastAsia"/>
          <w:color w:val="auto"/>
          <w:highlight w:val="none"/>
        </w:rPr>
      </w:pPr>
      <w:r>
        <w:rPr>
          <w:rFonts w:hint="eastAsia"/>
          <w:color w:val="auto"/>
          <w:highlight w:val="none"/>
        </w:rPr>
        <w:t>定标委员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color w:val="auto"/>
          <w:highlight w:val="none"/>
        </w:rPr>
        <w:t xml:space="preserve">： </w:t>
      </w:r>
    </w:p>
    <w:p>
      <w:pPr>
        <w:spacing w:line="360" w:lineRule="auto"/>
        <w:ind w:left="420" w:firstLine="420"/>
        <w:rPr>
          <w:rFonts w:hint="eastAsia"/>
          <w:color w:val="auto"/>
          <w:highlight w:val="none"/>
        </w:rPr>
      </w:pPr>
    </w:p>
    <w:p>
      <w:pPr>
        <w:rPr>
          <w:rFonts w:hint="eastAsia" w:ascii="仿宋_GB2312" w:hAnsi="宋体" w:eastAsia="仿宋_GB2312"/>
          <w:color w:val="auto"/>
          <w:szCs w:val="21"/>
          <w:highlight w:val="none"/>
        </w:rPr>
      </w:pPr>
    </w:p>
    <w:p>
      <w:pPr>
        <w:rPr>
          <w:rFonts w:hint="eastAsia" w:ascii="仿宋_GB2312" w:hAnsi="宋体" w:eastAsia="仿宋_GB2312"/>
          <w:color w:val="auto"/>
          <w:szCs w:val="21"/>
          <w:highlight w:val="none"/>
        </w:rPr>
      </w:pPr>
    </w:p>
    <w:p>
      <w:pPr>
        <w:spacing w:before="240" w:line="360" w:lineRule="auto"/>
        <w:jc w:val="center"/>
        <w:rPr>
          <w:rFonts w:hint="eastAsia" w:ascii="黑体" w:eastAsia="黑体"/>
          <w:color w:val="auto"/>
          <w:sz w:val="30"/>
          <w:szCs w:val="30"/>
          <w:highlight w:val="none"/>
        </w:rPr>
      </w:pPr>
      <w:r>
        <w:rPr>
          <w:rFonts w:ascii="黑体" w:eastAsia="黑体"/>
          <w:color w:val="auto"/>
          <w:sz w:val="30"/>
          <w:szCs w:val="30"/>
          <w:highlight w:val="none"/>
        </w:rPr>
        <w:br w:type="page"/>
      </w:r>
      <w:r>
        <w:rPr>
          <w:rFonts w:hint="eastAsia" w:ascii="黑体" w:eastAsia="黑体"/>
          <w:color w:val="auto"/>
          <w:sz w:val="30"/>
          <w:szCs w:val="30"/>
          <w:highlight w:val="none"/>
        </w:rPr>
        <w:t>附表4：择优票决定标法汇总表</w:t>
      </w:r>
    </w:p>
    <w:p>
      <w:pPr>
        <w:spacing w:line="360" w:lineRule="auto"/>
        <w:rPr>
          <w:rFonts w:hint="eastAsia" w:ascii="宋体" w:hAnsi="宋体"/>
          <w:color w:val="auto"/>
          <w:sz w:val="24"/>
          <w:highlight w:val="none"/>
        </w:rPr>
      </w:pPr>
      <w:r>
        <w:rPr>
          <w:rFonts w:hint="eastAsia" w:ascii="宋体" w:hAnsi="宋体"/>
          <w:color w:val="auto"/>
          <w:sz w:val="24"/>
          <w:highlight w:val="none"/>
        </w:rPr>
        <w:t>项目名称：</w:t>
      </w:r>
    </w:p>
    <w:p>
      <w:pPr>
        <w:spacing w:line="360" w:lineRule="auto"/>
        <w:rPr>
          <w:rFonts w:hint="eastAsia" w:ascii="宋体" w:hAnsi="宋体"/>
          <w:color w:val="auto"/>
          <w:sz w:val="24"/>
          <w:highlight w:val="none"/>
        </w:rPr>
      </w:pPr>
      <w:r>
        <w:rPr>
          <w:rFonts w:hint="eastAsia"/>
          <w:color w:val="auto"/>
          <w:sz w:val="24"/>
          <w:highlight w:val="none"/>
        </w:rPr>
        <w:t>第</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中</w:t>
      </w:r>
      <w:r>
        <w:rPr>
          <w:color w:val="auto"/>
          <w:sz w:val="24"/>
          <w:highlight w:val="none"/>
        </w:rPr>
        <w:t>标候选人</w:t>
      </w:r>
      <w:r>
        <w:rPr>
          <w:rFonts w:hint="eastAsia"/>
          <w:color w:val="auto"/>
          <w:sz w:val="24"/>
          <w:highlight w:val="none"/>
        </w:rPr>
        <w:t>择优票</w:t>
      </w:r>
      <w:r>
        <w:rPr>
          <w:color w:val="auto"/>
          <w:sz w:val="24"/>
          <w:highlight w:val="none"/>
        </w:rPr>
        <w:t>决</w:t>
      </w:r>
      <w:r>
        <w:rPr>
          <w:rFonts w:hint="eastAsia"/>
          <w:color w:val="auto"/>
          <w:sz w:val="24"/>
          <w:highlight w:val="none"/>
        </w:rPr>
        <w:t>汇总：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74"/>
        <w:gridCol w:w="1474"/>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00" w:type="dxa"/>
            <w:tcBorders>
              <w:tl2br w:val="single" w:color="auto" w:sz="4" w:space="0"/>
            </w:tcBorders>
            <w:noWrap w:val="0"/>
            <w:tcMar>
              <w:top w:w="57" w:type="dxa"/>
              <w:left w:w="28" w:type="dxa"/>
              <w:bottom w:w="57" w:type="dxa"/>
              <w:right w:w="28" w:type="dxa"/>
            </w:tcMar>
            <w:vAlign w:val="center"/>
          </w:tcPr>
          <w:p>
            <w:pPr>
              <w:ind w:firstLine="632" w:firstLineChars="300"/>
              <w:rPr>
                <w:rFonts w:hint="eastAsia" w:ascii="宋体" w:hAnsi="宋体"/>
                <w:b/>
                <w:color w:val="auto"/>
                <w:highlight w:val="none"/>
              </w:rPr>
            </w:pPr>
            <w:r>
              <w:rPr>
                <w:rFonts w:hint="eastAsia" w:ascii="宋体" w:hAnsi="宋体"/>
                <w:b/>
                <w:color w:val="auto"/>
                <w:highlight w:val="none"/>
              </w:rPr>
              <w:t>投标人名称</w:t>
            </w:r>
          </w:p>
          <w:p>
            <w:pPr>
              <w:rPr>
                <w:rFonts w:hint="eastAsia" w:ascii="宋体" w:hAnsi="宋体"/>
                <w:b/>
                <w:color w:val="auto"/>
                <w:highlight w:val="none"/>
              </w:rPr>
            </w:pPr>
          </w:p>
          <w:p>
            <w:pPr>
              <w:rPr>
                <w:rFonts w:hint="eastAsia" w:ascii="宋体" w:hAnsi="宋体"/>
                <w:b/>
                <w:color w:val="auto"/>
                <w:highlight w:val="none"/>
              </w:rPr>
            </w:pPr>
          </w:p>
          <w:p>
            <w:pPr>
              <w:ind w:firstLine="105" w:firstLineChars="50"/>
              <w:rPr>
                <w:rFonts w:hint="eastAsia" w:ascii="宋体" w:hAnsi="宋体"/>
                <w:b/>
                <w:color w:val="auto"/>
                <w:highlight w:val="none"/>
              </w:rPr>
            </w:pPr>
            <w:r>
              <w:rPr>
                <w:rFonts w:hint="eastAsia" w:ascii="宋体" w:hAnsi="宋体"/>
                <w:b/>
                <w:color w:val="auto"/>
                <w:highlight w:val="none"/>
              </w:rPr>
              <w:t>投票轮次</w:t>
            </w: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票数</w:t>
            </w: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w:t>
            </w:r>
          </w:p>
          <w:p>
            <w:pPr>
              <w:spacing w:before="120" w:beforeLines="50" w:after="120" w:afterLines="50"/>
              <w:jc w:val="center"/>
              <w:rPr>
                <w:rFonts w:hint="eastAsia" w:ascii="宋体" w:hAnsi="宋体"/>
                <w:color w:val="auto"/>
                <w:highlight w:val="none"/>
              </w:rPr>
            </w:pPr>
            <w:r>
              <w:rPr>
                <w:rFonts w:hint="eastAsia" w:ascii="宋体" w:hAnsi="宋体"/>
                <w:b/>
                <w:color w:val="auto"/>
                <w:highlight w:val="none"/>
              </w:rPr>
              <w:t>票数</w:t>
            </w: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票数</w:t>
            </w: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w:t>
            </w: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中标</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候选人确定</w:t>
            </w: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c>
          <w:tcPr>
            <w:tcW w:w="1474" w:type="dxa"/>
            <w:noWrap w:val="0"/>
            <w:vAlign w:val="center"/>
          </w:tcPr>
          <w:p>
            <w:pPr>
              <w:jc w:val="center"/>
              <w:rPr>
                <w:rFonts w:hint="eastAsia" w:ascii="宋体" w:hAnsi="宋体"/>
                <w:color w:val="auto"/>
                <w:highlight w:val="none"/>
              </w:rPr>
            </w:pPr>
          </w:p>
        </w:tc>
      </w:tr>
    </w:tbl>
    <w:p>
      <w:pPr>
        <w:rPr>
          <w:rFonts w:hint="eastAsia" w:ascii="宋体" w:hAnsi="宋体"/>
          <w:color w:val="auto"/>
          <w:highlight w:val="none"/>
        </w:rPr>
      </w:pPr>
    </w:p>
    <w:p>
      <w:pPr>
        <w:rPr>
          <w:rFonts w:hint="eastAsia"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本页由计票员负责填写，投票结束时收回。</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“中标候选人确定”一栏，在被选定的投标人对应一列打“√”。</w:t>
      </w:r>
    </w:p>
    <w:p>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定标</w:t>
      </w:r>
      <w:r>
        <w:rPr>
          <w:rFonts w:ascii="宋体" w:hAnsi="宋体"/>
          <w:color w:val="auto"/>
          <w:szCs w:val="21"/>
          <w:highlight w:val="none"/>
        </w:rPr>
        <w:t>结束</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未</w:t>
      </w:r>
      <w:r>
        <w:rPr>
          <w:rFonts w:ascii="宋体" w:hAnsi="宋体"/>
          <w:color w:val="auto"/>
          <w:szCs w:val="21"/>
          <w:highlight w:val="none"/>
        </w:rPr>
        <w:t>使用的部分</w:t>
      </w:r>
      <w:r>
        <w:rPr>
          <w:rFonts w:hint="eastAsia" w:ascii="宋体" w:hAnsi="宋体"/>
          <w:color w:val="auto"/>
          <w:szCs w:val="21"/>
          <w:highlight w:val="none"/>
        </w:rPr>
        <w:t>打</w:t>
      </w:r>
      <w:r>
        <w:rPr>
          <w:rFonts w:ascii="宋体" w:hAnsi="宋体"/>
          <w:color w:val="auto"/>
          <w:szCs w:val="21"/>
          <w:highlight w:val="none"/>
        </w:rPr>
        <w:t>上斜线</w:t>
      </w:r>
      <w:r>
        <w:rPr>
          <w:rFonts w:hint="eastAsia" w:ascii="宋体" w:hAnsi="宋体"/>
          <w:color w:val="auto"/>
          <w:szCs w:val="21"/>
          <w:highlight w:val="none"/>
        </w:rPr>
        <w:t>“/”</w:t>
      </w:r>
      <w:r>
        <w:rPr>
          <w:rFonts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计票员可根据被投票投标人家数或投票轮数适当扩充表格。</w:t>
      </w:r>
    </w:p>
    <w:p>
      <w:pPr>
        <w:rPr>
          <w:rFonts w:hint="eastAsia" w:ascii="宋体" w:hAnsi="宋体"/>
          <w:color w:val="auto"/>
          <w:highlight w:val="none"/>
        </w:rPr>
      </w:pPr>
    </w:p>
    <w:p>
      <w:pPr>
        <w:rPr>
          <w:rFonts w:hint="eastAsia" w:ascii="宋体" w:hAnsi="宋体"/>
          <w:color w:val="auto"/>
          <w:highlight w:val="none"/>
        </w:rPr>
      </w:pPr>
    </w:p>
    <w:p>
      <w:pPr>
        <w:tabs>
          <w:tab w:val="left" w:pos="639"/>
        </w:tabs>
        <w:rPr>
          <w:rFonts w:hint="eastAsia" w:ascii="宋体" w:hAnsi="宋体"/>
          <w:color w:val="auto"/>
          <w:highlight w:val="none"/>
        </w:rPr>
      </w:pPr>
      <w:r>
        <w:rPr>
          <w:rFonts w:hint="eastAsia" w:ascii="宋体" w:hAnsi="宋体"/>
          <w:color w:val="auto"/>
          <w:highlight w:val="none"/>
        </w:rPr>
        <w:t>计票</w:t>
      </w:r>
      <w:r>
        <w:rPr>
          <w:rFonts w:hint="eastAsia" w:ascii="宋体" w:hAnsi="宋体"/>
          <w:color w:val="auto"/>
          <w:szCs w:val="21"/>
          <w:highlight w:val="none"/>
        </w:rPr>
        <w:t>员</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定标委员会全体成员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rPr>
        <w:t>：</w:t>
      </w:r>
      <w:r>
        <w:rPr>
          <w:rFonts w:ascii="宋体" w:hAnsi="宋体"/>
          <w:color w:val="auto"/>
          <w:highlight w:val="none"/>
        </w:rPr>
        <w:t xml:space="preserve">      </w:t>
      </w:r>
      <w:r>
        <w:rPr>
          <w:rFonts w:hint="eastAsia" w:ascii="宋体" w:hAnsi="宋体"/>
          <w:color w:val="auto"/>
          <w:highlight w:val="none"/>
        </w:rPr>
        <w:t xml:space="preserve">    </w:t>
      </w: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r>
        <w:rPr>
          <w:rFonts w:hint="eastAsia" w:ascii="宋体" w:hAnsi="宋体"/>
          <w:color w:val="auto"/>
          <w:highlight w:val="none"/>
        </w:rPr>
        <w:t>招标</w:t>
      </w:r>
      <w:r>
        <w:rPr>
          <w:rFonts w:ascii="宋体" w:hAnsi="宋体"/>
          <w:color w:val="auto"/>
          <w:highlight w:val="none"/>
        </w:rPr>
        <w:t>人监督小组</w:t>
      </w:r>
      <w:r>
        <w:rPr>
          <w:rFonts w:hint="eastAsia" w:ascii="宋体" w:hAnsi="宋体"/>
          <w:color w:val="auto"/>
          <w:highlight w:val="none"/>
        </w:rPr>
        <w:t xml:space="preserve"> ：     </w:t>
      </w:r>
      <w:r>
        <w:rPr>
          <w:rFonts w:ascii="宋体" w:hAnsi="宋体"/>
          <w:color w:val="auto"/>
          <w:highlight w:val="none"/>
        </w:rPr>
        <w:t xml:space="preserve">                  </w:t>
      </w:r>
      <w:r>
        <w:rPr>
          <w:rFonts w:hint="eastAsia" w:ascii="宋体" w:hAnsi="宋体"/>
          <w:color w:val="auto"/>
          <w:highlight w:val="none"/>
        </w:rPr>
        <w:t xml:space="preserve">                        </w:t>
      </w:r>
      <w:r>
        <w:rPr>
          <w:rFonts w:hint="eastAsia" w:ascii="宋体" w:hAnsi="宋体"/>
          <w:color w:val="auto"/>
          <w:szCs w:val="44"/>
          <w:highlight w:val="none"/>
        </w:rPr>
        <w:t>日期：      年    月    日</w:t>
      </w:r>
    </w:p>
    <w:p>
      <w:pPr>
        <w:rPr>
          <w:rFonts w:hint="eastAsia" w:ascii="仿宋_GB2312" w:hAnsi="宋体" w:eastAsia="仿宋_GB2312"/>
          <w:color w:val="auto"/>
          <w:szCs w:val="21"/>
          <w:highlight w:val="none"/>
        </w:rPr>
      </w:pPr>
    </w:p>
    <w:p>
      <w:pPr>
        <w:rPr>
          <w:rFonts w:hint="eastAsia" w:ascii="仿宋_GB2312" w:hAnsi="宋体" w:eastAsia="仿宋_GB2312"/>
          <w:color w:val="auto"/>
          <w:szCs w:val="21"/>
          <w:highlight w:val="none"/>
        </w:rPr>
      </w:pPr>
    </w:p>
    <w:p>
      <w:pPr>
        <w:rPr>
          <w:rFonts w:hint="eastAsia" w:ascii="仿宋_GB2312" w:hAnsi="宋体" w:eastAsia="仿宋_GB2312"/>
          <w:color w:val="auto"/>
          <w:szCs w:val="21"/>
          <w:highlight w:val="none"/>
        </w:rPr>
      </w:pPr>
    </w:p>
    <w:p>
      <w:pPr>
        <w:rPr>
          <w:rFonts w:hint="eastAsia" w:ascii="仿宋_GB2312" w:hAnsi="宋体" w:eastAsia="仿宋_GB2312"/>
          <w:color w:val="auto"/>
          <w:szCs w:val="21"/>
          <w:highlight w:val="none"/>
        </w:rPr>
      </w:pPr>
    </w:p>
    <w:p>
      <w:pPr>
        <w:rPr>
          <w:rFonts w:hint="eastAsia" w:ascii="仿宋_GB2312" w:hAnsi="宋体" w:eastAsia="仿宋_GB2312"/>
          <w:color w:val="auto"/>
          <w:szCs w:val="21"/>
          <w:highlight w:val="none"/>
        </w:rPr>
      </w:pPr>
    </w:p>
    <w:p>
      <w:pPr>
        <w:spacing w:before="240" w:line="360" w:lineRule="auto"/>
        <w:jc w:val="center"/>
        <w:rPr>
          <w:rFonts w:hint="eastAsia" w:ascii="黑体" w:eastAsia="黑体"/>
          <w:color w:val="auto"/>
          <w:sz w:val="30"/>
          <w:szCs w:val="30"/>
          <w:highlight w:val="none"/>
        </w:rPr>
      </w:pPr>
      <w:r>
        <w:rPr>
          <w:rFonts w:ascii="黑体" w:eastAsia="黑体"/>
          <w:color w:val="auto"/>
          <w:sz w:val="30"/>
          <w:szCs w:val="30"/>
          <w:highlight w:val="none"/>
        </w:rPr>
        <w:br w:type="page"/>
      </w:r>
      <w:r>
        <w:rPr>
          <w:rFonts w:hint="eastAsia" w:ascii="黑体" w:eastAsia="黑体"/>
          <w:color w:val="auto"/>
          <w:sz w:val="30"/>
          <w:szCs w:val="30"/>
          <w:highlight w:val="none"/>
        </w:rPr>
        <w:t>附表5：逐轮淘汰票决定标法投票表</w:t>
      </w:r>
    </w:p>
    <w:p>
      <w:pPr>
        <w:spacing w:line="360" w:lineRule="auto"/>
        <w:rPr>
          <w:rFonts w:hint="eastAsia" w:ascii="宋体" w:hAnsi="宋体"/>
          <w:color w:val="auto"/>
          <w:sz w:val="24"/>
          <w:highlight w:val="none"/>
        </w:rPr>
      </w:pPr>
      <w:r>
        <w:rPr>
          <w:rFonts w:hint="eastAsia" w:ascii="宋体" w:hAnsi="宋体"/>
          <w:color w:val="auto"/>
          <w:sz w:val="24"/>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4131"/>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31" w:type="dxa"/>
            <w:noWrap w:val="0"/>
            <w:vAlign w:val="center"/>
          </w:tcPr>
          <w:p>
            <w:pPr>
              <w:jc w:val="center"/>
              <w:rPr>
                <w:rFonts w:hint="eastAsia" w:ascii="宋体" w:hAnsi="宋体"/>
                <w:b/>
                <w:color w:val="auto"/>
                <w:highlight w:val="none"/>
              </w:rPr>
            </w:pPr>
            <w:r>
              <w:rPr>
                <w:rFonts w:hint="eastAsia" w:ascii="宋体" w:hAnsi="宋体"/>
                <w:b/>
                <w:color w:val="auto"/>
                <w:highlight w:val="none"/>
              </w:rPr>
              <w:t>支持票</w:t>
            </w:r>
          </w:p>
          <w:p>
            <w:pPr>
              <w:jc w:val="center"/>
              <w:rPr>
                <w:rFonts w:hint="eastAsia" w:ascii="宋体" w:hAnsi="宋体"/>
                <w:color w:val="auto"/>
                <w:highlight w:val="none"/>
              </w:rPr>
            </w:pPr>
            <w:r>
              <w:rPr>
                <w:rFonts w:hint="eastAsia" w:ascii="宋体" w:hAnsi="宋体"/>
                <w:color w:val="auto"/>
                <w:highlight w:val="none"/>
              </w:rPr>
              <w:t>（定标委员对支持的其中3名投标人投票）</w:t>
            </w:r>
          </w:p>
        </w:tc>
        <w:tc>
          <w:tcPr>
            <w:tcW w:w="4006" w:type="dxa"/>
            <w:noWrap w:val="0"/>
            <w:vAlign w:val="center"/>
          </w:tcPr>
          <w:p>
            <w:pPr>
              <w:jc w:val="center"/>
              <w:rPr>
                <w:rFonts w:hint="eastAsia" w:ascii="宋体" w:hAnsi="宋体"/>
                <w:b/>
                <w:color w:val="auto"/>
                <w:highlight w:val="none"/>
              </w:rPr>
            </w:pPr>
            <w:r>
              <w:rPr>
                <w:rFonts w:hint="eastAsia" w:ascii="宋体" w:hAnsi="宋体"/>
                <w:b/>
                <w:color w:val="auto"/>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1" w:type="dxa"/>
            <w:vMerge w:val="restart"/>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投标人名称</w:t>
            </w:r>
          </w:p>
        </w:tc>
        <w:tc>
          <w:tcPr>
            <w:tcW w:w="4131" w:type="dxa"/>
            <w:noWrap w:val="0"/>
            <w:vAlign w:val="center"/>
          </w:tcPr>
          <w:p>
            <w:pPr>
              <w:jc w:val="center"/>
              <w:rPr>
                <w:rFonts w:hint="eastAsia" w:ascii="宋体" w:hAnsi="宋体"/>
                <w:color w:val="auto"/>
                <w:highlight w:val="none"/>
              </w:rPr>
            </w:pPr>
          </w:p>
        </w:tc>
        <w:tc>
          <w:tcPr>
            <w:tcW w:w="4006" w:type="dxa"/>
            <w:noWrap w:val="0"/>
            <w:vAlign w:val="center"/>
          </w:tcPr>
          <w:p>
            <w:pPr>
              <w:jc w:val="center"/>
              <w:rPr>
                <w:rFonts w:hint="eastAsia" w:ascii="宋体" w:hAnsi="宋体"/>
                <w:color w:val="auto"/>
                <w:highlight w:val="none"/>
              </w:rPr>
            </w:pPr>
            <w:r>
              <w:rPr>
                <w:rFonts w:hint="eastAsia" w:ascii="宋体" w:hAnsi="宋体"/>
                <w:b/>
                <w:color w:val="auto"/>
                <w:highlight w:val="none"/>
              </w:rPr>
              <w:pict>
                <v:shape id="_x0000_i1028" o:spt="136" type="#_x0000_t136" style="height:28.5pt;width:142.05pt;" fillcolor="#FFFFFF" filled="t" stroked="t" coordsize="21600,21600">
                  <v:path/>
                  <v:fill on="t" focussize="0,0"/>
                  <v:stroke weight="2.25pt" color="#D8D8D8"/>
                  <v:imagedata o:title=""/>
                  <o:lock v:ext="edit"/>
                  <v:textpath on="t" fitshape="t" fitpath="t" trim="t" xscale="f" string="支 持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1" w:type="dxa"/>
            <w:vMerge w:val="continue"/>
            <w:noWrap w:val="0"/>
            <w:tcMar>
              <w:left w:w="57" w:type="dxa"/>
              <w:right w:w="57" w:type="dxa"/>
            </w:tcMar>
            <w:vAlign w:val="center"/>
          </w:tcPr>
          <w:p>
            <w:pPr>
              <w:jc w:val="center"/>
              <w:rPr>
                <w:rFonts w:hint="eastAsia" w:ascii="宋体" w:hAnsi="宋体"/>
                <w:b/>
                <w:color w:val="auto"/>
                <w:highlight w:val="none"/>
              </w:rPr>
            </w:pPr>
          </w:p>
        </w:tc>
        <w:tc>
          <w:tcPr>
            <w:tcW w:w="4131" w:type="dxa"/>
            <w:noWrap w:val="0"/>
            <w:vAlign w:val="center"/>
          </w:tcPr>
          <w:p>
            <w:pPr>
              <w:jc w:val="center"/>
              <w:rPr>
                <w:rFonts w:hint="eastAsia" w:ascii="宋体" w:hAnsi="宋体"/>
                <w:b/>
                <w:color w:val="auto"/>
                <w:highlight w:val="none"/>
              </w:rPr>
            </w:pPr>
          </w:p>
        </w:tc>
        <w:tc>
          <w:tcPr>
            <w:tcW w:w="4006" w:type="dxa"/>
            <w:noWrap w:val="0"/>
            <w:vAlign w:val="center"/>
          </w:tcPr>
          <w:p>
            <w:pPr>
              <w:jc w:val="center"/>
              <w:rPr>
                <w:rFonts w:hint="eastAsia" w:ascii="宋体" w:hAnsi="宋体"/>
                <w:b/>
                <w:color w:val="auto"/>
                <w:highlight w:val="none"/>
              </w:rPr>
            </w:pPr>
            <w:r>
              <w:rPr>
                <w:rFonts w:hint="eastAsia" w:ascii="宋体" w:hAnsi="宋体"/>
                <w:b/>
                <w:color w:val="auto"/>
                <w:highlight w:val="none"/>
              </w:rPr>
              <w:pict>
                <v:shape id="_x0000_i1029" o:spt="136" type="#_x0000_t136" style="height:28.5pt;width:142.05pt;" fillcolor="#FFFFFF" filled="t" stroked="t" coordsize="21600,21600">
                  <v:path/>
                  <v:fill on="t" focussize="0,0"/>
                  <v:stroke weight="2.25pt" color="#D8D8D8"/>
                  <v:imagedata o:title=""/>
                  <o:lock v:ext="edit"/>
                  <v:textpath on="t" fitshape="t" fitpath="t" trim="t" xscale="f" string="支 持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1" w:type="dxa"/>
            <w:vMerge w:val="continue"/>
            <w:noWrap w:val="0"/>
            <w:tcMar>
              <w:left w:w="57" w:type="dxa"/>
              <w:right w:w="57" w:type="dxa"/>
            </w:tcMar>
            <w:vAlign w:val="center"/>
          </w:tcPr>
          <w:p>
            <w:pPr>
              <w:jc w:val="center"/>
              <w:rPr>
                <w:rFonts w:hint="eastAsia" w:ascii="宋体" w:hAnsi="宋体"/>
                <w:b/>
                <w:color w:val="auto"/>
                <w:highlight w:val="none"/>
              </w:rPr>
            </w:pPr>
          </w:p>
        </w:tc>
        <w:tc>
          <w:tcPr>
            <w:tcW w:w="4131" w:type="dxa"/>
            <w:noWrap w:val="0"/>
            <w:vAlign w:val="center"/>
          </w:tcPr>
          <w:p>
            <w:pPr>
              <w:jc w:val="center"/>
              <w:rPr>
                <w:rFonts w:hint="eastAsia" w:ascii="宋体" w:hAnsi="宋体"/>
                <w:b/>
                <w:color w:val="auto"/>
                <w:highlight w:val="none"/>
              </w:rPr>
            </w:pPr>
          </w:p>
        </w:tc>
        <w:tc>
          <w:tcPr>
            <w:tcW w:w="4006" w:type="dxa"/>
            <w:noWrap w:val="0"/>
            <w:vAlign w:val="center"/>
          </w:tcPr>
          <w:p>
            <w:pPr>
              <w:jc w:val="center"/>
              <w:rPr>
                <w:rFonts w:hint="eastAsia" w:ascii="宋体" w:hAnsi="宋体"/>
                <w:b/>
                <w:color w:val="auto"/>
                <w:highlight w:val="none"/>
              </w:rPr>
            </w:pPr>
            <w:r>
              <w:rPr>
                <w:rFonts w:hint="eastAsia" w:ascii="宋体" w:hAnsi="宋体"/>
                <w:b/>
                <w:color w:val="auto"/>
                <w:highlight w:val="none"/>
              </w:rPr>
              <w:pict>
                <v:shape id="_x0000_i1030" o:spt="136" type="#_x0000_t136" style="height:28.5pt;width:142.05pt;" fillcolor="#FFFFFF" filled="t" stroked="t" coordsize="21600,21600">
                  <v:path/>
                  <v:fill on="t" focussize="0,0"/>
                  <v:stroke weight="2.25pt" color="#D8D8D8"/>
                  <v:imagedata o:title=""/>
                  <o:lock v:ext="edit"/>
                  <v:textpath on="t" fitshape="t" fitpath="t" trim="t" xscale="f" string="支 持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31" w:type="dxa"/>
            <w:noWrap w:val="0"/>
            <w:vAlign w:val="center"/>
          </w:tcPr>
          <w:p>
            <w:pPr>
              <w:jc w:val="center"/>
              <w:rPr>
                <w:rFonts w:hint="eastAsia" w:ascii="宋体" w:hAnsi="宋体"/>
                <w:b/>
                <w:color w:val="auto"/>
                <w:highlight w:val="none"/>
              </w:rPr>
            </w:pPr>
            <w:r>
              <w:rPr>
                <w:rFonts w:hint="eastAsia" w:ascii="宋体" w:hAnsi="宋体"/>
                <w:b/>
                <w:color w:val="auto"/>
                <w:highlight w:val="none"/>
              </w:rPr>
              <w:t>淘汰票</w:t>
            </w:r>
          </w:p>
          <w:p>
            <w:pPr>
              <w:jc w:val="center"/>
              <w:rPr>
                <w:rFonts w:hint="eastAsia" w:ascii="宋体" w:hAnsi="宋体"/>
                <w:color w:val="auto"/>
                <w:highlight w:val="none"/>
              </w:rPr>
            </w:pPr>
            <w:r>
              <w:rPr>
                <w:rFonts w:hint="eastAsia" w:ascii="宋体" w:hAnsi="宋体"/>
                <w:color w:val="auto"/>
                <w:highlight w:val="none"/>
              </w:rPr>
              <w:t>（定标委员淘汰1名投标人）</w:t>
            </w:r>
          </w:p>
        </w:tc>
        <w:tc>
          <w:tcPr>
            <w:tcW w:w="4006" w:type="dxa"/>
            <w:vMerge w:val="restart"/>
            <w:noWrap w:val="0"/>
            <w:vAlign w:val="center"/>
          </w:tcPr>
          <w:p>
            <w:pPr>
              <w:jc w:val="center"/>
              <w:rPr>
                <w:rFonts w:hint="eastAsia" w:ascii="宋体" w:hAnsi="宋体"/>
                <w:color w:val="auto"/>
                <w:highlight w:val="none"/>
              </w:rPr>
            </w:pPr>
            <w:r>
              <w:rPr>
                <w:rFonts w:hint="eastAsia" w:ascii="宋体" w:hAnsi="宋体"/>
                <w:b/>
                <w:color w:val="auto"/>
                <w:highlight w:val="none"/>
              </w:rPr>
              <w:pict>
                <v:shape id="_x0000_i1031" o:spt="136" type="#_x0000_t136" style="height:28.5pt;width:142.15pt;" fillcolor="#FFFFFF" filled="t" stroked="t" coordsize="21600,21600">
                  <v:path/>
                  <v:fill on="t" focussize="0,0"/>
                  <v:stroke weight="2.25pt" color="#D8D8D8"/>
                  <v:imagedata o:title=""/>
                  <o:lock v:ext="edit"/>
                  <v:textpath on="t" fitshape="t" fitpath="t" trim="t" xscale="f" string="淘 汰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投标人名称</w:t>
            </w:r>
          </w:p>
        </w:tc>
        <w:tc>
          <w:tcPr>
            <w:tcW w:w="4131" w:type="dxa"/>
            <w:noWrap w:val="0"/>
            <w:vAlign w:val="center"/>
          </w:tcPr>
          <w:p>
            <w:pPr>
              <w:jc w:val="center"/>
              <w:rPr>
                <w:rFonts w:hint="eastAsia" w:ascii="宋体" w:hAnsi="宋体"/>
                <w:color w:val="auto"/>
                <w:highlight w:val="none"/>
              </w:rPr>
            </w:pPr>
          </w:p>
        </w:tc>
        <w:tc>
          <w:tcPr>
            <w:tcW w:w="4006" w:type="dxa"/>
            <w:vMerge w:val="continue"/>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31" w:type="dxa"/>
            <w:noWrap w:val="0"/>
            <w:vAlign w:val="center"/>
          </w:tcPr>
          <w:p>
            <w:pPr>
              <w:jc w:val="center"/>
              <w:rPr>
                <w:rFonts w:hint="eastAsia" w:ascii="宋体" w:hAnsi="宋体"/>
                <w:b/>
                <w:color w:val="auto"/>
                <w:highlight w:val="none"/>
              </w:rPr>
            </w:pPr>
            <w:r>
              <w:rPr>
                <w:rFonts w:hint="eastAsia" w:ascii="宋体" w:hAnsi="宋体"/>
                <w:b/>
                <w:color w:val="auto"/>
                <w:highlight w:val="none"/>
              </w:rPr>
              <w:t>淘汰票</w:t>
            </w:r>
          </w:p>
          <w:p>
            <w:pPr>
              <w:jc w:val="center"/>
              <w:rPr>
                <w:rFonts w:hint="eastAsia" w:ascii="宋体" w:hAnsi="宋体"/>
                <w:color w:val="auto"/>
                <w:highlight w:val="none"/>
              </w:rPr>
            </w:pPr>
            <w:r>
              <w:rPr>
                <w:rFonts w:hint="eastAsia" w:ascii="宋体" w:hAnsi="宋体"/>
                <w:color w:val="auto"/>
                <w:highlight w:val="none"/>
              </w:rPr>
              <w:t>（定标委员淘汰1名投标人）</w:t>
            </w:r>
          </w:p>
        </w:tc>
        <w:tc>
          <w:tcPr>
            <w:tcW w:w="4006" w:type="dxa"/>
            <w:vMerge w:val="restart"/>
            <w:noWrap w:val="0"/>
            <w:vAlign w:val="center"/>
          </w:tcPr>
          <w:p>
            <w:pPr>
              <w:jc w:val="center"/>
              <w:rPr>
                <w:rFonts w:hint="eastAsia" w:ascii="宋体" w:hAnsi="宋体"/>
                <w:color w:val="auto"/>
                <w:highlight w:val="none"/>
              </w:rPr>
            </w:pPr>
            <w:r>
              <w:rPr>
                <w:rFonts w:hint="eastAsia" w:ascii="宋体" w:hAnsi="宋体"/>
                <w:b/>
                <w:color w:val="auto"/>
                <w:highlight w:val="none"/>
              </w:rPr>
              <w:pict>
                <v:shape id="_x0000_i1032" o:spt="136" type="#_x0000_t136" style="height:28.5pt;width:142.15pt;" fillcolor="#FFFFFF" filled="t" stroked="t" coordsize="21600,21600">
                  <v:path/>
                  <v:fill on="t" focussize="0,0"/>
                  <v:stroke weight="2.25pt" color="#D8D8D8"/>
                  <v:imagedata o:title=""/>
                  <o:lock v:ext="edit"/>
                  <v:textpath on="t" fitshape="t" fitpath="t" trim="t" xscale="f" string="淘 汰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投标人名称</w:t>
            </w:r>
          </w:p>
        </w:tc>
        <w:tc>
          <w:tcPr>
            <w:tcW w:w="4131" w:type="dxa"/>
            <w:noWrap w:val="0"/>
            <w:vAlign w:val="center"/>
          </w:tcPr>
          <w:p>
            <w:pPr>
              <w:jc w:val="center"/>
              <w:rPr>
                <w:rFonts w:hint="eastAsia" w:ascii="宋体" w:hAnsi="宋体"/>
                <w:color w:val="auto"/>
                <w:highlight w:val="none"/>
              </w:rPr>
            </w:pPr>
          </w:p>
        </w:tc>
        <w:tc>
          <w:tcPr>
            <w:tcW w:w="4006" w:type="dxa"/>
            <w:vMerge w:val="continue"/>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第   轮</w:t>
            </w:r>
          </w:p>
        </w:tc>
        <w:tc>
          <w:tcPr>
            <w:tcW w:w="4131" w:type="dxa"/>
            <w:noWrap w:val="0"/>
            <w:vAlign w:val="center"/>
          </w:tcPr>
          <w:p>
            <w:pPr>
              <w:jc w:val="center"/>
              <w:rPr>
                <w:rFonts w:hint="eastAsia" w:ascii="宋体" w:hAnsi="宋体"/>
                <w:b/>
                <w:color w:val="auto"/>
                <w:highlight w:val="none"/>
              </w:rPr>
            </w:pPr>
            <w:r>
              <w:rPr>
                <w:rFonts w:hint="eastAsia" w:ascii="宋体" w:hAnsi="宋体"/>
                <w:b/>
                <w:color w:val="auto"/>
                <w:highlight w:val="none"/>
              </w:rPr>
              <w:t>淘汰票</w:t>
            </w:r>
          </w:p>
          <w:p>
            <w:pPr>
              <w:jc w:val="center"/>
              <w:rPr>
                <w:rFonts w:hint="eastAsia" w:ascii="宋体" w:hAnsi="宋体"/>
                <w:color w:val="auto"/>
                <w:highlight w:val="none"/>
              </w:rPr>
            </w:pPr>
            <w:r>
              <w:rPr>
                <w:rFonts w:hint="eastAsia" w:ascii="宋体" w:hAnsi="宋体"/>
                <w:color w:val="auto"/>
                <w:highlight w:val="none"/>
              </w:rPr>
              <w:t>（定标委员淘汰1名投标人）</w:t>
            </w:r>
          </w:p>
        </w:tc>
        <w:tc>
          <w:tcPr>
            <w:tcW w:w="4006" w:type="dxa"/>
            <w:vMerge w:val="restart"/>
            <w:noWrap w:val="0"/>
            <w:vAlign w:val="center"/>
          </w:tcPr>
          <w:p>
            <w:pPr>
              <w:jc w:val="center"/>
              <w:rPr>
                <w:rFonts w:hint="eastAsia" w:ascii="宋体" w:hAnsi="宋体"/>
                <w:color w:val="auto"/>
                <w:highlight w:val="none"/>
              </w:rPr>
            </w:pPr>
            <w:r>
              <w:rPr>
                <w:rFonts w:hint="eastAsia" w:ascii="宋体" w:hAnsi="宋体"/>
                <w:b/>
                <w:color w:val="auto"/>
                <w:highlight w:val="none"/>
              </w:rPr>
              <w:pict>
                <v:shape id="_x0000_i1033" o:spt="136" type="#_x0000_t136" style="height:28.5pt;width:142.15pt;" fillcolor="#FFFFFF" filled="t" stroked="t" coordsize="21600,21600">
                  <v:path/>
                  <v:fill on="t" focussize="0,0"/>
                  <v:stroke weight="2.25pt" color="#D8D8D8"/>
                  <v:imagedata o:title=""/>
                  <o:lock v:ext="edit"/>
                  <v:textpath on="t" fitshape="t" fitpath="t" trim="t" xscale="f" string="淘 汰 理 由" style="font-family:宋体;font-size:28pt;v-rotate-letters:f;v-same-letter-heights:f;v-text-align:center;"/>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1" w:type="dxa"/>
            <w:noWrap w:val="0"/>
            <w:tcMar>
              <w:left w:w="57" w:type="dxa"/>
              <w:right w:w="57" w:type="dxa"/>
            </w:tcMar>
            <w:vAlign w:val="center"/>
          </w:tcPr>
          <w:p>
            <w:pPr>
              <w:jc w:val="center"/>
              <w:rPr>
                <w:rFonts w:hint="eastAsia" w:ascii="宋体" w:hAnsi="宋体"/>
                <w:b/>
                <w:color w:val="auto"/>
                <w:highlight w:val="none"/>
              </w:rPr>
            </w:pPr>
            <w:r>
              <w:rPr>
                <w:rFonts w:hint="eastAsia" w:ascii="宋体" w:hAnsi="宋体"/>
                <w:b/>
                <w:color w:val="auto"/>
                <w:highlight w:val="none"/>
              </w:rPr>
              <w:t>投标人名称</w:t>
            </w:r>
          </w:p>
        </w:tc>
        <w:tc>
          <w:tcPr>
            <w:tcW w:w="4131" w:type="dxa"/>
            <w:noWrap w:val="0"/>
            <w:vAlign w:val="center"/>
          </w:tcPr>
          <w:p>
            <w:pPr>
              <w:jc w:val="center"/>
              <w:rPr>
                <w:rFonts w:hint="eastAsia" w:ascii="宋体" w:hAnsi="宋体"/>
                <w:color w:val="auto"/>
                <w:highlight w:val="none"/>
              </w:rPr>
            </w:pPr>
          </w:p>
        </w:tc>
        <w:tc>
          <w:tcPr>
            <w:tcW w:w="4006" w:type="dxa"/>
            <w:vMerge w:val="continue"/>
            <w:noWrap w:val="0"/>
            <w:vAlign w:val="center"/>
          </w:tcPr>
          <w:p>
            <w:pPr>
              <w:jc w:val="center"/>
              <w:rPr>
                <w:rFonts w:hint="eastAsia" w:ascii="宋体" w:hAnsi="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本页发给评标委员会成员，投票结束时收回。</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定标</w:t>
      </w:r>
      <w:r>
        <w:rPr>
          <w:rFonts w:ascii="宋体" w:hAnsi="宋体"/>
          <w:color w:val="auto"/>
          <w:szCs w:val="21"/>
          <w:highlight w:val="none"/>
        </w:rPr>
        <w:t>结束</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未</w:t>
      </w:r>
      <w:r>
        <w:rPr>
          <w:rFonts w:ascii="宋体" w:hAnsi="宋体"/>
          <w:color w:val="auto"/>
          <w:szCs w:val="21"/>
          <w:highlight w:val="none"/>
        </w:rPr>
        <w:t>使用的部分</w:t>
      </w:r>
      <w:r>
        <w:rPr>
          <w:rFonts w:hint="eastAsia" w:ascii="宋体" w:hAnsi="宋体"/>
          <w:color w:val="auto"/>
          <w:szCs w:val="21"/>
          <w:highlight w:val="none"/>
        </w:rPr>
        <w:t>打</w:t>
      </w:r>
      <w:r>
        <w:rPr>
          <w:rFonts w:ascii="宋体" w:hAnsi="宋体"/>
          <w:color w:val="auto"/>
          <w:szCs w:val="21"/>
          <w:highlight w:val="none"/>
        </w:rPr>
        <w:t>上斜线</w:t>
      </w:r>
      <w:r>
        <w:rPr>
          <w:rFonts w:hint="eastAsia" w:ascii="宋体" w:hAnsi="宋体"/>
          <w:color w:val="auto"/>
          <w:szCs w:val="21"/>
          <w:highlight w:val="none"/>
        </w:rPr>
        <w:t>“/”</w:t>
      </w:r>
      <w:r>
        <w:rPr>
          <w:rFonts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定标委员会可根据被投票投标人家数或淘汰轮数适当扩充表格。</w:t>
      </w:r>
    </w:p>
    <w:p>
      <w:pPr>
        <w:rPr>
          <w:rFonts w:hint="eastAsia" w:ascii="宋体" w:hAnsi="宋体"/>
          <w:color w:val="auto"/>
          <w:szCs w:val="21"/>
          <w:highlight w:val="none"/>
        </w:rPr>
      </w:pPr>
    </w:p>
    <w:p>
      <w:pPr>
        <w:rPr>
          <w:color w:val="auto"/>
          <w:highlight w:val="none"/>
        </w:rPr>
      </w:pPr>
    </w:p>
    <w:p>
      <w:pPr>
        <w:rPr>
          <w:color w:val="auto"/>
          <w:highlight w:val="none"/>
        </w:rPr>
      </w:pPr>
    </w:p>
    <w:p>
      <w:pPr>
        <w:tabs>
          <w:tab w:val="left" w:pos="639"/>
        </w:tabs>
        <w:spacing w:before="120" w:beforeLines="50" w:line="360" w:lineRule="auto"/>
        <w:rPr>
          <w:rFonts w:hint="eastAsia"/>
          <w:color w:val="auto"/>
          <w:highlight w:val="none"/>
        </w:rPr>
      </w:pPr>
      <w:r>
        <w:rPr>
          <w:rFonts w:hint="eastAsia"/>
          <w:color w:val="auto"/>
          <w:highlight w:val="none"/>
        </w:rPr>
        <w:t>定标委员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color w:val="auto"/>
          <w:highlight w:val="none"/>
        </w:rPr>
        <w:t>：</w:t>
      </w:r>
    </w:p>
    <w:p>
      <w:pPr>
        <w:spacing w:before="240" w:line="360" w:lineRule="auto"/>
        <w:jc w:val="center"/>
        <w:rPr>
          <w:rFonts w:hint="eastAsia" w:ascii="黑体" w:eastAsia="黑体"/>
          <w:color w:val="auto"/>
          <w:sz w:val="30"/>
          <w:szCs w:val="30"/>
          <w:highlight w:val="none"/>
        </w:rPr>
      </w:pPr>
      <w:r>
        <w:rPr>
          <w:rFonts w:ascii="黑体" w:eastAsia="黑体"/>
          <w:color w:val="auto"/>
          <w:sz w:val="30"/>
          <w:szCs w:val="30"/>
          <w:highlight w:val="none"/>
        </w:rPr>
        <w:br w:type="page"/>
      </w:r>
      <w:r>
        <w:rPr>
          <w:rFonts w:hint="eastAsia" w:ascii="黑体" w:eastAsia="黑体"/>
          <w:color w:val="auto"/>
          <w:sz w:val="30"/>
          <w:szCs w:val="30"/>
          <w:highlight w:val="none"/>
        </w:rPr>
        <w:t>附表6：逐轮淘汰票决定标法汇总表</w:t>
      </w:r>
    </w:p>
    <w:p>
      <w:pPr>
        <w:spacing w:line="360" w:lineRule="auto"/>
        <w:rPr>
          <w:rFonts w:hint="eastAsia" w:ascii="宋体" w:hAnsi="宋体"/>
          <w:color w:val="auto"/>
          <w:sz w:val="24"/>
          <w:highlight w:val="none"/>
        </w:rPr>
      </w:pPr>
      <w:r>
        <w:rPr>
          <w:rFonts w:hint="eastAsia" w:ascii="宋体" w:hAnsi="宋体"/>
          <w:color w:val="auto"/>
          <w:sz w:val="24"/>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74"/>
        <w:gridCol w:w="1474"/>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00" w:type="dxa"/>
            <w:tcBorders>
              <w:tl2br w:val="single" w:color="auto" w:sz="4" w:space="0"/>
            </w:tcBorders>
            <w:noWrap w:val="0"/>
            <w:tcMar>
              <w:top w:w="57" w:type="dxa"/>
              <w:left w:w="28" w:type="dxa"/>
              <w:bottom w:w="57" w:type="dxa"/>
              <w:right w:w="28" w:type="dxa"/>
            </w:tcMar>
            <w:vAlign w:val="center"/>
          </w:tcPr>
          <w:p>
            <w:pPr>
              <w:ind w:firstLine="632" w:firstLineChars="300"/>
              <w:rPr>
                <w:rFonts w:hint="eastAsia" w:ascii="宋体" w:hAnsi="宋体"/>
                <w:b/>
                <w:color w:val="auto"/>
                <w:highlight w:val="none"/>
              </w:rPr>
            </w:pPr>
            <w:r>
              <w:rPr>
                <w:rFonts w:hint="eastAsia" w:ascii="宋体" w:hAnsi="宋体"/>
                <w:b/>
                <w:color w:val="auto"/>
                <w:highlight w:val="none"/>
              </w:rPr>
              <w:t>投标人名称</w:t>
            </w:r>
          </w:p>
          <w:p>
            <w:pPr>
              <w:rPr>
                <w:rFonts w:hint="eastAsia" w:ascii="宋体" w:hAnsi="宋体"/>
                <w:b/>
                <w:color w:val="auto"/>
                <w:highlight w:val="none"/>
              </w:rPr>
            </w:pPr>
          </w:p>
          <w:p>
            <w:pPr>
              <w:rPr>
                <w:rFonts w:hint="eastAsia" w:ascii="宋体" w:hAnsi="宋体"/>
                <w:b/>
                <w:color w:val="auto"/>
                <w:highlight w:val="none"/>
              </w:rPr>
            </w:pPr>
          </w:p>
          <w:p>
            <w:pPr>
              <w:ind w:firstLine="105" w:firstLineChars="50"/>
              <w:rPr>
                <w:rFonts w:hint="eastAsia" w:ascii="宋体" w:hAnsi="宋体"/>
                <w:b/>
                <w:color w:val="auto"/>
                <w:highlight w:val="none"/>
              </w:rPr>
            </w:pPr>
            <w:r>
              <w:rPr>
                <w:rFonts w:hint="eastAsia" w:ascii="宋体" w:hAnsi="宋体"/>
                <w:b/>
                <w:color w:val="auto"/>
                <w:highlight w:val="none"/>
              </w:rPr>
              <w:t>投票轮次</w:t>
            </w: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c>
          <w:tcPr>
            <w:tcW w:w="1474" w:type="dxa"/>
            <w:noWrap w:val="0"/>
            <w:vAlign w:val="center"/>
          </w:tcPr>
          <w:p>
            <w:pPr>
              <w:jc w:val="center"/>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支持票</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轮票数</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淘汰票</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轮票数</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淘汰票</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轮票数</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淘汰票</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第     轮票数</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中标候选人</w:t>
            </w:r>
          </w:p>
          <w:p>
            <w:pPr>
              <w:spacing w:before="120" w:beforeLines="50" w:after="120" w:afterLines="50"/>
              <w:jc w:val="center"/>
              <w:rPr>
                <w:rFonts w:hint="eastAsia" w:ascii="宋体" w:hAnsi="宋体"/>
                <w:b/>
                <w:color w:val="auto"/>
                <w:highlight w:val="none"/>
              </w:rPr>
            </w:pPr>
            <w:r>
              <w:rPr>
                <w:rFonts w:hint="eastAsia" w:ascii="宋体" w:hAnsi="宋体"/>
                <w:b/>
                <w:color w:val="auto"/>
                <w:highlight w:val="none"/>
              </w:rPr>
              <w:t>确定</w:t>
            </w: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c>
          <w:tcPr>
            <w:tcW w:w="1474" w:type="dxa"/>
            <w:noWrap w:val="0"/>
            <w:vAlign w:val="center"/>
          </w:tcPr>
          <w:p>
            <w:pPr>
              <w:spacing w:before="120" w:beforeLines="50" w:after="120" w:afterLines="50"/>
              <w:jc w:val="center"/>
              <w:rPr>
                <w:rFonts w:hint="eastAsia" w:ascii="宋体" w:hAnsi="宋体"/>
                <w:color w:val="auto"/>
                <w:highlight w:val="none"/>
              </w:rPr>
            </w:pPr>
          </w:p>
        </w:tc>
      </w:tr>
    </w:tbl>
    <w:p>
      <w:pPr>
        <w:rPr>
          <w:rFonts w:hint="eastAsia" w:ascii="宋体" w:hAnsi="宋体"/>
          <w:color w:val="auto"/>
          <w:highlight w:val="none"/>
        </w:rPr>
      </w:pPr>
    </w:p>
    <w:p>
      <w:pPr>
        <w:rPr>
          <w:rFonts w:hint="eastAsia"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本页由计票员负责填写，投票结束时收回。</w:t>
      </w:r>
    </w:p>
    <w:p>
      <w:pPr>
        <w:ind w:firstLine="420" w:firstLineChars="200"/>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“中标候选人确定”一栏填写数字，根据票决的中标人候选人排序填写。</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定标</w:t>
      </w:r>
      <w:r>
        <w:rPr>
          <w:rFonts w:ascii="宋体" w:hAnsi="宋体"/>
          <w:color w:val="auto"/>
          <w:szCs w:val="21"/>
          <w:highlight w:val="none"/>
        </w:rPr>
        <w:t>结束</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未</w:t>
      </w:r>
      <w:r>
        <w:rPr>
          <w:rFonts w:ascii="宋体" w:hAnsi="宋体"/>
          <w:color w:val="auto"/>
          <w:szCs w:val="21"/>
          <w:highlight w:val="none"/>
        </w:rPr>
        <w:t>使用的部分</w:t>
      </w:r>
      <w:r>
        <w:rPr>
          <w:rFonts w:hint="eastAsia" w:ascii="宋体" w:hAnsi="宋体"/>
          <w:color w:val="auto"/>
          <w:szCs w:val="21"/>
          <w:highlight w:val="none"/>
        </w:rPr>
        <w:t>打</w:t>
      </w:r>
      <w:r>
        <w:rPr>
          <w:rFonts w:ascii="宋体" w:hAnsi="宋体"/>
          <w:color w:val="auto"/>
          <w:szCs w:val="21"/>
          <w:highlight w:val="none"/>
        </w:rPr>
        <w:t>上斜线</w:t>
      </w:r>
      <w:r>
        <w:rPr>
          <w:rFonts w:hint="eastAsia" w:ascii="宋体" w:hAnsi="宋体"/>
          <w:color w:val="auto"/>
          <w:szCs w:val="21"/>
          <w:highlight w:val="none"/>
        </w:rPr>
        <w:t>“/”</w:t>
      </w:r>
      <w:r>
        <w:rPr>
          <w:rFonts w:ascii="宋体" w:hAnsi="宋体"/>
          <w:color w:val="auto"/>
          <w:szCs w:val="21"/>
          <w:highlight w:val="none"/>
        </w:rPr>
        <w:t>。</w:t>
      </w:r>
    </w:p>
    <w:p>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计票员可根据被投票投标人家数或投票轮数适当扩充表格。</w:t>
      </w:r>
    </w:p>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tabs>
          <w:tab w:val="left" w:pos="639"/>
        </w:tabs>
        <w:rPr>
          <w:rFonts w:hint="eastAsia" w:ascii="宋体" w:hAnsi="宋体"/>
          <w:color w:val="auto"/>
          <w:highlight w:val="none"/>
        </w:rPr>
      </w:pPr>
      <w:r>
        <w:rPr>
          <w:rFonts w:hint="eastAsia" w:ascii="宋体" w:hAnsi="宋体"/>
          <w:color w:val="auto"/>
          <w:highlight w:val="none"/>
        </w:rPr>
        <w:t>计票</w:t>
      </w:r>
      <w:r>
        <w:rPr>
          <w:rFonts w:hint="eastAsia" w:ascii="宋体" w:hAnsi="宋体"/>
          <w:color w:val="auto"/>
          <w:szCs w:val="21"/>
          <w:highlight w:val="none"/>
        </w:rPr>
        <w:t>员</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定标委员会全体成员</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highlight w:val="none"/>
        </w:rPr>
        <w:t>：</w:t>
      </w: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p>
    <w:p>
      <w:pPr>
        <w:tabs>
          <w:tab w:val="left" w:pos="639"/>
        </w:tabs>
        <w:rPr>
          <w:rFonts w:hint="eastAsia" w:ascii="宋体" w:hAnsi="宋体"/>
          <w:color w:val="auto"/>
          <w:highlight w:val="none"/>
        </w:rPr>
      </w:pPr>
      <w:r>
        <w:rPr>
          <w:rFonts w:hint="eastAsia" w:ascii="宋体" w:hAnsi="宋体"/>
          <w:color w:val="auto"/>
          <w:highlight w:val="none"/>
        </w:rPr>
        <w:t>招标</w:t>
      </w:r>
      <w:r>
        <w:rPr>
          <w:rFonts w:ascii="宋体" w:hAnsi="宋体"/>
          <w:color w:val="auto"/>
          <w:highlight w:val="none"/>
        </w:rPr>
        <w:t>人监督小组</w:t>
      </w:r>
      <w:r>
        <w:rPr>
          <w:rFonts w:hint="eastAsia" w:ascii="宋体" w:hAnsi="宋体"/>
          <w:color w:val="auto"/>
          <w:highlight w:val="none"/>
        </w:rPr>
        <w:t xml:space="preserve"> ：     </w:t>
      </w:r>
      <w:r>
        <w:rPr>
          <w:rFonts w:ascii="宋体" w:hAnsi="宋体"/>
          <w:color w:val="auto"/>
          <w:highlight w:val="none"/>
        </w:rPr>
        <w:t xml:space="preserve">                  </w:t>
      </w:r>
      <w:r>
        <w:rPr>
          <w:rFonts w:hint="eastAsia" w:ascii="宋体" w:hAnsi="宋体"/>
          <w:color w:val="auto"/>
          <w:highlight w:val="none"/>
        </w:rPr>
        <w:t xml:space="preserve">                        </w:t>
      </w:r>
      <w:r>
        <w:rPr>
          <w:rFonts w:hint="eastAsia" w:ascii="宋体" w:hAnsi="宋体"/>
          <w:color w:val="auto"/>
          <w:szCs w:val="44"/>
          <w:highlight w:val="none"/>
        </w:rPr>
        <w:t>日期：      年    月    日</w:t>
      </w: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ascii="黑体" w:eastAsia="黑体"/>
          <w:color w:val="auto"/>
          <w:sz w:val="44"/>
          <w:szCs w:val="44"/>
          <w:highlight w:val="none"/>
        </w:rPr>
      </w:pPr>
    </w:p>
    <w:p>
      <w:pPr>
        <w:pStyle w:val="38"/>
        <w:rPr>
          <w:rFonts w:hint="eastAsia" w:ascii="宋体" w:hAnsi="宋体" w:eastAsia="宋体"/>
          <w:color w:val="auto"/>
          <w:sz w:val="36"/>
          <w:szCs w:val="36"/>
          <w:highlight w:val="none"/>
        </w:rPr>
      </w:pPr>
      <w:bookmarkStart w:id="32" w:name="_Toc28964997"/>
      <w:r>
        <w:rPr>
          <w:rFonts w:ascii="宋体" w:hAnsi="宋体" w:eastAsia="宋体"/>
          <w:color w:val="auto"/>
          <w:sz w:val="36"/>
          <w:szCs w:val="36"/>
          <w:highlight w:val="none"/>
        </w:rPr>
        <w:br w:type="page"/>
      </w:r>
      <w:bookmarkStart w:id="33" w:name="_Toc799332975"/>
      <w:bookmarkStart w:id="34" w:name="_Toc1968440302"/>
      <w:bookmarkStart w:id="35" w:name="_Toc1921283013"/>
      <w:r>
        <w:rPr>
          <w:rFonts w:hint="eastAsia" w:ascii="宋体" w:hAnsi="宋体" w:eastAsia="宋体"/>
          <w:color w:val="auto"/>
          <w:sz w:val="36"/>
          <w:szCs w:val="36"/>
          <w:highlight w:val="none"/>
        </w:rPr>
        <w:t>第五章  合同条款及格式</w:t>
      </w:r>
      <w:bookmarkEnd w:id="32"/>
      <w:bookmarkEnd w:id="33"/>
      <w:bookmarkEnd w:id="34"/>
      <w:bookmarkEnd w:id="35"/>
    </w:p>
    <w:p>
      <w:pPr>
        <w:spacing w:line="360" w:lineRule="auto"/>
        <w:jc w:val="center"/>
        <w:rPr>
          <w:rFonts w:hint="eastAsia" w:ascii="宋体" w:hAnsi="宋体"/>
          <w:color w:val="auto"/>
          <w:sz w:val="44"/>
          <w:szCs w:val="44"/>
          <w:highlight w:val="none"/>
        </w:rPr>
      </w:pPr>
    </w:p>
    <w:p>
      <w:pPr>
        <w:spacing w:line="240" w:lineRule="auto"/>
        <w:ind w:right="-1" w:firstLine="480" w:firstLineChars="200"/>
        <w:rPr>
          <w:rFonts w:hint="eastAsia"/>
          <w:color w:val="auto"/>
          <w:sz w:val="24"/>
          <w:highlight w:val="none"/>
        </w:rPr>
      </w:pPr>
      <w:r>
        <w:rPr>
          <w:rFonts w:hint="eastAsia" w:ascii="宋体" w:hAnsi="宋体"/>
          <w:color w:val="auto"/>
          <w:sz w:val="24"/>
          <w:highlight w:val="none"/>
        </w:rPr>
        <w:t>招标人自行选择使用，</w:t>
      </w:r>
      <w:r>
        <w:rPr>
          <w:rFonts w:hint="eastAsia"/>
          <w:color w:val="auto"/>
          <w:sz w:val="24"/>
          <w:highlight w:val="none"/>
        </w:rPr>
        <w:t>详见招标文件“招标人须知前附</w:t>
      </w:r>
      <w:r>
        <w:rPr>
          <w:rFonts w:hint="eastAsia" w:ascii="宋体" w:hAnsi="宋体" w:eastAsia="宋体" w:cs="Times New Roman"/>
          <w:color w:val="auto"/>
          <w:sz w:val="24"/>
          <w:highlight w:val="none"/>
        </w:rPr>
        <w:t>表”“合同格</w:t>
      </w:r>
      <w:r>
        <w:rPr>
          <w:rFonts w:hint="eastAsia"/>
          <w:color w:val="auto"/>
          <w:sz w:val="24"/>
          <w:highlight w:val="none"/>
        </w:rPr>
        <w:t>式”。</w:t>
      </w:r>
    </w:p>
    <w:p>
      <w:pPr>
        <w:ind w:right="-1"/>
        <w:jc w:val="center"/>
        <w:outlineLvl w:val="0"/>
        <w:rPr>
          <w:rFonts w:hint="eastAsia" w:ascii="宋体" w:hAnsi="宋体" w:eastAsia="宋体"/>
          <w:b/>
          <w:bCs/>
          <w:color w:val="auto"/>
          <w:sz w:val="36"/>
          <w:szCs w:val="36"/>
          <w:highlight w:val="none"/>
          <w:lang w:eastAsia="zh-CN"/>
        </w:rPr>
      </w:pPr>
      <w:r>
        <w:rPr>
          <w:rFonts w:ascii="黑体" w:hAnsi="宋体" w:eastAsia="黑体"/>
          <w:b/>
          <w:color w:val="auto"/>
          <w:sz w:val="36"/>
          <w:szCs w:val="36"/>
          <w:highlight w:val="none"/>
        </w:rPr>
        <w:br w:type="page"/>
      </w:r>
      <w:bookmarkStart w:id="36" w:name="_Toc961945978"/>
      <w:bookmarkStart w:id="37" w:name="_Toc28964998"/>
      <w:r>
        <w:rPr>
          <w:rFonts w:hint="eastAsia" w:ascii="宋体" w:hAnsi="宋体"/>
          <w:b/>
          <w:bCs/>
          <w:color w:val="auto"/>
          <w:sz w:val="36"/>
          <w:szCs w:val="36"/>
          <w:highlight w:val="none"/>
        </w:rPr>
        <w:t>第六章  工程量清单</w:t>
      </w:r>
      <w:bookmarkEnd w:id="36"/>
      <w:bookmarkEnd w:id="37"/>
    </w:p>
    <w:p>
      <w:pPr>
        <w:spacing w:line="360" w:lineRule="exact"/>
        <w:ind w:left="878" w:hanging="878" w:hangingChars="366"/>
        <w:rPr>
          <w:rFonts w:hint="eastAsia" w:ascii="黑体" w:hAnsi="宋体" w:eastAsia="黑体"/>
          <w:color w:val="auto"/>
          <w:sz w:val="24"/>
          <w:highlight w:val="none"/>
        </w:rPr>
      </w:pPr>
    </w:p>
    <w:p>
      <w:pPr>
        <w:keepNext w:val="0"/>
        <w:keepLines w:val="0"/>
        <w:widowControl/>
        <w:suppressLineNumbers w:val="0"/>
        <w:spacing w:line="240" w:lineRule="auto"/>
        <w:ind w:right="-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（招标人根据现行实施的《建设工程工程量清单计价标准》编制本项目工程量清单。）</w:t>
      </w:r>
    </w:p>
    <w:p>
      <w:pPr>
        <w:keepNext w:val="0"/>
        <w:keepLines w:val="0"/>
        <w:widowControl/>
        <w:suppressLineNumbers w:val="0"/>
        <w:spacing w:line="240" w:lineRule="auto"/>
        <w:ind w:right="-1" w:firstLine="420" w:firstLineChars="200"/>
        <w:jc w:val="left"/>
        <w:rPr>
          <w:rFonts w:hint="eastAsia" w:ascii="宋体" w:hAnsi="宋体" w:eastAsia="宋体" w:cs="宋体"/>
          <w:color w:val="auto"/>
          <w:sz w:val="21"/>
          <w:szCs w:val="21"/>
          <w:highlight w:val="none"/>
          <w:lang w:eastAsia="zh-CN"/>
        </w:rPr>
      </w:pPr>
    </w:p>
    <w:p>
      <w:pPr>
        <w:keepNext w:val="0"/>
        <w:keepLines w:val="0"/>
        <w:widowControl/>
        <w:suppressLineNumbers w:val="0"/>
        <w:spacing w:line="240" w:lineRule="auto"/>
        <w:ind w:right="-1" w:firstLine="420" w:firstLineChars="20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另根据</w:t>
      </w:r>
      <w:r>
        <w:rPr>
          <w:rFonts w:hint="eastAsia" w:ascii="宋体" w:hAnsi="宋体" w:eastAsia="宋体" w:cs="宋体"/>
          <w:color w:val="auto"/>
          <w:kern w:val="2"/>
          <w:sz w:val="21"/>
          <w:szCs w:val="21"/>
          <w:highlight w:val="none"/>
          <w:lang w:val="en-US" w:eastAsia="zh-CN" w:bidi="ar"/>
        </w:rPr>
        <w:t>《关于贯彻执行〈建设工程工程量清单计价标准〉及九项专业工程工程量计算标准的实施意见》摘录以下部分内容，招标人在编制招标文件应注意相关要求：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1" w:firstLineChars="200"/>
        <w:jc w:val="both"/>
        <w:textAlignment w:val="auto"/>
        <w:rPr>
          <w:rStyle w:val="45"/>
          <w:rFonts w:hint="eastAsia" w:ascii="宋体" w:hAnsi="宋体" w:eastAsia="宋体" w:cs="宋体"/>
          <w:b/>
          <w:bCs/>
          <w:i w:val="0"/>
          <w:iCs w:val="0"/>
          <w:caps w:val="0"/>
          <w:color w:val="auto"/>
          <w:spacing w:val="0"/>
          <w:kern w:val="2"/>
          <w:sz w:val="21"/>
          <w:szCs w:val="21"/>
          <w:highlight w:val="none"/>
          <w:shd w:val="clear" w:color="auto" w:fill="auto"/>
          <w:lang w:bidi="ar"/>
        </w:rPr>
      </w:pPr>
      <w:r>
        <w:rPr>
          <w:rStyle w:val="45"/>
          <w:rFonts w:hint="eastAsia" w:ascii="宋体" w:hAnsi="宋体" w:eastAsia="宋体" w:cs="宋体"/>
          <w:b/>
          <w:bCs/>
          <w:i w:val="0"/>
          <w:iCs w:val="0"/>
          <w:caps w:val="0"/>
          <w:color w:val="auto"/>
          <w:spacing w:val="0"/>
          <w:kern w:val="2"/>
          <w:sz w:val="21"/>
          <w:szCs w:val="21"/>
          <w:highlight w:val="none"/>
          <w:shd w:val="clear" w:color="auto" w:fill="auto"/>
          <w:lang w:bidi="ar"/>
        </w:rPr>
        <w:t>一、2024版清单计价计算标准适用的要求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bidi="ar"/>
        </w:rPr>
      </w:pPr>
      <w:r>
        <w:rPr>
          <w:rFonts w:hint="eastAsia" w:ascii="宋体" w:hAnsi="宋体" w:eastAsia="宋体" w:cs="宋体"/>
          <w:i w:val="0"/>
          <w:iCs w:val="0"/>
          <w:caps w:val="0"/>
          <w:color w:val="auto"/>
          <w:spacing w:val="0"/>
          <w:sz w:val="21"/>
          <w:szCs w:val="21"/>
          <w:highlight w:val="none"/>
          <w:shd w:val="clear" w:color="auto" w:fill="auto"/>
          <w:lang w:bidi="ar"/>
        </w:rPr>
        <w:t>1.使用财政资金或国有资金投资的建设工程（以下简称国有投资工程）施工发承包及实施阶段的计价活动应符合2024版清单计价计算标准的规定。根据项目实际情况对计量计价有专门性规定的，或者对以费率方式计算的费用有计价要求的，在招标文件或施工合同中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bidi="ar"/>
        </w:rPr>
      </w:pPr>
      <w:r>
        <w:rPr>
          <w:rFonts w:hint="eastAsia" w:ascii="宋体" w:hAnsi="宋体" w:eastAsia="宋体" w:cs="宋体"/>
          <w:i w:val="0"/>
          <w:iCs w:val="0"/>
          <w:caps w:val="0"/>
          <w:color w:val="auto"/>
          <w:spacing w:val="0"/>
          <w:sz w:val="21"/>
          <w:szCs w:val="21"/>
          <w:highlight w:val="none"/>
          <w:shd w:val="clear" w:color="auto" w:fill="auto"/>
          <w:lang w:bidi="ar"/>
        </w:rPr>
        <w:t>2.以其他模式发包且采用工程量清单计价的，2024版清单计价计算标准适用的规则仍应执行，有专门性规定的，应在招标文件或施工合同中注明。</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1" w:firstLineChars="200"/>
        <w:jc w:val="both"/>
        <w:textAlignment w:val="auto"/>
        <w:rPr>
          <w:rStyle w:val="45"/>
          <w:rFonts w:hint="eastAsia" w:ascii="宋体" w:hAnsi="宋体" w:eastAsia="宋体" w:cs="宋体"/>
          <w:b/>
          <w:bCs/>
          <w:i w:val="0"/>
          <w:iCs w:val="0"/>
          <w:caps w:val="0"/>
          <w:color w:val="auto"/>
          <w:spacing w:val="0"/>
          <w:kern w:val="2"/>
          <w:sz w:val="21"/>
          <w:szCs w:val="21"/>
          <w:highlight w:val="none"/>
          <w:shd w:val="clear" w:color="auto" w:fill="auto"/>
          <w:lang w:bidi="ar"/>
        </w:rPr>
      </w:pPr>
      <w:r>
        <w:rPr>
          <w:rStyle w:val="45"/>
          <w:rFonts w:hint="eastAsia" w:ascii="宋体" w:hAnsi="宋体" w:eastAsia="宋体" w:cs="宋体"/>
          <w:b/>
          <w:bCs/>
          <w:i w:val="0"/>
          <w:iCs w:val="0"/>
          <w:caps w:val="0"/>
          <w:color w:val="auto"/>
          <w:spacing w:val="0"/>
          <w:kern w:val="2"/>
          <w:sz w:val="21"/>
          <w:szCs w:val="21"/>
          <w:highlight w:val="none"/>
          <w:shd w:val="clear" w:color="auto" w:fill="auto"/>
          <w:lang w:bidi="ar"/>
        </w:rPr>
        <w:t>二、最高投标限价发布的要求</w:t>
      </w:r>
    </w:p>
    <w:p>
      <w:pPr>
        <w:widowControl/>
        <w:pBdr>
          <w:top w:val="none" w:color="auto" w:sz="0" w:space="0"/>
          <w:left w:val="none" w:color="auto" w:sz="0" w:space="0"/>
          <w:bottom w:val="none" w:color="auto" w:sz="0" w:space="0"/>
          <w:right w:val="none" w:color="auto" w:sz="0" w:space="0"/>
        </w:pBdr>
        <w:shd w:val="clear" w:color="auto" w:fill="FFFFFF"/>
        <w:spacing w:line="240" w:lineRule="auto"/>
        <w:ind w:left="0" w:right="0" w:firstLine="420" w:firstLineChars="200"/>
        <w:jc w:val="left"/>
        <w:rPr>
          <w:rFonts w:hint="eastAsia" w:ascii="宋体" w:hAnsi="宋体" w:eastAsia="宋体" w:cs="宋体"/>
          <w:i w:val="0"/>
          <w:iCs w:val="0"/>
          <w:caps w:val="0"/>
          <w:color w:val="auto"/>
          <w:spacing w:val="0"/>
          <w:sz w:val="21"/>
          <w:szCs w:val="21"/>
          <w:highlight w:val="none"/>
          <w:shd w:val="clear" w:color="auto" w:fill="auto"/>
          <w:lang w:bidi="ar"/>
        </w:rPr>
      </w:pPr>
      <w:r>
        <w:rPr>
          <w:rFonts w:hint="eastAsia" w:ascii="宋体" w:hAnsi="宋体" w:eastAsia="宋体" w:cs="宋体"/>
          <w:i w:val="0"/>
          <w:iCs w:val="0"/>
          <w:caps w:val="0"/>
          <w:color w:val="auto"/>
          <w:spacing w:val="0"/>
          <w:sz w:val="21"/>
          <w:szCs w:val="21"/>
          <w:highlight w:val="none"/>
          <w:shd w:val="clear" w:color="auto" w:fill="auto"/>
          <w:lang w:bidi="ar"/>
        </w:rPr>
        <w:t>1.国有投资工程招标的，应当设有最高投标限价。招标人在发布招标文件时除了公布最高投标限价总金额及其编制说明之外，还应公布分部分项工程项目、措施项目、其他项目、增值税的费用合计金额，以及其中的安全生产措施费、暂列金额、专业工程暂估价三类费用的金额和材料暂估价的组成明细。</w:t>
      </w:r>
    </w:p>
    <w:p>
      <w:pPr>
        <w:widowControl/>
        <w:pBdr>
          <w:top w:val="none" w:color="auto" w:sz="0" w:space="0"/>
          <w:left w:val="none" w:color="auto" w:sz="0" w:space="0"/>
          <w:bottom w:val="none" w:color="auto" w:sz="0" w:space="0"/>
          <w:right w:val="none" w:color="auto" w:sz="0" w:space="0"/>
        </w:pBdr>
        <w:shd w:val="clear" w:color="auto" w:fill="FFFFFF"/>
        <w:spacing w:line="240" w:lineRule="auto"/>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i w:val="0"/>
          <w:iCs w:val="0"/>
          <w:caps w:val="0"/>
          <w:color w:val="auto"/>
          <w:spacing w:val="0"/>
          <w:sz w:val="21"/>
          <w:szCs w:val="21"/>
          <w:highlight w:val="none"/>
          <w:shd w:val="clear" w:color="auto" w:fill="auto"/>
          <w:lang w:bidi="ar"/>
        </w:rPr>
        <w:t>2.最高投标限价的综合单价、措施项目与其他项目的具体组成费用金额可不公布。如最高投标限价的综合单价作为修正不合理报价依据的，应同步公布该综合单价。</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1" w:firstLineChars="200"/>
        <w:jc w:val="both"/>
        <w:textAlignment w:val="auto"/>
        <w:rPr>
          <w:rStyle w:val="45"/>
          <w:rFonts w:hint="eastAsia" w:ascii="宋体" w:hAnsi="宋体" w:eastAsia="宋体" w:cs="宋体"/>
          <w:b/>
          <w:bCs/>
          <w:i w:val="0"/>
          <w:iCs w:val="0"/>
          <w:caps w:val="0"/>
          <w:color w:val="auto"/>
          <w:spacing w:val="0"/>
          <w:kern w:val="2"/>
          <w:sz w:val="21"/>
          <w:szCs w:val="21"/>
          <w:highlight w:val="none"/>
          <w:shd w:val="clear" w:color="auto" w:fill="auto"/>
          <w:lang w:bidi="ar"/>
        </w:rPr>
      </w:pPr>
      <w:r>
        <w:rPr>
          <w:rStyle w:val="45"/>
          <w:rFonts w:hint="eastAsia" w:ascii="宋体" w:hAnsi="宋体" w:eastAsia="宋体" w:cs="宋体"/>
          <w:b/>
          <w:bCs/>
          <w:i w:val="0"/>
          <w:iCs w:val="0"/>
          <w:caps w:val="0"/>
          <w:color w:val="auto"/>
          <w:spacing w:val="0"/>
          <w:kern w:val="2"/>
          <w:sz w:val="21"/>
          <w:szCs w:val="21"/>
          <w:highlight w:val="none"/>
          <w:shd w:val="clear" w:color="auto" w:fill="auto"/>
          <w:lang w:bidi="ar"/>
        </w:rPr>
        <w:t>三、招标工程量清单编制的要求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1.工程量清单根据工程交付范围与内容，以合同标的为对象进行列项，依次形成措施项目清单、分部分项工程项目清单、其他项目清单、增值税清单。合同范围包含若干不同单位工程或不同专业工程的，措施项目清单、其他项目清单、增值税清单按合同工程统一列项，不宜划分不同单位工程或不同专业工程列项。</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2.分部分项工程项目清单按承包人提供材料、发包人提供材料、暂估价材料分别开列清单项目。含发包人提供材料、材料暂估价的分部分项工程项目清单应在项目特征中对发包人提供材料、材料暂估价予以描述。总价合同中，招标图纸设计深度不够，不能满足准确计量要求的，可采用“暂定数量”开列清单项目，并在相应的招标清单项目特征中说明。</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3.措施项目清单按照招标文件与合同条款要求、相关部门的有关规定和2024版清单计价计算标准的措施项目分类规则，结合招标工程的实际情况确定履行合同责任和义务、全面完成工程所发生的措施项目。招标人认为应由发包人负责决定的措施项目或由发包人提供专项方案及设计图纸并要求承包人按图施工的措施项目，如护坡工程、基坑支护工程等；或认为因分部分项工程项目变化而直接发生变化的措施项目，可列入分部分项工程项目清单并在招标文件注明。</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4.安全生产措施项目清单应单独列项，费用不可竞争，且符合《企业安全生产费用提取和使用管理办法》（财资〔2022〕136号）及我省有关文件规定，其中安全生产责任险保费包含在安全生产措施费中。</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5.招标工程量清单不单列赶工措施项目清单，投标人的报价应为合同工期内完成合同工程所需要的费用，合同工期与投标工期、定额工期、类似工程工期存在差异引起的价格变化，在相关报价中考虑。赶工措施费仅在实际施工中因发包人提出赶工要求时计算。</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6.不论是单价合同还是总价合同，按项编制的措施项目清单的完整性及准确性均由投标人负责。投标人认为需要增加措施项目的，可在措施项目中补充列项及报价。不论投标人在投标时是否对措施项目进行补充列项及报价，投标人所报的措施项目总费用应视为按照招标文件的规定全面完成招标工程所需发生的全部措施项目费用。</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7.总承包服务费按发包人提供材料、暂估价专业工程、发包人直接发包的专业工程等分别列项编制明细清单，并明确相应清单项目的服务内容、服务要求等。</w:t>
      </w:r>
    </w:p>
    <w:p>
      <w:pPr>
        <w:pStyle w:val="37"/>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firstLine="421" w:firstLineChars="200"/>
        <w:jc w:val="both"/>
        <w:rPr>
          <w:rFonts w:hint="eastAsia" w:ascii="宋体" w:hAnsi="宋体" w:eastAsia="宋体" w:cs="宋体"/>
          <w:b/>
          <w:bCs/>
          <w:color w:val="auto"/>
          <w:kern w:val="2"/>
          <w:sz w:val="21"/>
          <w:szCs w:val="21"/>
          <w:highlight w:val="none"/>
          <w:lang w:eastAsia="zh-CN" w:bidi="ar"/>
        </w:rPr>
      </w:pPr>
      <w:r>
        <w:rPr>
          <w:rFonts w:hint="eastAsia" w:ascii="宋体" w:hAnsi="宋体" w:eastAsia="宋体" w:cs="宋体"/>
          <w:b/>
          <w:bCs/>
          <w:color w:val="auto"/>
          <w:kern w:val="2"/>
          <w:sz w:val="21"/>
          <w:szCs w:val="21"/>
          <w:highlight w:val="none"/>
          <w:lang w:eastAsia="zh-CN" w:bidi="ar"/>
        </w:rPr>
        <w:t>四、其他</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i w:val="0"/>
          <w:iCs w:val="0"/>
          <w:caps w:val="0"/>
          <w:color w:val="auto"/>
          <w:spacing w:val="0"/>
          <w:kern w:val="2"/>
          <w:sz w:val="21"/>
          <w:szCs w:val="21"/>
          <w:highlight w:val="none"/>
          <w:lang w:bidi="ar"/>
        </w:rPr>
      </w:pPr>
      <w:r>
        <w:rPr>
          <w:rFonts w:hint="eastAsia" w:ascii="宋体" w:hAnsi="宋体" w:eastAsia="宋体" w:cs="宋体"/>
          <w:i w:val="0"/>
          <w:iCs w:val="0"/>
          <w:caps w:val="0"/>
          <w:color w:val="auto"/>
          <w:spacing w:val="0"/>
          <w:kern w:val="2"/>
          <w:sz w:val="21"/>
          <w:szCs w:val="21"/>
          <w:highlight w:val="none"/>
          <w:shd w:val="clear" w:color="auto" w:fill="auto"/>
          <w:lang w:bidi="ar"/>
        </w:rPr>
        <w:t>招标人或工程造价咨询人编制最高投标限价，按本条所述方法确定的主要清单综合单价的相关数据来源、差异引起的价格调整方法等内容在编制说明中完整清晰表述。发包人宜组织专家评审确认最高投标限价，并对最高投标限价的准确性和合理性负责。</w:t>
      </w:r>
    </w:p>
    <w:p>
      <w:pPr>
        <w:pStyle w:val="38"/>
        <w:rPr>
          <w:rFonts w:hint="eastAsia" w:ascii="宋体" w:hAnsi="宋体" w:eastAsia="宋体"/>
          <w:color w:val="auto"/>
          <w:sz w:val="36"/>
          <w:szCs w:val="36"/>
          <w:highlight w:val="none"/>
        </w:rPr>
      </w:pPr>
      <w:r>
        <w:rPr>
          <w:rFonts w:ascii="宋体" w:hAnsi="宋体" w:eastAsia="宋体"/>
          <w:color w:val="auto"/>
          <w:sz w:val="36"/>
          <w:szCs w:val="36"/>
          <w:highlight w:val="none"/>
        </w:rPr>
        <w:br w:type="page"/>
      </w:r>
      <w:bookmarkStart w:id="38" w:name="_Toc21187083"/>
      <w:bookmarkStart w:id="39" w:name="_Toc28964999"/>
      <w:bookmarkStart w:id="40" w:name="_Toc193860080"/>
      <w:bookmarkStart w:id="41" w:name="_Toc344033556"/>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七</w:t>
      </w:r>
      <w:r>
        <w:rPr>
          <w:rFonts w:hint="eastAsia" w:ascii="宋体" w:hAnsi="宋体" w:eastAsia="宋体"/>
          <w:color w:val="auto"/>
          <w:sz w:val="36"/>
          <w:szCs w:val="36"/>
          <w:highlight w:val="none"/>
        </w:rPr>
        <w:t>章  图  纸</w:t>
      </w:r>
      <w:bookmarkEnd w:id="38"/>
      <w:bookmarkEnd w:id="39"/>
      <w:bookmarkEnd w:id="40"/>
      <w:bookmarkEnd w:id="41"/>
    </w:p>
    <w:p>
      <w:pPr>
        <w:spacing w:after="240" w:afterLines="100"/>
        <w:rPr>
          <w:rFonts w:hint="eastAsia" w:ascii="黑体" w:hAnsi="宋体" w:eastAsia="黑体"/>
          <w:color w:val="auto"/>
          <w:sz w:val="24"/>
          <w:highlight w:val="none"/>
        </w:rPr>
      </w:pPr>
      <w:r>
        <w:rPr>
          <w:rFonts w:hint="eastAsia" w:ascii="黑体" w:hAnsi="宋体" w:eastAsia="黑体"/>
          <w:color w:val="auto"/>
          <w:sz w:val="24"/>
          <w:highlight w:val="none"/>
        </w:rPr>
        <w:t>1</w:t>
      </w:r>
      <w:r>
        <w:rPr>
          <w:rFonts w:hint="eastAsia" w:ascii="黑体" w:hAnsi="宋体" w:eastAsia="黑体"/>
          <w:color w:val="auto"/>
          <w:sz w:val="24"/>
          <w:highlight w:val="none"/>
          <w:lang w:val="en-US" w:eastAsia="zh-CN"/>
        </w:rPr>
        <w:t>.</w:t>
      </w:r>
      <w:r>
        <w:rPr>
          <w:rFonts w:hint="eastAsia" w:ascii="黑体" w:hAnsi="宋体" w:eastAsia="黑体"/>
          <w:color w:val="auto"/>
          <w:sz w:val="24"/>
          <w:highlight w:val="none"/>
        </w:rPr>
        <w:t>图纸目录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1453"/>
        <w:gridCol w:w="1453"/>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图名</w:t>
            </w:r>
          </w:p>
        </w:tc>
        <w:tc>
          <w:tcPr>
            <w:tcW w:w="145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图号</w:t>
            </w:r>
          </w:p>
        </w:tc>
        <w:tc>
          <w:tcPr>
            <w:tcW w:w="145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版本</w:t>
            </w:r>
          </w:p>
        </w:tc>
        <w:tc>
          <w:tcPr>
            <w:tcW w:w="145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出图日期</w:t>
            </w:r>
          </w:p>
        </w:tc>
        <w:tc>
          <w:tcPr>
            <w:tcW w:w="145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3" w:type="dxa"/>
            <w:noWrap w:val="0"/>
            <w:vAlign w:val="center"/>
          </w:tcPr>
          <w:p>
            <w:pPr>
              <w:spacing w:line="360" w:lineRule="auto"/>
              <w:jc w:val="center"/>
              <w:rPr>
                <w:rFonts w:hint="eastAsia" w:ascii="宋体" w:hAnsi="宋体"/>
                <w:color w:val="auto"/>
                <w:szCs w:val="21"/>
                <w:highlight w:val="none"/>
              </w:rPr>
            </w:pPr>
          </w:p>
        </w:tc>
        <w:tc>
          <w:tcPr>
            <w:tcW w:w="1453" w:type="dxa"/>
            <w:noWrap w:val="0"/>
            <w:vAlign w:val="center"/>
          </w:tcPr>
          <w:p>
            <w:pPr>
              <w:spacing w:line="360" w:lineRule="auto"/>
              <w:jc w:val="center"/>
              <w:rPr>
                <w:rFonts w:hint="eastAsia" w:ascii="宋体" w:hAnsi="宋体"/>
                <w:color w:val="auto"/>
                <w:szCs w:val="21"/>
                <w:highlight w:val="none"/>
              </w:rPr>
            </w:pPr>
          </w:p>
        </w:tc>
        <w:tc>
          <w:tcPr>
            <w:tcW w:w="1453" w:type="dxa"/>
            <w:noWrap w:val="0"/>
            <w:vAlign w:val="center"/>
          </w:tcPr>
          <w:p>
            <w:pPr>
              <w:spacing w:line="360" w:lineRule="auto"/>
              <w:jc w:val="center"/>
              <w:rPr>
                <w:rFonts w:hint="eastAsia" w:ascii="宋体" w:hAnsi="宋体"/>
                <w:color w:val="auto"/>
                <w:szCs w:val="21"/>
                <w:highlight w:val="none"/>
              </w:rPr>
            </w:pPr>
          </w:p>
        </w:tc>
        <w:tc>
          <w:tcPr>
            <w:tcW w:w="1453" w:type="dxa"/>
            <w:noWrap w:val="0"/>
            <w:vAlign w:val="center"/>
          </w:tcPr>
          <w:p>
            <w:pPr>
              <w:spacing w:line="360" w:lineRule="auto"/>
              <w:jc w:val="center"/>
              <w:rPr>
                <w:rFonts w:hint="eastAsia" w:ascii="宋体" w:hAnsi="宋体"/>
                <w:color w:val="auto"/>
                <w:szCs w:val="21"/>
                <w:highlight w:val="none"/>
              </w:rPr>
            </w:pPr>
          </w:p>
        </w:tc>
        <w:tc>
          <w:tcPr>
            <w:tcW w:w="1454" w:type="dxa"/>
            <w:noWrap w:val="0"/>
            <w:vAlign w:val="center"/>
          </w:tcPr>
          <w:p>
            <w:pPr>
              <w:spacing w:line="360" w:lineRule="auto"/>
              <w:jc w:val="center"/>
              <w:rPr>
                <w:rFonts w:hint="eastAsia" w:ascii="宋体" w:hAnsi="宋体"/>
                <w:color w:val="auto"/>
                <w:szCs w:val="21"/>
                <w:highlight w:val="none"/>
              </w:rPr>
            </w:pPr>
          </w:p>
        </w:tc>
        <w:tc>
          <w:tcPr>
            <w:tcW w:w="1454" w:type="dxa"/>
            <w:noWrap w:val="0"/>
            <w:vAlign w:val="center"/>
          </w:tcPr>
          <w:p>
            <w:pPr>
              <w:spacing w:line="360" w:lineRule="auto"/>
              <w:jc w:val="center"/>
              <w:rPr>
                <w:rFonts w:hint="eastAsia" w:ascii="宋体" w:hAnsi="宋体"/>
                <w:color w:val="auto"/>
                <w:szCs w:val="21"/>
                <w:highlight w:val="none"/>
              </w:rPr>
            </w:pPr>
          </w:p>
        </w:tc>
      </w:tr>
    </w:tbl>
    <w:p>
      <w:pPr>
        <w:spacing w:line="360" w:lineRule="auto"/>
        <w:rPr>
          <w:rFonts w:hint="eastAsia" w:ascii="黑体" w:eastAsia="黑体"/>
          <w:color w:val="auto"/>
          <w:sz w:val="24"/>
          <w:highlight w:val="none"/>
        </w:rPr>
      </w:pPr>
    </w:p>
    <w:p>
      <w:pPr>
        <w:spacing w:after="240" w:afterLines="100"/>
        <w:rPr>
          <w:rFonts w:hint="eastAsia" w:ascii="黑体" w:eastAsia="黑体"/>
          <w:color w:val="auto"/>
          <w:sz w:val="28"/>
          <w:szCs w:val="28"/>
          <w:highlight w:val="none"/>
        </w:rPr>
      </w:pPr>
      <w:r>
        <w:rPr>
          <w:rFonts w:hint="eastAsia" w:ascii="黑体" w:hAnsi="宋体" w:eastAsia="黑体"/>
          <w:color w:val="auto"/>
          <w:sz w:val="24"/>
          <w:highlight w:val="none"/>
        </w:rPr>
        <w:t>2</w:t>
      </w:r>
      <w:r>
        <w:rPr>
          <w:rFonts w:hint="eastAsia" w:ascii="黑体" w:hAnsi="宋体" w:eastAsia="黑体"/>
          <w:color w:val="auto"/>
          <w:sz w:val="24"/>
          <w:highlight w:val="none"/>
          <w:lang w:val="en-US" w:eastAsia="zh-CN"/>
        </w:rPr>
        <w:t>.</w:t>
      </w:r>
      <w:r>
        <w:rPr>
          <w:rFonts w:hint="eastAsia" w:ascii="黑体" w:hAnsi="宋体" w:eastAsia="黑体"/>
          <w:color w:val="auto"/>
          <w:sz w:val="24"/>
          <w:highlight w:val="none"/>
        </w:rPr>
        <w:t>图  纸</w:t>
      </w:r>
    </w:p>
    <w:p>
      <w:pPr>
        <w:pStyle w:val="38"/>
        <w:rPr>
          <w:rFonts w:hint="eastAsia" w:ascii="宋体" w:hAnsi="宋体" w:eastAsia="宋体"/>
          <w:color w:val="auto"/>
          <w:sz w:val="36"/>
          <w:szCs w:val="36"/>
          <w:highlight w:val="none"/>
        </w:rPr>
      </w:pPr>
      <w:r>
        <w:rPr>
          <w:rFonts w:ascii="黑体" w:eastAsia="黑体"/>
          <w:color w:val="auto"/>
          <w:sz w:val="28"/>
          <w:szCs w:val="28"/>
          <w:highlight w:val="none"/>
        </w:rPr>
        <w:br w:type="page"/>
      </w:r>
      <w:bookmarkStart w:id="42" w:name="_Toc1737834827"/>
      <w:bookmarkStart w:id="43" w:name="_Toc28965000"/>
      <w:bookmarkStart w:id="44" w:name="_Toc1954621374"/>
      <w:bookmarkStart w:id="45" w:name="_Toc1520550104"/>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八</w:t>
      </w:r>
      <w:r>
        <w:rPr>
          <w:rFonts w:hint="eastAsia" w:ascii="宋体" w:hAnsi="宋体" w:eastAsia="宋体"/>
          <w:color w:val="auto"/>
          <w:sz w:val="36"/>
          <w:szCs w:val="36"/>
          <w:highlight w:val="none"/>
        </w:rPr>
        <w:t>章  技术标准和要求</w:t>
      </w:r>
      <w:bookmarkEnd w:id="42"/>
      <w:bookmarkEnd w:id="43"/>
      <w:bookmarkEnd w:id="44"/>
      <w:bookmarkEnd w:id="45"/>
    </w:p>
    <w:p>
      <w:pPr>
        <w:rPr>
          <w:rFonts w:hint="eastAsia" w:ascii="宋体" w:hAnsi="宋体" w:eastAsia="宋体"/>
          <w:color w:val="auto"/>
          <w:sz w:val="36"/>
          <w:szCs w:val="36"/>
          <w:highlight w:val="none"/>
        </w:rPr>
      </w:pPr>
    </w:p>
    <w:p>
      <w:pPr>
        <w:keepNext w:val="0"/>
        <w:keepLines w:val="0"/>
        <w:widowControl/>
        <w:suppressLineNumbers w:val="0"/>
        <w:jc w:val="center"/>
        <w:rPr>
          <w:rFonts w:hint="eastAsia" w:ascii="宋体" w:hAnsi="宋体" w:eastAsia="宋体" w:cs="宋体"/>
          <w:sz w:val="24"/>
          <w:highlight w:val="none"/>
        </w:rPr>
      </w:pPr>
      <w:r>
        <w:rPr>
          <w:rFonts w:hint="eastAsia" w:ascii="宋体" w:hAnsi="宋体" w:eastAsia="宋体" w:cs="宋体"/>
          <w:i w:val="0"/>
          <w:iCs w:val="0"/>
          <w:caps w:val="0"/>
          <w:color w:val="191B1F"/>
          <w:spacing w:val="0"/>
          <w:kern w:val="0"/>
          <w:sz w:val="24"/>
          <w:szCs w:val="24"/>
          <w:highlight w:val="none"/>
          <w:shd w:val="clear" w:color="auto" w:fill="FFFFFF"/>
          <w:lang w:val="en-US" w:eastAsia="zh-CN" w:bidi="ar"/>
        </w:rPr>
        <w:t>（由招标人根据设计图纸及国家、行业现行技术标准、规范自行制定）</w:t>
      </w:r>
    </w:p>
    <w:p>
      <w:pPr>
        <w:spacing w:before="240" w:beforeLines="100" w:line="360" w:lineRule="auto"/>
        <w:jc w:val="center"/>
        <w:rPr>
          <w:rFonts w:hint="eastAsia" w:ascii="黑体" w:eastAsia="黑体"/>
          <w:color w:val="auto"/>
          <w:sz w:val="44"/>
          <w:szCs w:val="44"/>
          <w:highlight w:val="none"/>
        </w:rPr>
      </w:pPr>
      <w:r>
        <w:rPr>
          <w:rFonts w:ascii="黑体" w:eastAsia="黑体"/>
          <w:color w:val="auto"/>
          <w:sz w:val="44"/>
          <w:szCs w:val="44"/>
          <w:highlight w:val="none"/>
        </w:rPr>
        <w:br w:type="page"/>
      </w:r>
    </w:p>
    <w:p>
      <w:pPr>
        <w:spacing w:before="240" w:beforeLines="100" w:line="360" w:lineRule="auto"/>
        <w:jc w:val="center"/>
        <w:rPr>
          <w:rFonts w:hint="eastAsia" w:ascii="黑体" w:eastAsia="黑体"/>
          <w:color w:val="auto"/>
          <w:sz w:val="44"/>
          <w:szCs w:val="44"/>
          <w:highlight w:val="none"/>
        </w:rPr>
      </w:pPr>
    </w:p>
    <w:p>
      <w:pPr>
        <w:spacing w:before="240" w:beforeLines="100" w:line="360" w:lineRule="auto"/>
        <w:jc w:val="center"/>
        <w:rPr>
          <w:rFonts w:hint="eastAsia" w:ascii="黑体" w:eastAsia="黑体"/>
          <w:color w:val="auto"/>
          <w:sz w:val="44"/>
          <w:szCs w:val="44"/>
          <w:highlight w:val="none"/>
        </w:rPr>
      </w:pPr>
    </w:p>
    <w:p>
      <w:pPr>
        <w:spacing w:before="240" w:beforeLines="100" w:line="360" w:lineRule="auto"/>
        <w:jc w:val="center"/>
        <w:rPr>
          <w:rFonts w:hint="eastAsia" w:ascii="黑体" w:eastAsia="黑体"/>
          <w:color w:val="auto"/>
          <w:sz w:val="44"/>
          <w:szCs w:val="44"/>
          <w:highlight w:val="none"/>
        </w:rPr>
      </w:pPr>
    </w:p>
    <w:p>
      <w:pPr>
        <w:pStyle w:val="38"/>
        <w:rPr>
          <w:rFonts w:hint="eastAsia" w:ascii="宋体" w:hAnsi="宋体" w:eastAsia="宋体"/>
          <w:color w:val="auto"/>
          <w:sz w:val="36"/>
          <w:szCs w:val="36"/>
          <w:highlight w:val="none"/>
        </w:rPr>
      </w:pPr>
      <w:bookmarkStart w:id="46" w:name="_Toc1648702993"/>
      <w:bookmarkStart w:id="47" w:name="_Toc2004081577"/>
      <w:bookmarkStart w:id="48" w:name="_Toc37117071"/>
      <w:bookmarkStart w:id="49" w:name="_Toc2896500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九</w:t>
      </w:r>
      <w:r>
        <w:rPr>
          <w:rFonts w:hint="eastAsia" w:ascii="宋体" w:hAnsi="宋体" w:eastAsia="宋体"/>
          <w:color w:val="auto"/>
          <w:sz w:val="36"/>
          <w:szCs w:val="36"/>
          <w:highlight w:val="none"/>
        </w:rPr>
        <w:t>章  投标文件格式</w:t>
      </w:r>
      <w:bookmarkEnd w:id="46"/>
      <w:bookmarkEnd w:id="47"/>
      <w:bookmarkEnd w:id="48"/>
      <w:bookmarkEnd w:id="49"/>
    </w:p>
    <w:p>
      <w:pPr>
        <w:spacing w:before="313" w:beforeLines="100" w:after="120" w:afterLines="50"/>
        <w:jc w:val="center"/>
        <w:rPr>
          <w:rFonts w:hint="eastAsia" w:ascii="宋体" w:hAnsi="宋体" w:eastAsia="宋体" w:cs="宋体"/>
          <w:color w:val="auto"/>
          <w:sz w:val="32"/>
          <w:szCs w:val="32"/>
          <w:highlight w:val="none"/>
          <w:lang w:val="en-US" w:eastAsia="zh-CN"/>
        </w:rPr>
      </w:pPr>
      <w:bookmarkStart w:id="50" w:name="_Toc760358461"/>
      <w:bookmarkStart w:id="51" w:name="_Toc1023273360"/>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参考格式）</w:t>
      </w:r>
      <w:bookmarkEnd w:id="50"/>
      <w:bookmarkEnd w:id="51"/>
    </w:p>
    <w:p>
      <w:pPr>
        <w:pStyle w:val="40"/>
        <w:spacing w:line="360" w:lineRule="auto"/>
        <w:ind w:firstLine="513" w:firstLineChars="214"/>
        <w:rPr>
          <w:rFonts w:hint="eastAsia" w:ascii="宋体" w:hAnsi="宋体"/>
          <w:bCs/>
          <w:color w:val="auto"/>
          <w:sz w:val="24"/>
          <w:highlight w:val="none"/>
        </w:rPr>
      </w:pPr>
    </w:p>
    <w:p>
      <w:pPr>
        <w:spacing w:line="360" w:lineRule="auto"/>
        <w:jc w:val="center"/>
        <w:rPr>
          <w:rFonts w:hint="eastAsia" w:ascii="黑体" w:eastAsia="黑体"/>
          <w:color w:val="auto"/>
          <w:sz w:val="32"/>
          <w:szCs w:val="32"/>
          <w:highlight w:val="none"/>
        </w:rPr>
      </w:pPr>
      <w:r>
        <w:rPr>
          <w:rFonts w:ascii="黑体" w:eastAsia="黑体"/>
          <w:color w:val="auto"/>
          <w:sz w:val="32"/>
          <w:szCs w:val="32"/>
          <w:highlight w:val="none"/>
        </w:rPr>
        <w:br w:type="page"/>
      </w: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（项目名称）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施工招标</w:t>
      </w:r>
    </w:p>
    <w:p>
      <w:pPr>
        <w:spacing w:before="240" w:beforeLines="100" w:line="360" w:lineRule="auto"/>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pPr>
        <w:spacing w:line="36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（评标</w:t>
      </w:r>
      <w:r>
        <w:rPr>
          <w:rFonts w:ascii="黑体" w:eastAsia="黑体"/>
          <w:color w:val="auto"/>
          <w:sz w:val="36"/>
          <w:szCs w:val="36"/>
          <w:highlight w:val="none"/>
        </w:rPr>
        <w:t>部分</w:t>
      </w:r>
      <w:r>
        <w:rPr>
          <w:rFonts w:hint="eastAsia" w:ascii="黑体" w:eastAsia="黑体"/>
          <w:color w:val="auto"/>
          <w:sz w:val="36"/>
          <w:szCs w:val="36"/>
          <w:highlight w:val="none"/>
        </w:rPr>
        <w:t>）</w:t>
      </w:r>
    </w:p>
    <w:p>
      <w:pPr>
        <w:spacing w:line="360" w:lineRule="auto"/>
        <w:jc w:val="center"/>
        <w:rPr>
          <w:rFonts w:hint="eastAsia" w:ascii="黑体" w:eastAsia="黑体"/>
          <w:color w:val="auto"/>
          <w:sz w:val="32"/>
          <w:szCs w:val="32"/>
          <w:highlight w:val="none"/>
        </w:rPr>
      </w:pPr>
    </w:p>
    <w:p>
      <w:pPr>
        <w:spacing w:line="360" w:lineRule="auto"/>
        <w:rPr>
          <w:rFonts w:hint="eastAsia" w:ascii="黑体" w:eastAsia="黑体"/>
          <w:color w:val="auto"/>
          <w:sz w:val="32"/>
          <w:szCs w:val="32"/>
          <w:highlight w:val="none"/>
        </w:rPr>
      </w:pPr>
    </w:p>
    <w:p>
      <w:pPr>
        <w:spacing w:line="360" w:lineRule="auto"/>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（盖单位公章）</w:t>
      </w:r>
    </w:p>
    <w:p>
      <w:pPr>
        <w:spacing w:line="360" w:lineRule="auto"/>
        <w:ind w:firstLine="1260" w:firstLineChars="450"/>
        <w:jc w:val="left"/>
        <w:rPr>
          <w:rFonts w:hint="eastAsia" w:ascii="黑体" w:eastAsia="黑体"/>
          <w:color w:val="auto"/>
          <w:sz w:val="28"/>
          <w:szCs w:val="28"/>
          <w:highlight w:val="none"/>
        </w:rPr>
      </w:pPr>
      <w:r>
        <w:rPr>
          <w:rFonts w:hint="eastAsia" w:ascii="黑体" w:eastAsia="黑体"/>
          <w:color w:val="auto"/>
          <w:sz w:val="28"/>
          <w:szCs w:val="28"/>
          <w:highlight w:val="none"/>
        </w:rPr>
        <w:t>法定代表人或其委托代理人：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hint="eastAsia" w:ascii="黑体" w:hAnsi="Times New Roman" w:eastAsia="黑体"/>
          <w:color w:val="auto"/>
          <w:sz w:val="28"/>
          <w:szCs w:val="28"/>
          <w:highlight w:val="none"/>
        </w:rPr>
        <w:t>签</w:t>
      </w:r>
      <w:r>
        <w:rPr>
          <w:rFonts w:hint="eastAsia" w:ascii="黑体" w:hAnsi="Times New Roman"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ind w:firstLine="1260" w:firstLineChars="450"/>
        <w:jc w:val="left"/>
        <w:rPr>
          <w:rFonts w:hint="eastAsia" w:ascii="黑体" w:eastAsia="黑体"/>
          <w:color w:val="auto"/>
          <w:sz w:val="28"/>
          <w:szCs w:val="28"/>
          <w:highlight w:val="none"/>
        </w:rPr>
      </w:pPr>
      <w:r>
        <w:rPr>
          <w:rFonts w:hint="eastAsia" w:ascii="黑体" w:eastAsia="黑体"/>
          <w:color w:val="auto"/>
          <w:sz w:val="28"/>
          <w:szCs w:val="28"/>
          <w:highlight w:val="none"/>
        </w:rPr>
        <w:t>项目负责人：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hint="eastAsia" w:ascii="黑体" w:hAnsi="Times New Roman" w:eastAsia="黑体"/>
          <w:color w:val="auto"/>
          <w:sz w:val="28"/>
          <w:szCs w:val="28"/>
          <w:highlight w:val="none"/>
        </w:rPr>
        <w:t>签</w:t>
      </w:r>
      <w:r>
        <w:rPr>
          <w:rFonts w:hint="eastAsia" w:ascii="黑体" w:hAnsi="Times New Roman"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项目技术负责人：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hint="eastAsia" w:ascii="黑体" w:hAnsi="Times New Roman" w:eastAsia="黑体"/>
          <w:color w:val="auto"/>
          <w:sz w:val="28"/>
          <w:szCs w:val="28"/>
          <w:highlight w:val="none"/>
        </w:rPr>
        <w:t>签</w:t>
      </w:r>
      <w:r>
        <w:rPr>
          <w:rFonts w:hint="eastAsia" w:ascii="黑体" w:hAnsi="Times New Roman"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jc w:val="center"/>
        <w:rPr>
          <w:rFonts w:hint="eastAsia" w:ascii="黑体" w:eastAsia="黑体"/>
          <w:color w:val="auto"/>
          <w:sz w:val="28"/>
          <w:szCs w:val="28"/>
          <w:highlight w:val="none"/>
        </w:rPr>
      </w:pPr>
    </w:p>
    <w:p>
      <w:pPr>
        <w:spacing w:line="360" w:lineRule="auto"/>
        <w:jc w:val="center"/>
        <w:rPr>
          <w:rFonts w:hint="eastAsia" w:ascii="黑体" w:eastAsia="黑体"/>
          <w:color w:val="auto"/>
          <w:sz w:val="28"/>
          <w:szCs w:val="28"/>
          <w:highlight w:val="none"/>
        </w:rPr>
      </w:pPr>
    </w:p>
    <w:p>
      <w:pPr>
        <w:spacing w:line="360" w:lineRule="auto"/>
        <w:jc w:val="center"/>
        <w:rPr>
          <w:rFonts w:hint="eastAsia" w:ascii="黑体" w:eastAsia="黑体"/>
          <w:color w:val="auto"/>
          <w:sz w:val="28"/>
          <w:szCs w:val="28"/>
          <w:highlight w:val="none"/>
        </w:rPr>
      </w:pPr>
    </w:p>
    <w:p>
      <w:pPr>
        <w:spacing w:before="240" w:beforeLines="100" w:after="240" w:afterLines="100"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pPr>
        <w:spacing w:before="360" w:beforeLines="150" w:after="120" w:afterLines="50"/>
        <w:jc w:val="center"/>
        <w:rPr>
          <w:rFonts w:hint="eastAsia" w:ascii="黑体" w:eastAsia="黑体"/>
          <w:color w:val="auto"/>
          <w:sz w:val="36"/>
          <w:szCs w:val="36"/>
          <w:highlight w:val="none"/>
        </w:rPr>
      </w:pPr>
      <w:r>
        <w:rPr>
          <w:rFonts w:ascii="黑体" w:eastAsia="黑体"/>
          <w:color w:val="auto"/>
          <w:sz w:val="28"/>
          <w:szCs w:val="28"/>
          <w:highlight w:val="none"/>
        </w:rPr>
        <w:br w:type="page"/>
      </w:r>
      <w:r>
        <w:rPr>
          <w:rFonts w:hint="eastAsia" w:ascii="黑体" w:eastAsia="黑体"/>
          <w:color w:val="auto"/>
          <w:sz w:val="36"/>
          <w:szCs w:val="36"/>
          <w:highlight w:val="none"/>
        </w:rPr>
        <w:t>投标文件（评标部分）目录</w:t>
      </w:r>
    </w:p>
    <w:p>
      <w:pPr>
        <w:spacing w:before="360" w:beforeLines="150" w:after="120" w:afterLines="50"/>
        <w:rPr>
          <w:rFonts w:hint="eastAsia" w:ascii="黑体" w:eastAsia="黑体"/>
          <w:color w:val="auto"/>
          <w:sz w:val="28"/>
          <w:szCs w:val="28"/>
          <w:highlight w:val="none"/>
        </w:rPr>
      </w:pPr>
    </w:p>
    <w:p>
      <w:pPr>
        <w:numPr>
          <w:ilvl w:val="0"/>
          <w:numId w:val="4"/>
        </w:numPr>
        <w:spacing w:line="360" w:lineRule="auto"/>
        <w:rPr>
          <w:rFonts w:hint="eastAsia"/>
          <w:color w:val="auto"/>
          <w:sz w:val="28"/>
          <w:szCs w:val="28"/>
          <w:highlight w:val="none"/>
        </w:rPr>
      </w:pPr>
      <w:r>
        <w:rPr>
          <w:rFonts w:hint="eastAsia"/>
          <w:color w:val="auto"/>
          <w:sz w:val="28"/>
          <w:szCs w:val="28"/>
          <w:highlight w:val="none"/>
        </w:rPr>
        <w:t>资格（形式、响应）评审材料</w:t>
      </w:r>
    </w:p>
    <w:p>
      <w:pPr>
        <w:numPr>
          <w:ilvl w:val="0"/>
          <w:numId w:val="5"/>
        </w:numPr>
        <w:spacing w:line="360" w:lineRule="auto"/>
        <w:rPr>
          <w:rFonts w:hint="eastAsia"/>
          <w:color w:val="auto"/>
          <w:sz w:val="24"/>
          <w:highlight w:val="none"/>
        </w:rPr>
      </w:pPr>
      <w:r>
        <w:rPr>
          <w:rFonts w:hint="eastAsia"/>
          <w:color w:val="auto"/>
          <w:sz w:val="24"/>
          <w:highlight w:val="none"/>
        </w:rPr>
        <w:t>企业营业执照、安全生产许可证（若为联合体，联合体各方均需提供）</w:t>
      </w:r>
    </w:p>
    <w:p>
      <w:pPr>
        <w:numPr>
          <w:ilvl w:val="0"/>
          <w:numId w:val="5"/>
        </w:numPr>
        <w:spacing w:line="360" w:lineRule="auto"/>
        <w:rPr>
          <w:rFonts w:hint="eastAsia"/>
          <w:color w:val="auto"/>
          <w:sz w:val="24"/>
          <w:highlight w:val="none"/>
        </w:rPr>
      </w:pPr>
      <w:r>
        <w:rPr>
          <w:rFonts w:hint="eastAsia"/>
          <w:color w:val="auto"/>
          <w:sz w:val="24"/>
          <w:highlight w:val="none"/>
          <w:lang w:val="en-US" w:eastAsia="zh-CN"/>
        </w:rPr>
        <w:t>投标人资格要求材料</w:t>
      </w:r>
      <w:r>
        <w:rPr>
          <w:rFonts w:hint="eastAsia"/>
          <w:color w:val="auto"/>
          <w:sz w:val="24"/>
          <w:highlight w:val="none"/>
        </w:rPr>
        <w:t>（若为联合体，联合体各方均需提供）</w:t>
      </w:r>
    </w:p>
    <w:p>
      <w:pPr>
        <w:numPr>
          <w:ilvl w:val="0"/>
          <w:numId w:val="0"/>
        </w:numPr>
        <w:tabs>
          <w:tab w:val="left" w:pos="284"/>
        </w:tabs>
        <w:spacing w:line="360" w:lineRule="auto"/>
        <w:ind w:left="0"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资质证书</w:t>
      </w:r>
    </w:p>
    <w:p>
      <w:pPr>
        <w:numPr>
          <w:ilvl w:val="0"/>
          <w:numId w:val="0"/>
        </w:numPr>
        <w:spacing w:line="360" w:lineRule="auto"/>
        <w:ind w:leftChars="0" w:firstLine="480" w:firstLineChars="200"/>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项目负责人资格</w:t>
      </w:r>
      <w:r>
        <w:rPr>
          <w:rFonts w:hint="eastAsia"/>
          <w:color w:val="auto"/>
          <w:sz w:val="24"/>
          <w:highlight w:val="none"/>
          <w:lang w:eastAsia="zh-CN"/>
        </w:rPr>
        <w:t>（</w:t>
      </w:r>
      <w:r>
        <w:rPr>
          <w:rFonts w:hint="eastAsia"/>
          <w:color w:val="auto"/>
          <w:sz w:val="24"/>
          <w:highlight w:val="none"/>
          <w:lang w:val="en-US" w:eastAsia="zh-CN"/>
        </w:rPr>
        <w:t>牵头方提供）</w:t>
      </w:r>
    </w:p>
    <w:p>
      <w:pPr>
        <w:numPr>
          <w:ilvl w:val="0"/>
          <w:numId w:val="0"/>
        </w:numPr>
        <w:tabs>
          <w:tab w:val="left" w:pos="284"/>
        </w:tabs>
        <w:spacing w:line="360" w:lineRule="auto"/>
        <w:ind w:left="0"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进粤信息登记</w:t>
      </w:r>
    </w:p>
    <w:p>
      <w:pPr>
        <w:numPr>
          <w:ilvl w:val="0"/>
          <w:numId w:val="0"/>
        </w:numPr>
        <w:tabs>
          <w:tab w:val="left" w:pos="284"/>
        </w:tabs>
        <w:spacing w:line="360" w:lineRule="auto"/>
        <w:ind w:left="0" w:firstLine="480" w:firstLineChars="200"/>
        <w:rPr>
          <w:rFonts w:hint="eastAsia" w:ascii="宋体" w:hAnsi="宋体" w:eastAsia="宋体" w:cs="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投标人资格其他</w:t>
      </w:r>
      <w:r>
        <w:rPr>
          <w:rFonts w:hint="eastAsia"/>
          <w:color w:val="auto"/>
          <w:sz w:val="24"/>
          <w:highlight w:val="none"/>
          <w:lang w:val="en-US" w:eastAsia="zh-CN"/>
        </w:rPr>
        <w:t>材料</w:t>
      </w:r>
    </w:p>
    <w:p>
      <w:pPr>
        <w:numPr>
          <w:ilvl w:val="0"/>
          <w:numId w:val="0"/>
        </w:numPr>
        <w:spacing w:line="360" w:lineRule="auto"/>
        <w:ind w:left="0"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val="en-US" w:eastAsia="zh-CN"/>
        </w:rPr>
        <w:t xml:space="preserve">     ①</w:t>
      </w:r>
      <w:r>
        <w:rPr>
          <w:rFonts w:hint="eastAsia" w:ascii="Times New Roman" w:hAnsi="Times New Roman" w:eastAsia="宋体" w:cs="Times New Roman"/>
          <w:color w:val="auto"/>
          <w:sz w:val="24"/>
          <w:highlight w:val="none"/>
          <w:lang w:val="en-US" w:eastAsia="zh-CN"/>
        </w:rPr>
        <w:t>……</w:t>
      </w:r>
    </w:p>
    <w:p>
      <w:pPr>
        <w:numPr>
          <w:ilvl w:val="0"/>
          <w:numId w:val="5"/>
        </w:numPr>
        <w:spacing w:line="360" w:lineRule="auto"/>
        <w:rPr>
          <w:rFonts w:hint="eastAsia"/>
          <w:color w:val="auto"/>
          <w:sz w:val="24"/>
          <w:highlight w:val="none"/>
        </w:rPr>
      </w:pPr>
      <w:r>
        <w:rPr>
          <w:rFonts w:hint="eastAsia"/>
          <w:color w:val="auto"/>
          <w:sz w:val="24"/>
          <w:highlight w:val="none"/>
        </w:rPr>
        <w:t>投标保证金</w:t>
      </w:r>
    </w:p>
    <w:p>
      <w:pPr>
        <w:numPr>
          <w:ilvl w:val="0"/>
          <w:numId w:val="5"/>
        </w:numPr>
        <w:spacing w:line="360" w:lineRule="auto"/>
        <w:rPr>
          <w:rFonts w:hint="eastAsia"/>
          <w:color w:val="auto"/>
          <w:sz w:val="24"/>
          <w:highlight w:val="none"/>
        </w:rPr>
      </w:pPr>
      <w:r>
        <w:rPr>
          <w:rFonts w:hint="eastAsia"/>
          <w:color w:val="auto"/>
          <w:sz w:val="24"/>
          <w:highlight w:val="none"/>
        </w:rPr>
        <w:t>联合体协议书（如有）</w:t>
      </w:r>
    </w:p>
    <w:p>
      <w:pPr>
        <w:numPr>
          <w:ilvl w:val="0"/>
          <w:numId w:val="5"/>
        </w:numPr>
        <w:spacing w:line="360" w:lineRule="auto"/>
        <w:rPr>
          <w:rFonts w:hint="eastAsia"/>
          <w:color w:val="auto"/>
          <w:sz w:val="24"/>
          <w:highlight w:val="none"/>
        </w:rPr>
      </w:pPr>
      <w:r>
        <w:rPr>
          <w:rFonts w:hint="eastAsia"/>
          <w:color w:val="auto"/>
          <w:sz w:val="24"/>
          <w:highlight w:val="none"/>
        </w:rPr>
        <w:t>投标函及投标函附录</w:t>
      </w:r>
    </w:p>
    <w:p>
      <w:pPr>
        <w:numPr>
          <w:ilvl w:val="0"/>
          <w:numId w:val="5"/>
        </w:numPr>
        <w:spacing w:line="360" w:lineRule="auto"/>
        <w:rPr>
          <w:rFonts w:hint="eastAsia"/>
          <w:color w:val="auto"/>
          <w:sz w:val="24"/>
          <w:highlight w:val="none"/>
        </w:rPr>
      </w:pPr>
      <w:r>
        <w:rPr>
          <w:rFonts w:hint="eastAsia"/>
          <w:color w:val="auto"/>
          <w:sz w:val="24"/>
          <w:highlight w:val="none"/>
        </w:rPr>
        <w:t>法定代表人身份证明</w:t>
      </w:r>
    </w:p>
    <w:p>
      <w:pPr>
        <w:numPr>
          <w:ilvl w:val="0"/>
          <w:numId w:val="5"/>
        </w:numPr>
        <w:spacing w:line="360" w:lineRule="auto"/>
        <w:rPr>
          <w:rFonts w:hint="eastAsia"/>
          <w:color w:val="auto"/>
          <w:sz w:val="24"/>
          <w:highlight w:val="none"/>
        </w:rPr>
      </w:pPr>
      <w:r>
        <w:rPr>
          <w:rFonts w:hint="eastAsia"/>
          <w:color w:val="auto"/>
          <w:sz w:val="24"/>
          <w:highlight w:val="none"/>
        </w:rPr>
        <w:t>授权委托书</w:t>
      </w:r>
    </w:p>
    <w:p>
      <w:pPr>
        <w:numPr>
          <w:ilvl w:val="0"/>
          <w:numId w:val="5"/>
        </w:numPr>
        <w:spacing w:line="360" w:lineRule="auto"/>
        <w:rPr>
          <w:rFonts w:hint="eastAsia"/>
          <w:color w:val="auto"/>
          <w:sz w:val="24"/>
          <w:highlight w:val="none"/>
        </w:rPr>
      </w:pPr>
      <w:r>
        <w:rPr>
          <w:rFonts w:hint="eastAsia"/>
          <w:color w:val="auto"/>
          <w:sz w:val="24"/>
          <w:highlight w:val="none"/>
        </w:rPr>
        <w:t>已标价工程量清单</w:t>
      </w:r>
    </w:p>
    <w:p>
      <w:pPr>
        <w:numPr>
          <w:ilvl w:val="0"/>
          <w:numId w:val="5"/>
        </w:numPr>
        <w:spacing w:line="360" w:lineRule="auto"/>
        <w:rPr>
          <w:rFonts w:hint="eastAsia"/>
          <w:color w:val="auto"/>
          <w:sz w:val="24"/>
          <w:highlight w:val="none"/>
        </w:rPr>
      </w:pPr>
      <w:r>
        <w:rPr>
          <w:rFonts w:hint="eastAsia"/>
          <w:color w:val="auto"/>
          <w:sz w:val="24"/>
          <w:highlight w:val="none"/>
        </w:rPr>
        <w:t>工程承诺书（若为联合体，联合体各方均需提供）</w:t>
      </w:r>
    </w:p>
    <w:p>
      <w:pPr>
        <w:numPr>
          <w:ilvl w:val="0"/>
          <w:numId w:val="5"/>
        </w:numPr>
        <w:spacing w:line="360" w:lineRule="auto"/>
        <w:rPr>
          <w:rFonts w:hint="eastAsia"/>
          <w:color w:val="auto"/>
          <w:sz w:val="24"/>
          <w:highlight w:val="none"/>
        </w:rPr>
      </w:pPr>
      <w:r>
        <w:rPr>
          <w:rFonts w:hint="eastAsia"/>
          <w:color w:val="auto"/>
          <w:sz w:val="24"/>
          <w:highlight w:val="none"/>
        </w:rPr>
        <w:t>投标人诚信承诺书（若为联合体，联合体各方均需提供）</w:t>
      </w:r>
    </w:p>
    <w:p>
      <w:pPr>
        <w:numPr>
          <w:ilvl w:val="0"/>
          <w:numId w:val="5"/>
        </w:numPr>
        <w:spacing w:line="360" w:lineRule="auto"/>
        <w:rPr>
          <w:rFonts w:hint="eastAsia"/>
          <w:color w:val="auto"/>
          <w:sz w:val="24"/>
          <w:highlight w:val="none"/>
        </w:rPr>
      </w:pPr>
      <w:r>
        <w:rPr>
          <w:rFonts w:hint="eastAsia"/>
          <w:color w:val="auto"/>
          <w:sz w:val="24"/>
          <w:highlight w:val="none"/>
        </w:rPr>
        <w:t>拟分包项目情况表（如有）</w:t>
      </w:r>
    </w:p>
    <w:p>
      <w:pPr>
        <w:numPr>
          <w:ilvl w:val="0"/>
          <w:numId w:val="4"/>
        </w:numPr>
        <w:spacing w:line="360" w:lineRule="auto"/>
        <w:rPr>
          <w:rFonts w:hint="eastAsia"/>
          <w:color w:val="auto"/>
          <w:sz w:val="28"/>
          <w:szCs w:val="28"/>
          <w:highlight w:val="none"/>
        </w:rPr>
      </w:pPr>
      <w:r>
        <w:rPr>
          <w:rFonts w:hint="eastAsia"/>
          <w:color w:val="auto"/>
          <w:sz w:val="28"/>
          <w:szCs w:val="28"/>
          <w:highlight w:val="none"/>
        </w:rPr>
        <w:t>技术评审材料</w:t>
      </w:r>
    </w:p>
    <w:p>
      <w:pPr>
        <w:numPr>
          <w:ilvl w:val="0"/>
          <w:numId w:val="5"/>
        </w:numPr>
        <w:spacing w:line="360" w:lineRule="auto"/>
        <w:rPr>
          <w:rFonts w:hint="eastAsia"/>
          <w:color w:val="auto"/>
          <w:sz w:val="24"/>
          <w:highlight w:val="none"/>
        </w:rPr>
      </w:pPr>
      <w:r>
        <w:rPr>
          <w:rFonts w:hint="eastAsia"/>
          <w:color w:val="auto"/>
          <w:sz w:val="24"/>
          <w:highlight w:val="none"/>
        </w:rPr>
        <w:t>…………………</w:t>
      </w:r>
    </w:p>
    <w:p>
      <w:pPr>
        <w:numPr>
          <w:ilvl w:val="0"/>
          <w:numId w:val="4"/>
        </w:numPr>
        <w:spacing w:line="360" w:lineRule="auto"/>
        <w:rPr>
          <w:rFonts w:hint="eastAsia"/>
          <w:color w:val="auto"/>
          <w:sz w:val="28"/>
          <w:szCs w:val="28"/>
          <w:highlight w:val="none"/>
        </w:rPr>
      </w:pPr>
      <w:r>
        <w:rPr>
          <w:rFonts w:hint="eastAsia"/>
          <w:color w:val="auto"/>
          <w:sz w:val="28"/>
          <w:szCs w:val="28"/>
          <w:highlight w:val="none"/>
        </w:rPr>
        <w:t>其他投标人认为需要提供的材料</w:t>
      </w:r>
    </w:p>
    <w:p>
      <w:pPr>
        <w:numPr>
          <w:ilvl w:val="0"/>
          <w:numId w:val="5"/>
        </w:numPr>
        <w:spacing w:line="360" w:lineRule="auto"/>
        <w:rPr>
          <w:rFonts w:hint="eastAsia"/>
          <w:color w:val="auto"/>
          <w:sz w:val="24"/>
          <w:highlight w:val="none"/>
        </w:rPr>
      </w:pP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宋体" w:eastAsia="黑体"/>
          <w:color w:val="auto"/>
          <w:sz w:val="36"/>
          <w:szCs w:val="36"/>
          <w:highlight w:val="none"/>
        </w:rPr>
      </w:pPr>
      <w:r>
        <w:rPr>
          <w:rFonts w:ascii="黑体" w:hAnsi="宋体" w:eastAsia="黑体"/>
          <w:color w:val="auto"/>
          <w:sz w:val="28"/>
          <w:szCs w:val="28"/>
          <w:highlight w:val="none"/>
        </w:rPr>
        <w:br w:type="page"/>
      </w:r>
      <w:r>
        <w:rPr>
          <w:rFonts w:ascii="黑体" w:hAnsi="宋体" w:eastAsia="黑体"/>
          <w:color w:val="auto"/>
          <w:sz w:val="36"/>
          <w:szCs w:val="36"/>
          <w:highlight w:val="none"/>
        </w:rPr>
        <w:t>1</w:t>
      </w:r>
      <w:r>
        <w:rPr>
          <w:rFonts w:hint="eastAsia" w:ascii="黑体" w:hAnsi="宋体" w:eastAsia="黑体"/>
          <w:color w:val="auto"/>
          <w:sz w:val="36"/>
          <w:szCs w:val="36"/>
          <w:highlight w:val="none"/>
        </w:rPr>
        <w:t>.企业营业执照、安全生产许可证复印件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8"/>
        <w:rPr>
          <w:rFonts w:hint="eastAsia" w:ascii="宋体" w:hAnsi="宋体"/>
          <w:color w:val="auto"/>
          <w:sz w:val="36"/>
          <w:szCs w:val="36"/>
          <w:highlight w:val="none"/>
        </w:rPr>
      </w:pPr>
      <w:r>
        <w:rPr>
          <w:rFonts w:hint="eastAsia"/>
          <w:color w:val="auto"/>
          <w:sz w:val="24"/>
          <w:highlight w:val="none"/>
        </w:rPr>
        <w:t>（若为联合体，联合体各方均需提供）</w:t>
      </w: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both"/>
        <w:rPr>
          <w:rFonts w:hint="default" w:ascii="黑体" w:hAnsi="宋体" w:eastAsia="黑体"/>
          <w:color w:val="auto"/>
          <w:sz w:val="28"/>
          <w:szCs w:val="28"/>
          <w:highlight w:val="none"/>
          <w:lang w:val="en-US" w:eastAsia="zh-CN"/>
        </w:rPr>
      </w:pPr>
    </w:p>
    <w:p>
      <w:pPr>
        <w:spacing w:line="240" w:lineRule="auto"/>
        <w:jc w:val="center"/>
        <w:outlineLvl w:val="1"/>
        <w:rPr>
          <w:rFonts w:hint="eastAsia" w:ascii="黑体" w:hAnsi="宋体" w:eastAsia="黑体" w:cs="Times New Roman"/>
          <w:color w:val="auto"/>
          <w:sz w:val="36"/>
          <w:szCs w:val="36"/>
          <w:highlight w:val="none"/>
          <w:lang w:val="en-US" w:eastAsia="zh-CN"/>
        </w:rPr>
      </w:pPr>
      <w:r>
        <w:rPr>
          <w:rFonts w:hint="eastAsia" w:ascii="黑体" w:hAnsi="宋体" w:eastAsia="黑体" w:cs="Times New Roman"/>
          <w:color w:val="auto"/>
          <w:sz w:val="36"/>
          <w:szCs w:val="36"/>
          <w:highlight w:val="none"/>
          <w:lang w:val="en-US" w:eastAsia="zh-CN"/>
        </w:rPr>
        <w:t>2.投标人资格要求材料</w:t>
      </w:r>
    </w:p>
    <w:p>
      <w:pPr>
        <w:spacing w:line="240" w:lineRule="auto"/>
        <w:jc w:val="center"/>
        <w:rPr>
          <w:rFonts w:hint="eastAsia" w:ascii="黑体" w:hAnsi="宋体" w:eastAsia="黑体"/>
          <w:color w:val="auto"/>
          <w:sz w:val="28"/>
          <w:szCs w:val="28"/>
          <w:highlight w:val="none"/>
        </w:rPr>
      </w:pPr>
      <w:r>
        <w:rPr>
          <w:rFonts w:hint="eastAsia"/>
          <w:color w:val="auto"/>
          <w:sz w:val="24"/>
          <w:highlight w:val="none"/>
        </w:rPr>
        <w:t>（若为联合体，联合体各方均需提供）</w:t>
      </w:r>
    </w:p>
    <w:p>
      <w:pPr>
        <w:spacing w:before="0" w:beforeLines="0" w:after="0" w:afterLines="0" w:line="240" w:lineRule="auto"/>
        <w:jc w:val="left"/>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）资质证书复印件</w:t>
      </w:r>
    </w:p>
    <w:p>
      <w:pPr>
        <w:spacing w:line="560" w:lineRule="exact"/>
        <w:jc w:val="center"/>
        <w:rPr>
          <w:rFonts w:hint="eastAsia"/>
          <w:color w:val="auto"/>
          <w:sz w:val="24"/>
          <w:highlight w:val="none"/>
        </w:rPr>
      </w:pPr>
    </w:p>
    <w:p>
      <w:pPr>
        <w:spacing w:before="0" w:beforeLines="0" w:after="0" w:afterLines="0" w:line="240" w:lineRule="auto"/>
        <w:jc w:val="left"/>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）项目负责人资格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项目负责人应附注册证书（有“建造师执业资格证书持证人员从业情况信息公开证明”的可用其公开证明代替）、安全生产考核合格证书、身份证、养老保险证明（①项目负责人未达到退休年龄的，需提供在投标单位</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月缴纳养老保险的证明；②项目负责人已达到退休年龄且不超过65周岁的，则可</w:t>
      </w:r>
      <w:r>
        <w:rPr>
          <w:rFonts w:hint="eastAsia" w:ascii="宋体" w:hAnsi="宋体"/>
          <w:color w:val="auto"/>
          <w:sz w:val="24"/>
          <w:highlight w:val="none"/>
          <w:lang w:eastAsia="zh-CN"/>
        </w:rPr>
        <w:t>提供</w:t>
      </w:r>
      <w:r>
        <w:rPr>
          <w:rFonts w:hint="eastAsia" w:ascii="宋体" w:hAnsi="宋体"/>
          <w:color w:val="auto"/>
          <w:sz w:val="24"/>
          <w:highlight w:val="none"/>
        </w:rPr>
        <w:t>养老保险待遇领取情况资料</w:t>
      </w:r>
      <w:r>
        <w:rPr>
          <w:rFonts w:hint="eastAsia" w:ascii="宋体" w:hAnsi="宋体"/>
          <w:color w:val="auto"/>
          <w:sz w:val="24"/>
          <w:highlight w:val="none"/>
          <w:lang w:eastAsia="zh-CN"/>
        </w:rPr>
        <w:t>〈</w:t>
      </w:r>
      <w:r>
        <w:rPr>
          <w:rFonts w:hint="eastAsia" w:ascii="宋体" w:hAnsi="宋体"/>
          <w:color w:val="auto"/>
          <w:sz w:val="24"/>
          <w:highlight w:val="none"/>
        </w:rPr>
        <w:t>或退休证</w:t>
      </w:r>
      <w:r>
        <w:rPr>
          <w:rFonts w:hint="eastAsia" w:ascii="宋体" w:hAnsi="宋体"/>
          <w:color w:val="auto"/>
          <w:sz w:val="24"/>
          <w:highlight w:val="none"/>
          <w:lang w:eastAsia="zh-CN"/>
        </w:rPr>
        <w:t>〉</w:t>
      </w:r>
      <w:r>
        <w:rPr>
          <w:rFonts w:hint="eastAsia" w:ascii="宋体" w:hAnsi="宋体"/>
          <w:color w:val="auto"/>
          <w:sz w:val="24"/>
          <w:highlight w:val="none"/>
        </w:rPr>
        <w:t>和单位的返聘证明）复印件。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4"/>
          <w:szCs w:val="24"/>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6"/>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姓  名</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职  称</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年  龄</w:t>
            </w:r>
          </w:p>
        </w:tc>
        <w:tc>
          <w:tcPr>
            <w:tcW w:w="4887"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职  务</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学历</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拟在本工程任职</w:t>
            </w:r>
          </w:p>
        </w:tc>
        <w:tc>
          <w:tcPr>
            <w:tcW w:w="4887"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建造师专业</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注册建造师执业资格等级</w:t>
            </w:r>
          </w:p>
        </w:tc>
        <w:tc>
          <w:tcPr>
            <w:tcW w:w="4887"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注册证书编号或信息公开编号</w:t>
            </w:r>
          </w:p>
        </w:tc>
        <w:tc>
          <w:tcPr>
            <w:tcW w:w="4887" w:type="dxa"/>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安全生产考核合格证书</w:t>
            </w:r>
          </w:p>
        </w:tc>
        <w:tc>
          <w:tcPr>
            <w:tcW w:w="4887" w:type="dxa"/>
            <w:noWrap w:val="0"/>
            <w:vAlign w:val="center"/>
          </w:tcPr>
          <w:p>
            <w:pPr>
              <w:jc w:val="center"/>
              <w:rPr>
                <w:rFonts w:hint="eastAsia" w:ascii="宋体" w:hAnsi="宋体"/>
                <w:color w:val="auto"/>
                <w:sz w:val="24"/>
                <w:szCs w:val="24"/>
                <w:highlight w:val="none"/>
              </w:rPr>
            </w:pPr>
          </w:p>
        </w:tc>
      </w:tr>
    </w:tbl>
    <w:p>
      <w:pPr>
        <w:spacing w:line="560" w:lineRule="exact"/>
        <w:jc w:val="center"/>
        <w:rPr>
          <w:rFonts w:ascii="黑体" w:hAnsi="宋体" w:eastAsia="黑体"/>
          <w:color w:val="auto"/>
          <w:sz w:val="28"/>
          <w:szCs w:val="28"/>
          <w:highlight w:val="none"/>
        </w:rPr>
      </w:pPr>
    </w:p>
    <w:p>
      <w:pPr>
        <w:spacing w:before="0" w:beforeLines="0" w:after="0" w:afterLines="0" w:line="240" w:lineRule="auto"/>
        <w:jc w:val="left"/>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广东省以外投标企业</w:t>
      </w:r>
      <w:r>
        <w:rPr>
          <w:rFonts w:hint="eastAsia" w:ascii="宋体" w:hAnsi="宋体" w:eastAsia="宋体" w:cs="Times New Roman"/>
          <w:color w:val="auto"/>
          <w:sz w:val="24"/>
          <w:szCs w:val="24"/>
          <w:highlight w:val="none"/>
          <w:lang w:eastAsia="zh-CN"/>
        </w:rPr>
        <w:t>进粤信息登记（</w:t>
      </w:r>
      <w:r>
        <w:rPr>
          <w:rFonts w:hint="eastAsia" w:ascii="宋体" w:hAnsi="宋体" w:eastAsia="宋体" w:cs="Times New Roman"/>
          <w:color w:val="auto"/>
          <w:sz w:val="24"/>
          <w:szCs w:val="24"/>
          <w:highlight w:val="none"/>
          <w:lang w:val="en-US" w:eastAsia="zh-CN"/>
        </w:rPr>
        <w:t>扫描</w:t>
      </w:r>
      <w:r>
        <w:rPr>
          <w:rFonts w:hint="eastAsia" w:ascii="宋体" w:hAnsi="宋体" w:eastAsia="宋体" w:cs="Times New Roman"/>
          <w:color w:val="auto"/>
          <w:sz w:val="24"/>
          <w:szCs w:val="24"/>
          <w:highlight w:val="none"/>
          <w:lang w:eastAsia="zh-CN"/>
        </w:rPr>
        <w:t>件）</w:t>
      </w:r>
    </w:p>
    <w:p>
      <w:pPr>
        <w:spacing w:line="560" w:lineRule="exact"/>
        <w:jc w:val="center"/>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）投标人资格其他要求证明材料</w:t>
      </w:r>
    </w:p>
    <w:p>
      <w:pPr>
        <w:spacing w:line="560" w:lineRule="exact"/>
        <w:jc w:val="center"/>
        <w:rPr>
          <w:rFonts w:hint="eastAsia" w:ascii="黑体" w:hAnsi="宋体" w:eastAsia="黑体"/>
          <w:color w:val="auto"/>
          <w:sz w:val="36"/>
          <w:szCs w:val="36"/>
          <w:highlight w:val="none"/>
        </w:rPr>
      </w:pPr>
      <w:r>
        <w:rPr>
          <w:rFonts w:hint="eastAsia" w:ascii="宋体" w:hAnsi="宋体" w:eastAsia="宋体" w:cs="Times New Roman"/>
          <w:color w:val="auto"/>
          <w:sz w:val="24"/>
          <w:szCs w:val="24"/>
          <w:highlight w:val="none"/>
          <w:lang w:eastAsia="zh-CN"/>
        </w:rPr>
        <w:br w:type="page"/>
      </w:r>
      <w:r>
        <w:rPr>
          <w:rFonts w:ascii="黑体" w:hAnsi="宋体" w:eastAsia="黑体"/>
          <w:color w:val="auto"/>
          <w:sz w:val="36"/>
          <w:szCs w:val="36"/>
          <w:highlight w:val="none"/>
        </w:rPr>
        <w:t>3</w:t>
      </w:r>
      <w:r>
        <w:rPr>
          <w:rFonts w:hint="eastAsia" w:ascii="黑体" w:hAnsi="宋体" w:eastAsia="黑体"/>
          <w:color w:val="auto"/>
          <w:sz w:val="36"/>
          <w:szCs w:val="36"/>
          <w:highlight w:val="none"/>
        </w:rPr>
        <w:t>.投标保证金</w:t>
      </w:r>
    </w:p>
    <w:p>
      <w:pPr>
        <w:widowControl/>
        <w:spacing w:before="0" w:beforeLines="0" w:after="0" w:afterLines="0" w:line="240" w:lineRule="auto"/>
        <w:jc w:val="left"/>
        <w:outlineLvl w:val="9"/>
        <w:rPr>
          <w:rFonts w:hint="eastAsia" w:ascii="宋体" w:hAnsi="宋体"/>
          <w:color w:val="auto"/>
          <w:sz w:val="24"/>
          <w:szCs w:val="24"/>
          <w:highlight w:val="none"/>
        </w:rPr>
      </w:pPr>
      <w:r>
        <w:rPr>
          <w:rFonts w:hint="eastAsia" w:ascii="宋体" w:hAnsi="宋体"/>
          <w:color w:val="auto"/>
          <w:sz w:val="24"/>
          <w:szCs w:val="24"/>
          <w:highlight w:val="none"/>
        </w:rPr>
        <w:br w:type="textWrapping"/>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）投标人基本账户的“开户许可证”或“基本存款账户信息” 复印件（开户银行盖章确认）</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采用投标保证金承诺函除外）</w:t>
      </w:r>
    </w:p>
    <w:p>
      <w:pPr>
        <w:spacing w:before="0" w:beforeLines="0" w:after="0" w:afterLines="0" w:line="240" w:lineRule="auto"/>
        <w:jc w:val="left"/>
        <w:outlineLvl w:val="1"/>
        <w:rPr>
          <w:rFonts w:hint="eastAsia" w:ascii="宋体" w:hAnsi="宋体"/>
          <w:color w:val="auto"/>
          <w:sz w:val="24"/>
          <w:szCs w:val="24"/>
          <w:highlight w:val="none"/>
        </w:rPr>
      </w:pPr>
    </w:p>
    <w:p>
      <w:pPr>
        <w:spacing w:before="0" w:beforeLines="0" w:after="0" w:afterLines="0" w:line="240" w:lineRule="auto"/>
        <w:jc w:val="left"/>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在线递交</w:t>
      </w:r>
    </w:p>
    <w:p>
      <w:pPr>
        <w:spacing w:before="0" w:beforeLines="0" w:after="0" w:afterLines="0" w:line="240" w:lineRule="auto"/>
        <w:jc w:val="left"/>
        <w:outlineLvl w:val="1"/>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通过</w:t>
      </w:r>
      <w:r>
        <w:rPr>
          <w:rFonts w:hint="eastAsia" w:ascii="宋体" w:hAnsi="宋体" w:eastAsia="宋体" w:cs="Times New Roman"/>
          <w:color w:val="auto"/>
          <w:sz w:val="24"/>
          <w:szCs w:val="24"/>
          <w:highlight w:val="none"/>
        </w:rPr>
        <w:t>江门市公共资源交易</w:t>
      </w:r>
      <w:r>
        <w:rPr>
          <w:rFonts w:hint="eastAsia" w:ascii="宋体" w:hAnsi="宋体" w:eastAsia="宋体" w:cs="Times New Roman"/>
          <w:color w:val="auto"/>
          <w:sz w:val="24"/>
          <w:szCs w:val="24"/>
          <w:highlight w:val="none"/>
          <w:lang w:eastAsia="zh-CN"/>
        </w:rPr>
        <w:t>系统</w:t>
      </w:r>
      <w:r>
        <w:rPr>
          <w:rFonts w:hint="eastAsia" w:ascii="宋体" w:hAnsi="宋体" w:eastAsia="宋体" w:cs="Times New Roman"/>
          <w:color w:val="auto"/>
          <w:kern w:val="2"/>
          <w:sz w:val="24"/>
          <w:szCs w:val="24"/>
          <w:highlight w:val="none"/>
          <w:lang w:val="en-US" w:eastAsia="zh-CN" w:bidi="ar"/>
        </w:rPr>
        <w:t>递交保证金的（除银行转账），或通过广东省建筑市场监管公共服务平台招投标及合同履约监管系统递交保证金的，在投标文件提供投标保证金的电子单据。</w:t>
      </w:r>
    </w:p>
    <w:p>
      <w:pPr>
        <w:spacing w:before="0" w:beforeLines="0" w:after="0" w:afterLines="0" w:line="240" w:lineRule="auto"/>
        <w:jc w:val="left"/>
        <w:outlineLvl w:val="1"/>
        <w:rPr>
          <w:rFonts w:hint="eastAsia" w:ascii="宋体" w:hAnsi="宋体" w:eastAsia="宋体" w:cs="Times New Roman"/>
          <w:color w:val="auto"/>
          <w:sz w:val="24"/>
          <w:szCs w:val="24"/>
          <w:highlight w:val="none"/>
        </w:rPr>
      </w:pPr>
    </w:p>
    <w:p>
      <w:pPr>
        <w:spacing w:before="0" w:beforeLines="0" w:after="0" w:afterLines="0" w:line="240" w:lineRule="auto"/>
        <w:jc w:val="left"/>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）现场递交</w:t>
      </w:r>
    </w:p>
    <w:p>
      <w:pPr>
        <w:spacing w:before="0" w:beforeLines="0" w:after="0" w:afterLines="0" w:line="240" w:lineRule="auto"/>
        <w:jc w:val="left"/>
        <w:outlineLvl w:val="1"/>
        <w:rPr>
          <w:rFonts w:hint="eastAsia"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①</w:t>
      </w:r>
      <w:r>
        <w:rPr>
          <w:rFonts w:hint="eastAsia" w:ascii="宋体" w:hAnsi="宋体" w:eastAsia="宋体" w:cs="Times New Roman"/>
          <w:color w:val="auto"/>
          <w:sz w:val="24"/>
          <w:szCs w:val="24"/>
          <w:highlight w:val="none"/>
          <w:lang w:val="en-US" w:eastAsia="zh-CN"/>
        </w:rPr>
        <w:t>银行保函</w:t>
      </w:r>
    </w:p>
    <w:p>
      <w:pPr>
        <w:spacing w:before="0" w:beforeLines="0" w:after="0" w:afterLines="0" w:line="240" w:lineRule="auto"/>
        <w:jc w:val="left"/>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（采用银行保函的，</w:t>
      </w:r>
      <w:r>
        <w:rPr>
          <w:rFonts w:hint="eastAsia" w:ascii="宋体" w:hAnsi="宋体" w:eastAsia="宋体" w:cs="Times New Roman"/>
          <w:color w:val="auto"/>
          <w:sz w:val="24"/>
          <w:szCs w:val="24"/>
          <w:highlight w:val="none"/>
          <w:lang w:val="en-US" w:eastAsia="zh-CN"/>
        </w:rPr>
        <w:t>在投标文件</w:t>
      </w:r>
      <w:r>
        <w:rPr>
          <w:rFonts w:hint="eastAsia" w:ascii="宋体" w:hAnsi="宋体" w:eastAsia="宋体" w:cs="Times New Roman"/>
          <w:color w:val="auto"/>
          <w:sz w:val="24"/>
          <w:szCs w:val="24"/>
          <w:highlight w:val="none"/>
        </w:rPr>
        <w:t>提供以下材料：①投标保</w:t>
      </w:r>
      <w:r>
        <w:rPr>
          <w:rFonts w:hint="eastAsia" w:ascii="宋体" w:hAnsi="宋体" w:eastAsia="宋体" w:cs="Times New Roman"/>
          <w:color w:val="auto"/>
          <w:sz w:val="24"/>
          <w:szCs w:val="24"/>
          <w:highlight w:val="none"/>
          <w:lang w:eastAsia="zh-CN"/>
        </w:rPr>
        <w:t>函扫描</w:t>
      </w:r>
      <w:r>
        <w:rPr>
          <w:rFonts w:hint="eastAsia" w:ascii="宋体" w:hAnsi="宋体" w:eastAsia="宋体" w:cs="Times New Roman"/>
          <w:color w:val="auto"/>
          <w:sz w:val="24"/>
          <w:szCs w:val="24"/>
          <w:highlight w:val="none"/>
        </w:rPr>
        <w:t>件；②银行保函不是从其基本账户开户银行开具的，则须提供从其基本账户转账划付资金的收款凭证或收费凭证，凭证须注明对应的保函编号，并有银行印章）</w:t>
      </w:r>
    </w:p>
    <w:p>
      <w:pPr>
        <w:spacing w:before="0" w:beforeLines="0" w:after="0" w:afterLines="0" w:line="240" w:lineRule="auto"/>
        <w:jc w:val="left"/>
        <w:outlineLvl w:val="1"/>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②</w:t>
      </w:r>
      <w:r>
        <w:rPr>
          <w:rFonts w:hint="eastAsia" w:ascii="宋体" w:hAnsi="宋体" w:eastAsia="宋体" w:cs="Times New Roman"/>
          <w:color w:val="auto"/>
          <w:sz w:val="24"/>
          <w:szCs w:val="24"/>
          <w:highlight w:val="none"/>
        </w:rPr>
        <w:t>保证保险</w:t>
      </w:r>
    </w:p>
    <w:p>
      <w:pPr>
        <w:spacing w:before="0" w:beforeLines="0" w:after="0" w:afterLines="0" w:line="240" w:lineRule="auto"/>
        <w:jc w:val="left"/>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（采用保证保险的，</w:t>
      </w:r>
      <w:r>
        <w:rPr>
          <w:rFonts w:hint="eastAsia" w:ascii="宋体" w:hAnsi="宋体" w:eastAsia="宋体" w:cs="Times New Roman"/>
          <w:color w:val="auto"/>
          <w:sz w:val="24"/>
          <w:szCs w:val="24"/>
          <w:highlight w:val="none"/>
          <w:lang w:val="en-US" w:eastAsia="zh-CN"/>
        </w:rPr>
        <w:t>在投标文件</w:t>
      </w:r>
      <w:r>
        <w:rPr>
          <w:rFonts w:hint="eastAsia" w:ascii="宋体" w:hAnsi="宋体" w:eastAsia="宋体" w:cs="Times New Roman"/>
          <w:color w:val="auto"/>
          <w:sz w:val="24"/>
          <w:szCs w:val="24"/>
          <w:highlight w:val="none"/>
        </w:rPr>
        <w:t>提供以下材料：①投标保证保险保单</w:t>
      </w:r>
      <w:r>
        <w:rPr>
          <w:rFonts w:hint="eastAsia" w:ascii="宋体" w:hAnsi="宋体" w:eastAsia="宋体" w:cs="Times New Roman"/>
          <w:color w:val="auto"/>
          <w:sz w:val="24"/>
          <w:szCs w:val="24"/>
          <w:highlight w:val="none"/>
          <w:lang w:eastAsia="zh-CN"/>
        </w:rPr>
        <w:t>扫描</w:t>
      </w:r>
      <w:r>
        <w:rPr>
          <w:rFonts w:hint="eastAsia" w:ascii="宋体" w:hAnsi="宋体" w:eastAsia="宋体" w:cs="Times New Roman"/>
          <w:color w:val="auto"/>
          <w:sz w:val="24"/>
          <w:szCs w:val="24"/>
          <w:highlight w:val="none"/>
        </w:rPr>
        <w:t>件；②保险公司</w:t>
      </w:r>
      <w:r>
        <w:rPr>
          <w:rFonts w:hint="eastAsia" w:ascii="宋体" w:hAnsi="宋体" w:eastAsia="宋体" w:cs="Times New Roman"/>
          <w:color w:val="auto"/>
          <w:sz w:val="24"/>
          <w:szCs w:val="24"/>
          <w:highlight w:val="none"/>
          <w:lang w:eastAsia="zh-CN"/>
        </w:rPr>
        <w:t>提供</w:t>
      </w:r>
      <w:r>
        <w:rPr>
          <w:rFonts w:hint="eastAsia" w:ascii="宋体" w:hAnsi="宋体" w:eastAsia="宋体" w:cs="Times New Roman"/>
          <w:color w:val="auto"/>
          <w:sz w:val="24"/>
          <w:szCs w:val="24"/>
          <w:highlight w:val="none"/>
        </w:rPr>
        <w:t>的从投标人基本账户转账划付资金的收款凭证或收费凭证，凭证须注明对应的保证保险保单编号，并有保险公司印章）</w:t>
      </w:r>
    </w:p>
    <w:p>
      <w:pPr>
        <w:spacing w:before="0" w:beforeLines="0" w:after="0" w:afterLines="0" w:line="240" w:lineRule="auto"/>
        <w:jc w:val="left"/>
        <w:outlineLvl w:val="1"/>
        <w:rPr>
          <w:rFonts w:hint="eastAsia"/>
          <w:color w:val="auto"/>
          <w:szCs w:val="21"/>
          <w:highlight w:val="none"/>
          <w:lang w:eastAsia="zh-CN"/>
        </w:rPr>
      </w:pPr>
      <w:r>
        <w:rPr>
          <w:rFonts w:hint="default" w:ascii="宋体" w:hAnsi="宋体" w:eastAsia="宋体" w:cs="Times New Roman"/>
          <w:color w:val="auto"/>
          <w:sz w:val="24"/>
          <w:szCs w:val="24"/>
          <w:highlight w:val="none"/>
          <w:lang w:val="en-US" w:eastAsia="zh-CN"/>
        </w:rPr>
        <w:t>③</w:t>
      </w:r>
      <w:r>
        <w:rPr>
          <w:rFonts w:hint="eastAsia"/>
          <w:color w:val="auto"/>
          <w:sz w:val="24"/>
          <w:szCs w:val="24"/>
          <w:highlight w:val="none"/>
          <w:lang w:eastAsia="zh-CN"/>
        </w:rPr>
        <w:t>专业工程担保公司担保</w:t>
      </w:r>
    </w:p>
    <w:p>
      <w:pPr>
        <w:spacing w:before="0" w:beforeLines="0" w:after="0" w:afterLines="0" w:line="240" w:lineRule="auto"/>
        <w:jc w:val="left"/>
        <w:outlineLvl w:val="1"/>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Times New Roman"/>
          <w:color w:val="auto"/>
          <w:sz w:val="24"/>
          <w:szCs w:val="24"/>
          <w:highlight w:val="none"/>
        </w:rPr>
        <w:t>（采用保证保险的，</w:t>
      </w:r>
      <w:r>
        <w:rPr>
          <w:rFonts w:hint="eastAsia" w:ascii="宋体" w:hAnsi="宋体" w:eastAsia="宋体" w:cs="Times New Roman"/>
          <w:color w:val="auto"/>
          <w:sz w:val="24"/>
          <w:szCs w:val="24"/>
          <w:highlight w:val="none"/>
          <w:lang w:val="en-US" w:eastAsia="zh-CN"/>
        </w:rPr>
        <w:t>在投标文件</w:t>
      </w:r>
      <w:r>
        <w:rPr>
          <w:rFonts w:hint="eastAsia" w:ascii="宋体" w:hAnsi="宋体" w:eastAsia="宋体" w:cs="Times New Roman"/>
          <w:color w:val="auto"/>
          <w:sz w:val="24"/>
          <w:szCs w:val="24"/>
          <w:highlight w:val="none"/>
        </w:rPr>
        <w:t>提供以下材料：①投标保证保险保单</w:t>
      </w:r>
      <w:r>
        <w:rPr>
          <w:rFonts w:hint="eastAsia" w:ascii="宋体" w:hAnsi="宋体" w:eastAsia="宋体" w:cs="Times New Roman"/>
          <w:color w:val="auto"/>
          <w:sz w:val="24"/>
          <w:szCs w:val="24"/>
          <w:highlight w:val="none"/>
          <w:lang w:eastAsia="zh-CN"/>
        </w:rPr>
        <w:t>扫描</w:t>
      </w:r>
      <w:r>
        <w:rPr>
          <w:rFonts w:hint="eastAsia" w:ascii="宋体" w:hAnsi="宋体" w:eastAsia="宋体" w:cs="Times New Roman"/>
          <w:color w:val="auto"/>
          <w:sz w:val="24"/>
          <w:szCs w:val="24"/>
          <w:highlight w:val="none"/>
        </w:rPr>
        <w:t>件；②保险公司</w:t>
      </w:r>
      <w:r>
        <w:rPr>
          <w:rFonts w:hint="eastAsia" w:ascii="宋体" w:hAnsi="宋体" w:eastAsia="宋体" w:cs="Times New Roman"/>
          <w:color w:val="auto"/>
          <w:sz w:val="24"/>
          <w:szCs w:val="24"/>
          <w:highlight w:val="none"/>
          <w:lang w:eastAsia="zh-CN"/>
        </w:rPr>
        <w:t>提供</w:t>
      </w:r>
      <w:r>
        <w:rPr>
          <w:rFonts w:hint="eastAsia" w:ascii="宋体" w:hAnsi="宋体" w:eastAsia="宋体" w:cs="Times New Roman"/>
          <w:color w:val="auto"/>
          <w:sz w:val="24"/>
          <w:szCs w:val="24"/>
          <w:highlight w:val="none"/>
        </w:rPr>
        <w:t>的从投标人基本账户转账划付资金的收款凭证或收费凭证，凭证须注明对应的保证保险保单编号，并有保险公司印章）</w:t>
      </w:r>
    </w:p>
    <w:p>
      <w:pPr>
        <w:spacing w:beforeLines="0" w:afterLines="0" w:line="240" w:lineRule="auto"/>
        <w:jc w:val="left"/>
        <w:outlineLvl w:val="1"/>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Times New Roman"/>
          <w:color w:val="auto"/>
          <w:sz w:val="24"/>
          <w:szCs w:val="24"/>
          <w:highlight w:val="none"/>
          <w:lang w:val="en-US" w:eastAsia="zh-CN"/>
        </w:rPr>
        <w:t>投标保证金承诺函</w:t>
      </w:r>
    </w:p>
    <w:p>
      <w:pPr>
        <w:spacing w:before="0" w:beforeLines="0" w:after="0" w:afterLines="0" w:line="240" w:lineRule="auto"/>
        <w:jc w:val="left"/>
        <w:outlineLvl w:val="1"/>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（使用</w:t>
      </w:r>
      <w:r>
        <w:rPr>
          <w:rFonts w:hint="eastAsia" w:ascii="宋体" w:hAnsi="宋体" w:eastAsia="宋体" w:cs="Times New Roman"/>
          <w:color w:val="auto"/>
          <w:sz w:val="24"/>
          <w:szCs w:val="24"/>
          <w:highlight w:val="none"/>
          <w:lang w:eastAsia="zh-CN"/>
        </w:rPr>
        <w:t>投标保证金承诺函的，</w:t>
      </w:r>
      <w:r>
        <w:rPr>
          <w:rFonts w:hint="eastAsia" w:ascii="宋体" w:hAnsi="宋体" w:eastAsia="宋体" w:cs="Times New Roman"/>
          <w:color w:val="auto"/>
          <w:sz w:val="24"/>
          <w:szCs w:val="24"/>
          <w:highlight w:val="none"/>
          <w:lang w:val="en-US" w:eastAsia="zh-CN"/>
        </w:rPr>
        <w:t>在投标文件</w:t>
      </w:r>
      <w:r>
        <w:rPr>
          <w:rFonts w:hint="eastAsia" w:ascii="宋体" w:hAnsi="宋体" w:eastAsia="宋体" w:cs="Times New Roman"/>
          <w:color w:val="auto"/>
          <w:sz w:val="24"/>
          <w:szCs w:val="24"/>
          <w:highlight w:val="none"/>
        </w:rPr>
        <w:t>提供以下材料：①</w:t>
      </w:r>
      <w:r>
        <w:rPr>
          <w:rFonts w:hint="eastAsia" w:ascii="宋体" w:hAnsi="宋体" w:eastAsia="宋体" w:cs="Times New Roman"/>
          <w:color w:val="auto"/>
          <w:sz w:val="24"/>
          <w:szCs w:val="24"/>
          <w:highlight w:val="none"/>
          <w:lang w:val="en-US" w:eastAsia="zh-CN"/>
        </w:rPr>
        <w:t>已盖章承诺函的扫描件</w:t>
      </w: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根据承诺函选择的条件提供对应佐证材料的扫描件</w:t>
      </w:r>
      <w:r>
        <w:rPr>
          <w:rFonts w:hint="eastAsia" w:ascii="宋体" w:hAnsi="宋体" w:eastAsia="宋体" w:cs="Times New Roman"/>
          <w:color w:val="auto"/>
          <w:sz w:val="24"/>
          <w:szCs w:val="24"/>
          <w:highlight w:val="none"/>
          <w:lang w:val="en-US" w:eastAsia="zh-CN"/>
        </w:rPr>
        <w:t>）</w:t>
      </w:r>
    </w:p>
    <w:p>
      <w:pPr>
        <w:spacing w:before="0" w:beforeLines="0" w:after="0" w:afterLines="0" w:line="240" w:lineRule="auto"/>
        <w:jc w:val="left"/>
        <w:outlineLvl w:val="1"/>
        <w:rPr>
          <w:rFonts w:hint="eastAsia" w:ascii="宋体" w:hAnsi="宋体" w:eastAsia="宋体" w:cs="Times New Roman"/>
          <w:color w:val="auto"/>
          <w:sz w:val="24"/>
          <w:szCs w:val="24"/>
          <w:highlight w:val="none"/>
        </w:rPr>
      </w:pPr>
    </w:p>
    <w:p>
      <w:pPr>
        <w:spacing w:before="0" w:beforeLines="0" w:after="0" w:afterLines="0" w:line="240" w:lineRule="auto"/>
        <w:jc w:val="left"/>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备注：保函相关格式可参</w:t>
      </w:r>
      <w:r>
        <w:rPr>
          <w:rFonts w:hint="eastAsia" w:ascii="宋体" w:hAnsi="宋体" w:cs="Times New Roman"/>
          <w:color w:val="auto"/>
          <w:sz w:val="24"/>
          <w:szCs w:val="24"/>
          <w:highlight w:val="none"/>
          <w:lang w:eastAsia="zh-CN"/>
        </w:rPr>
        <w:t>考</w:t>
      </w:r>
      <w:r>
        <w:rPr>
          <w:rFonts w:hint="eastAsia" w:ascii="宋体" w:hAnsi="宋体"/>
          <w:color w:val="auto"/>
          <w:sz w:val="24"/>
          <w:szCs w:val="24"/>
          <w:highlight w:val="none"/>
          <w:lang w:eastAsia="zh-CN"/>
        </w:rPr>
        <w:t>《</w:t>
      </w:r>
      <w:r>
        <w:rPr>
          <w:rFonts w:hint="eastAsia" w:ascii="宋体" w:hAnsi="宋体"/>
          <w:color w:val="auto"/>
          <w:sz w:val="24"/>
          <w:szCs w:val="24"/>
          <w:highlight w:val="none"/>
        </w:rPr>
        <w:t>住房和城乡建设部关于印发工程保函示范文本的通知</w:t>
      </w:r>
      <w:r>
        <w:rPr>
          <w:rFonts w:hint="eastAsia" w:ascii="宋体" w:hAnsi="宋体"/>
          <w:color w:val="auto"/>
          <w:sz w:val="24"/>
          <w:szCs w:val="24"/>
          <w:highlight w:val="none"/>
          <w:lang w:eastAsia="zh-CN"/>
        </w:rPr>
        <w:t>》使用。</w:t>
      </w:r>
    </w:p>
    <w:p>
      <w:pPr>
        <w:spacing w:line="240" w:lineRule="auto"/>
        <w:rPr>
          <w:rFonts w:hint="eastAsia" w:ascii="宋体" w:hAnsi="宋体"/>
          <w:color w:val="auto"/>
          <w:szCs w:val="21"/>
          <w:highlight w:val="none"/>
        </w:rPr>
      </w:pPr>
    </w:p>
    <w:p>
      <w:pPr>
        <w:spacing w:line="240" w:lineRule="auto"/>
        <w:rPr>
          <w:rFonts w:hint="eastAsia" w:ascii="宋体" w:hAnsi="宋体"/>
          <w:color w:val="auto"/>
          <w:szCs w:val="21"/>
          <w:highlight w:val="none"/>
        </w:rPr>
      </w:pPr>
    </w:p>
    <w:p>
      <w:pPr>
        <w:spacing w:before="240" w:beforeLines="100" w:after="120" w:afterLines="50" w:line="240" w:lineRule="auto"/>
        <w:jc w:val="center"/>
        <w:rPr>
          <w:rFonts w:hint="eastAsia" w:ascii="黑体" w:hAnsi="宋体" w:eastAsia="黑体"/>
          <w:color w:val="auto"/>
          <w:sz w:val="28"/>
          <w:szCs w:val="28"/>
          <w:highlight w:val="none"/>
        </w:rPr>
      </w:pPr>
    </w:p>
    <w:p>
      <w:pPr>
        <w:spacing w:line="560" w:lineRule="exact"/>
        <w:jc w:val="center"/>
        <w:rPr>
          <w:rFonts w:hint="eastAsia" w:ascii="黑体" w:hAnsi="黑体" w:eastAsia="黑体" w:cs="黑体"/>
          <w:b/>
          <w:bCs/>
          <w:sz w:val="44"/>
          <w:szCs w:val="44"/>
          <w:highlight w:val="none"/>
          <w:lang w:val="en-US" w:eastAsia="zh-CN"/>
        </w:rPr>
      </w:pPr>
      <w:r>
        <w:rPr>
          <w:rFonts w:hint="eastAsia" w:ascii="黑体" w:eastAsia="黑体"/>
          <w:sz w:val="32"/>
          <w:szCs w:val="32"/>
          <w:highlight w:val="none"/>
          <w:lang w:val="zh-CN"/>
        </w:rPr>
        <w:br w:type="page"/>
      </w:r>
      <w:r>
        <w:rPr>
          <w:rFonts w:hint="eastAsia" w:ascii="黑体" w:hAnsi="黑体" w:eastAsia="黑体" w:cs="黑体"/>
          <w:b/>
          <w:bCs/>
          <w:sz w:val="44"/>
          <w:szCs w:val="44"/>
          <w:highlight w:val="none"/>
        </w:rPr>
        <w:t>投标保证金承诺</w:t>
      </w:r>
      <w:r>
        <w:rPr>
          <w:rFonts w:hint="eastAsia" w:ascii="黑体" w:hAnsi="黑体" w:eastAsia="黑体" w:cs="黑体"/>
          <w:b/>
          <w:bCs/>
          <w:sz w:val="44"/>
          <w:szCs w:val="44"/>
          <w:highlight w:val="none"/>
          <w:lang w:eastAsia="zh-CN"/>
        </w:rPr>
        <w:t>函</w:t>
      </w:r>
      <w:r>
        <w:rPr>
          <w:rFonts w:hint="eastAsia" w:ascii="宋体" w:hAnsi="宋体"/>
          <w:color w:val="auto"/>
          <w:sz w:val="30"/>
          <w:szCs w:val="30"/>
          <w:highlight w:val="none"/>
        </w:rPr>
        <w:t>（参考格式）</w:t>
      </w:r>
    </w:p>
    <w:p>
      <w:pPr>
        <w:spacing w:line="560" w:lineRule="exact"/>
        <w:rPr>
          <w:rFonts w:hint="eastAsia" w:ascii="宋体" w:hAnsi="宋体" w:eastAsia="宋体" w:cs="宋体"/>
          <w:sz w:val="24"/>
          <w:szCs w:val="24"/>
          <w:highlight w:val="none"/>
        </w:rPr>
      </w:pPr>
    </w:p>
    <w:p>
      <w:pPr>
        <w:widowControl/>
        <w:wordWrap/>
        <w:autoSpaceDE w:val="0"/>
        <w:autoSpaceDN w:val="0"/>
        <w:adjustRightInd w:val="0"/>
        <w:spacing w:before="0" w:after="0" w:line="400" w:lineRule="exact"/>
        <w:ind w:firstLine="0" w:firstLineChars="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致（招标人名称）：</w:t>
      </w:r>
    </w:p>
    <w:p>
      <w:pPr>
        <w:widowControl/>
        <w:wordWrap/>
        <w:autoSpaceDE w:val="0"/>
        <w:autoSpaceDN w:val="0"/>
        <w:adjustRightInd w:val="0"/>
        <w:spacing w:before="0" w:after="0" w:line="40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本投标人自愿参加</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eastAsia="zh-CN" w:bidi="ar"/>
        </w:rPr>
        <w:t>（招标项目名称）投标活动，并</w:t>
      </w:r>
      <w:r>
        <w:rPr>
          <w:rFonts w:hint="eastAsia" w:ascii="宋体" w:hAnsi="宋体" w:eastAsia="宋体" w:cs="宋体"/>
          <w:kern w:val="0"/>
          <w:sz w:val="24"/>
          <w:szCs w:val="24"/>
          <w:highlight w:val="none"/>
          <w:lang w:bidi="ar"/>
        </w:rPr>
        <w:t>严格遵守《中华人民共和国招标投标法》等法律法规和政策规定，现郑重承诺如下：</w:t>
      </w:r>
    </w:p>
    <w:p>
      <w:pPr>
        <w:widowControl/>
        <w:wordWrap/>
        <w:autoSpaceDE w:val="0"/>
        <w:autoSpaceDN w:val="0"/>
        <w:adjustRightInd w:val="0"/>
        <w:spacing w:before="0" w:after="0" w:line="400" w:lineRule="exact"/>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val="en-US" w:eastAsia="zh-CN" w:bidi="ar"/>
        </w:rPr>
        <w:t>一、</w:t>
      </w:r>
      <w:r>
        <w:rPr>
          <w:rFonts w:hint="eastAsia" w:ascii="宋体" w:hAnsi="宋体" w:eastAsia="宋体" w:cs="宋体"/>
          <w:kern w:val="0"/>
          <w:sz w:val="24"/>
          <w:szCs w:val="24"/>
          <w:highlight w:val="none"/>
          <w:lang w:eastAsia="zh-CN" w:bidi="ar"/>
        </w:rPr>
        <w:t>本投标人为符合条件的</w:t>
      </w:r>
      <w:r>
        <w:rPr>
          <w:rFonts w:hint="eastAsia" w:ascii="宋体" w:hAnsi="宋体" w:eastAsia="宋体" w:cs="宋体"/>
          <w:kern w:val="0"/>
          <w:sz w:val="24"/>
          <w:szCs w:val="24"/>
          <w:highlight w:val="none"/>
          <w:u w:val="none"/>
          <w:lang w:bidi="ar"/>
        </w:rPr>
        <w:t>（</w:t>
      </w:r>
      <w:r>
        <w:rPr>
          <w:rFonts w:hint="eastAsia" w:ascii="宋体" w:hAnsi="宋体" w:eastAsia="宋体" w:cs="宋体"/>
          <w:kern w:val="0"/>
          <w:sz w:val="24"/>
          <w:szCs w:val="24"/>
          <w:highlight w:val="none"/>
          <w:u w:val="none"/>
          <w:lang w:val="en-US" w:eastAsia="zh-CN" w:bidi="ar"/>
        </w:rPr>
        <w:t xml:space="preserve">   </w:t>
      </w:r>
      <w:r>
        <w:rPr>
          <w:rFonts w:hint="eastAsia" w:ascii="宋体" w:hAnsi="宋体" w:eastAsia="宋体" w:cs="宋体"/>
          <w:kern w:val="0"/>
          <w:sz w:val="24"/>
          <w:szCs w:val="24"/>
          <w:highlight w:val="none"/>
          <w:u w:val="none"/>
          <w:lang w:bidi="ar"/>
        </w:rPr>
        <w:t>）</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括号填写对应条件的序号即可：</w:t>
      </w:r>
      <w:r>
        <w:rPr>
          <w:rFonts w:hint="eastAsia" w:ascii="宋体" w:hAnsi="宋体" w:eastAsia="宋体" w:cs="宋体"/>
          <w:kern w:val="0"/>
          <w:sz w:val="24"/>
          <w:szCs w:val="24"/>
          <w:highlight w:val="none"/>
          <w:lang w:eastAsia="zh-CN" w:bidi="ar"/>
        </w:rPr>
        <w:t>①信用状况良好、没有失信记录的企业，②在江门市建筑业企业信用管理信用系统中信用等级为</w:t>
      </w:r>
      <w:r>
        <w:rPr>
          <w:rFonts w:hint="eastAsia" w:ascii="宋体" w:hAnsi="宋体" w:eastAsia="宋体" w:cs="宋体"/>
          <w:kern w:val="0"/>
          <w:sz w:val="24"/>
          <w:szCs w:val="24"/>
          <w:highlight w:val="none"/>
          <w:lang w:val="en-US" w:eastAsia="zh-CN" w:bidi="ar"/>
        </w:rPr>
        <w:t>A、B级的企业，③江门市龙头种子企业）</w:t>
      </w:r>
      <w:r>
        <w:rPr>
          <w:rFonts w:hint="eastAsia" w:ascii="宋体" w:hAnsi="宋体" w:eastAsia="宋体" w:cs="宋体"/>
          <w:kern w:val="0"/>
          <w:sz w:val="24"/>
          <w:szCs w:val="24"/>
          <w:highlight w:val="none"/>
          <w:lang w:bidi="ar"/>
        </w:rPr>
        <w:t>，自愿遵守招标文件要求，通过</w:t>
      </w:r>
      <w:r>
        <w:rPr>
          <w:rFonts w:hint="eastAsia" w:ascii="宋体" w:hAnsi="宋体" w:eastAsia="宋体" w:cs="宋体"/>
          <w:kern w:val="0"/>
          <w:sz w:val="24"/>
          <w:szCs w:val="24"/>
          <w:highlight w:val="none"/>
          <w:u w:val="none"/>
          <w:lang w:bidi="ar"/>
        </w:rPr>
        <w:t>提供投标保证金承诺</w:t>
      </w:r>
      <w:r>
        <w:rPr>
          <w:rFonts w:hint="eastAsia" w:ascii="宋体" w:hAnsi="宋体" w:eastAsia="宋体" w:cs="宋体"/>
          <w:kern w:val="0"/>
          <w:sz w:val="24"/>
          <w:szCs w:val="24"/>
          <w:highlight w:val="none"/>
          <w:u w:val="none"/>
          <w:lang w:eastAsia="zh-CN" w:bidi="ar"/>
        </w:rPr>
        <w:t>函</w:t>
      </w:r>
      <w:r>
        <w:rPr>
          <w:rFonts w:hint="eastAsia" w:ascii="宋体" w:hAnsi="宋体" w:eastAsia="宋体" w:cs="宋体"/>
          <w:kern w:val="0"/>
          <w:sz w:val="24"/>
          <w:szCs w:val="24"/>
          <w:highlight w:val="none"/>
          <w:lang w:bidi="ar"/>
        </w:rPr>
        <w:t>的方式</w:t>
      </w:r>
      <w:r>
        <w:rPr>
          <w:rFonts w:hint="eastAsia" w:ascii="宋体" w:hAnsi="宋体" w:eastAsia="宋体" w:cs="宋体"/>
          <w:kern w:val="0"/>
          <w:sz w:val="24"/>
          <w:szCs w:val="24"/>
          <w:highlight w:val="none"/>
          <w:u w:val="none"/>
          <w:lang w:eastAsia="zh-CN" w:bidi="ar"/>
        </w:rPr>
        <w:t>替代投标保证金</w:t>
      </w:r>
      <w:r>
        <w:rPr>
          <w:rFonts w:hint="eastAsia" w:ascii="宋体" w:hAnsi="宋体" w:eastAsia="宋体" w:cs="宋体"/>
          <w:kern w:val="0"/>
          <w:sz w:val="24"/>
          <w:szCs w:val="24"/>
          <w:highlight w:val="none"/>
          <w:lang w:eastAsia="zh-CN" w:bidi="ar"/>
        </w:rPr>
        <w:t>。</w:t>
      </w:r>
    </w:p>
    <w:p>
      <w:pPr>
        <w:widowControl/>
        <w:wordWrap/>
        <w:autoSpaceDE w:val="0"/>
        <w:autoSpaceDN w:val="0"/>
        <w:adjustRightInd w:val="0"/>
        <w:spacing w:before="0" w:after="0" w:line="40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二、本投标人</w:t>
      </w:r>
      <w:r>
        <w:rPr>
          <w:rFonts w:hint="eastAsia" w:ascii="宋体" w:hAnsi="宋体" w:eastAsia="宋体" w:cs="宋体"/>
          <w:kern w:val="0"/>
          <w:sz w:val="24"/>
          <w:szCs w:val="24"/>
          <w:highlight w:val="none"/>
          <w:lang w:bidi="ar"/>
        </w:rPr>
        <w:t>如出现投标截止后撤销投标文件</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中标后无正当理由不与招标人订立合同</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在签订合同时向招标人提出附加条件或其他法律法规规定的投标保证金不予退还的行为，自愿在招标文件约定期限内</w:t>
      </w:r>
      <w:r>
        <w:rPr>
          <w:rFonts w:hint="eastAsia" w:ascii="宋体" w:hAnsi="宋体" w:eastAsia="宋体" w:cs="宋体"/>
          <w:kern w:val="0"/>
          <w:sz w:val="24"/>
          <w:szCs w:val="24"/>
          <w:highlight w:val="none"/>
          <w:lang w:eastAsia="zh-CN" w:bidi="ar"/>
        </w:rPr>
        <w:t>足额</w:t>
      </w:r>
      <w:r>
        <w:rPr>
          <w:rFonts w:hint="eastAsia" w:ascii="宋体" w:hAnsi="宋体" w:eastAsia="宋体" w:cs="宋体"/>
          <w:kern w:val="0"/>
          <w:sz w:val="24"/>
          <w:szCs w:val="24"/>
          <w:highlight w:val="none"/>
          <w:lang w:bidi="ar"/>
        </w:rPr>
        <w:t>补缴投标保证金，否则承担因此造成的一切法律后果。</w:t>
      </w:r>
    </w:p>
    <w:p>
      <w:pPr>
        <w:widowControl/>
        <w:wordWrap/>
        <w:autoSpaceDE w:val="0"/>
        <w:autoSpaceDN w:val="0"/>
        <w:adjustRightInd w:val="0"/>
        <w:spacing w:before="0" w:after="0" w:line="40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三、如未按承诺补缴，本投标人接受在</w:t>
      </w:r>
      <w:r>
        <w:rPr>
          <w:rFonts w:hint="eastAsia" w:ascii="宋体" w:hAnsi="宋体" w:eastAsia="宋体" w:cs="宋体"/>
          <w:kern w:val="0"/>
          <w:sz w:val="24"/>
          <w:szCs w:val="24"/>
          <w:highlight w:val="none"/>
          <w:lang w:val="en-US" w:eastAsia="zh-CN" w:bidi="ar"/>
        </w:rPr>
        <w:t>2年内不予适用信用替代投标保证金方式参与投标，接受将相关失信行为记入不良信用记录等处理，因此造成的后果及招标人损失的，由本投标人承担。</w:t>
      </w:r>
      <w:r>
        <w:rPr>
          <w:rFonts w:hint="eastAsia" w:ascii="宋体" w:hAnsi="宋体" w:eastAsia="宋体" w:cs="宋体"/>
          <w:kern w:val="0"/>
          <w:sz w:val="24"/>
          <w:szCs w:val="24"/>
          <w:highlight w:val="none"/>
          <w:lang w:eastAsia="zh-CN" w:bidi="ar"/>
        </w:rPr>
        <w:t>本投标人（</w:t>
      </w:r>
      <w:r>
        <w:rPr>
          <w:rFonts w:hint="eastAsia" w:ascii="宋体" w:hAnsi="宋体" w:eastAsia="宋体" w:cs="宋体"/>
          <w:kern w:val="0"/>
          <w:sz w:val="24"/>
          <w:szCs w:val="24"/>
          <w:highlight w:val="none"/>
          <w:lang w:bidi="ar"/>
        </w:rPr>
        <w:t>联合体</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对上述承诺的真实性负责，如有虚假，愿意承担相应的法律责任，并承担因此所造成的一切损失。</w:t>
      </w:r>
    </w:p>
    <w:p>
      <w:pPr>
        <w:widowControl/>
        <w:autoSpaceDE w:val="0"/>
        <w:autoSpaceDN w:val="0"/>
        <w:adjustRightInd w:val="0"/>
        <w:spacing w:line="400" w:lineRule="exact"/>
        <w:ind w:right="0" w:firstLine="480" w:firstLineChars="200"/>
        <w:jc w:val="left"/>
        <w:rPr>
          <w:rFonts w:hint="eastAsia" w:ascii="宋体" w:hAnsi="宋体" w:eastAsia="宋体" w:cs="宋体"/>
          <w:strike w:val="0"/>
          <w:dstrike w:val="0"/>
          <w:kern w:val="0"/>
          <w:sz w:val="24"/>
          <w:szCs w:val="24"/>
          <w:highlight w:val="none"/>
          <w:lang w:bidi="ar"/>
        </w:rPr>
      </w:pPr>
    </w:p>
    <w:p>
      <w:pPr>
        <w:widowControl/>
        <w:autoSpaceDE w:val="0"/>
        <w:autoSpaceDN w:val="0"/>
        <w:adjustRightInd w:val="0"/>
        <w:spacing w:line="400" w:lineRule="exact"/>
        <w:ind w:right="0" w:firstLine="480" w:firstLineChars="200"/>
        <w:jc w:val="center"/>
        <w:rPr>
          <w:rFonts w:hint="eastAsia" w:ascii="宋体" w:hAnsi="宋体" w:eastAsia="宋体" w:cs="宋体"/>
          <w:strike w:val="0"/>
          <w:dstrike w:val="0"/>
          <w:kern w:val="0"/>
          <w:sz w:val="24"/>
          <w:szCs w:val="24"/>
          <w:highlight w:val="none"/>
          <w:lang w:val="en-US" w:eastAsia="zh-CN" w:bidi="ar"/>
        </w:rPr>
      </w:pPr>
      <w:r>
        <w:rPr>
          <w:rFonts w:hint="eastAsia" w:ascii="宋体" w:hAnsi="宋体" w:eastAsia="宋体" w:cs="宋体"/>
          <w:kern w:val="0"/>
          <w:sz w:val="24"/>
          <w:szCs w:val="24"/>
          <w:highlight w:val="none"/>
          <w:lang w:bidi="ar"/>
        </w:rPr>
        <w:t>投标人（盖公章）：</w:t>
      </w:r>
      <w:r>
        <w:rPr>
          <w:rFonts w:hint="eastAsia" w:ascii="宋体" w:hAnsi="宋体" w:eastAsia="宋体" w:cs="宋体"/>
          <w:kern w:val="0"/>
          <w:sz w:val="24"/>
          <w:szCs w:val="24"/>
          <w:highlight w:val="none"/>
          <w:u w:val="single"/>
          <w:lang w:val="en-US" w:eastAsia="zh-CN" w:bidi="ar"/>
        </w:rPr>
        <w:t xml:space="preserve">                             </w:t>
      </w:r>
    </w:p>
    <w:p>
      <w:pPr>
        <w:widowControl/>
        <w:wordWrap w:val="0"/>
        <w:autoSpaceDE w:val="0"/>
        <w:autoSpaceDN w:val="0"/>
        <w:adjustRightInd w:val="0"/>
        <w:spacing w:line="400" w:lineRule="exact"/>
        <w:ind w:right="0" w:firstLine="480" w:firstLineChars="200"/>
        <w:jc w:val="right"/>
        <w:rPr>
          <w:rFonts w:hint="eastAsia" w:ascii="宋体" w:hAnsi="宋体" w:eastAsia="宋体" w:cs="宋体"/>
          <w:strike w:val="0"/>
          <w:dstrike w:val="0"/>
          <w:kern w:val="0"/>
          <w:sz w:val="24"/>
          <w:szCs w:val="24"/>
          <w:highlight w:val="none"/>
          <w:lang w:val="en-US" w:eastAsia="zh-CN" w:bidi="ar"/>
        </w:rPr>
      </w:pPr>
      <w:r>
        <w:rPr>
          <w:rFonts w:hint="eastAsia" w:ascii="宋体" w:hAnsi="宋体" w:eastAsia="宋体" w:cs="宋体"/>
          <w:strike w:val="0"/>
          <w:dstrike w:val="0"/>
          <w:kern w:val="0"/>
          <w:sz w:val="24"/>
          <w:szCs w:val="24"/>
          <w:highlight w:val="none"/>
          <w:lang w:bidi="ar"/>
        </w:rPr>
        <w:t>日期：</w:t>
      </w:r>
      <w:r>
        <w:rPr>
          <w:rFonts w:hint="eastAsia" w:ascii="宋体" w:hAnsi="宋体" w:eastAsia="宋体" w:cs="宋体"/>
          <w:strike w:val="0"/>
          <w:dstrike w:val="0"/>
          <w:kern w:val="0"/>
          <w:sz w:val="24"/>
          <w:szCs w:val="24"/>
          <w:highlight w:val="none"/>
          <w:lang w:val="en-US" w:eastAsia="zh-CN" w:bidi="ar"/>
        </w:rPr>
        <w:t xml:space="preserve">    </w:t>
      </w:r>
      <w:r>
        <w:rPr>
          <w:rFonts w:hint="eastAsia" w:ascii="宋体" w:hAnsi="宋体" w:eastAsia="宋体" w:cs="宋体"/>
          <w:strike w:val="0"/>
          <w:dstrike w:val="0"/>
          <w:kern w:val="0"/>
          <w:sz w:val="24"/>
          <w:szCs w:val="24"/>
          <w:highlight w:val="none"/>
          <w:lang w:bidi="ar"/>
        </w:rPr>
        <w:t> </w:t>
      </w:r>
      <w:r>
        <w:rPr>
          <w:rFonts w:hint="eastAsia" w:ascii="宋体" w:hAnsi="宋体" w:eastAsia="宋体" w:cs="宋体"/>
          <w:strike w:val="0"/>
          <w:dstrike w:val="0"/>
          <w:kern w:val="0"/>
          <w:sz w:val="24"/>
          <w:szCs w:val="24"/>
          <w:highlight w:val="none"/>
          <w:lang w:val="en-US" w:eastAsia="zh-CN" w:bidi="ar"/>
        </w:rPr>
        <w:t xml:space="preserve"> </w:t>
      </w:r>
      <w:r>
        <w:rPr>
          <w:rFonts w:hint="eastAsia" w:ascii="宋体" w:hAnsi="宋体" w:eastAsia="宋体" w:cs="宋体"/>
          <w:strike w:val="0"/>
          <w:dstrike w:val="0"/>
          <w:kern w:val="0"/>
          <w:sz w:val="24"/>
          <w:szCs w:val="24"/>
          <w:highlight w:val="none"/>
          <w:lang w:bidi="ar"/>
        </w:rPr>
        <w:t>年 </w:t>
      </w:r>
      <w:r>
        <w:rPr>
          <w:rFonts w:hint="eastAsia" w:ascii="宋体" w:hAnsi="宋体" w:eastAsia="宋体" w:cs="宋体"/>
          <w:strike w:val="0"/>
          <w:dstrike w:val="0"/>
          <w:kern w:val="0"/>
          <w:sz w:val="24"/>
          <w:szCs w:val="24"/>
          <w:highlight w:val="none"/>
          <w:lang w:val="en-US" w:eastAsia="zh-CN" w:bidi="ar"/>
        </w:rPr>
        <w:t xml:space="preserve"> </w:t>
      </w:r>
      <w:r>
        <w:rPr>
          <w:rFonts w:hint="eastAsia" w:ascii="宋体" w:hAnsi="宋体" w:eastAsia="宋体" w:cs="宋体"/>
          <w:strike w:val="0"/>
          <w:dstrike w:val="0"/>
          <w:kern w:val="0"/>
          <w:sz w:val="24"/>
          <w:szCs w:val="24"/>
          <w:highlight w:val="none"/>
          <w:lang w:bidi="ar"/>
        </w:rPr>
        <w:t> 月 </w:t>
      </w:r>
      <w:r>
        <w:rPr>
          <w:rFonts w:hint="eastAsia" w:ascii="宋体" w:hAnsi="宋体" w:eastAsia="宋体" w:cs="宋体"/>
          <w:strike w:val="0"/>
          <w:dstrike w:val="0"/>
          <w:kern w:val="0"/>
          <w:sz w:val="24"/>
          <w:szCs w:val="24"/>
          <w:highlight w:val="none"/>
          <w:lang w:val="en-US" w:eastAsia="zh-CN" w:bidi="ar"/>
        </w:rPr>
        <w:t xml:space="preserve"> </w:t>
      </w:r>
      <w:r>
        <w:rPr>
          <w:rFonts w:hint="eastAsia" w:ascii="宋体" w:hAnsi="宋体" w:eastAsia="宋体" w:cs="宋体"/>
          <w:strike w:val="0"/>
          <w:dstrike w:val="0"/>
          <w:kern w:val="0"/>
          <w:sz w:val="24"/>
          <w:szCs w:val="24"/>
          <w:highlight w:val="none"/>
          <w:lang w:bidi="ar"/>
        </w:rPr>
        <w:t> 日</w:t>
      </w:r>
      <w:r>
        <w:rPr>
          <w:rFonts w:hint="eastAsia" w:ascii="宋体" w:hAnsi="宋体" w:eastAsia="宋体" w:cs="宋体"/>
          <w:strike w:val="0"/>
          <w:dstrike w:val="0"/>
          <w:kern w:val="0"/>
          <w:sz w:val="24"/>
          <w:szCs w:val="24"/>
          <w:highlight w:val="none"/>
          <w:lang w:val="en-US" w:eastAsia="zh-CN" w:bidi="ar"/>
        </w:rPr>
        <w:t xml:space="preserve">      </w:t>
      </w:r>
    </w:p>
    <w:p>
      <w:pPr>
        <w:widowControl/>
        <w:autoSpaceDE w:val="0"/>
        <w:autoSpaceDN w:val="0"/>
        <w:adjustRightInd w:val="0"/>
        <w:spacing w:line="400" w:lineRule="exact"/>
        <w:ind w:firstLine="480" w:firstLineChars="200"/>
        <w:jc w:val="left"/>
        <w:rPr>
          <w:rFonts w:hint="eastAsia" w:ascii="宋体" w:hAnsi="宋体" w:eastAsia="宋体" w:cs="宋体"/>
          <w:kern w:val="0"/>
          <w:sz w:val="24"/>
          <w:szCs w:val="24"/>
          <w:highlight w:val="none"/>
          <w:lang w:bidi="ar"/>
        </w:rPr>
      </w:pPr>
    </w:p>
    <w:p>
      <w:pPr>
        <w:widowControl/>
        <w:wordWrap/>
        <w:autoSpaceDE w:val="0"/>
        <w:autoSpaceDN w:val="0"/>
        <w:adjustRightInd w:val="0"/>
        <w:spacing w:before="0" w:after="0" w:line="400" w:lineRule="exact"/>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备注：</w:t>
      </w:r>
    </w:p>
    <w:p>
      <w:pPr>
        <w:widowControl/>
        <w:autoSpaceDE w:val="0"/>
        <w:autoSpaceDN w:val="0"/>
        <w:adjustRightInd w:val="0"/>
        <w:spacing w:line="40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w:t>
      </w:r>
      <w:r>
        <w:rPr>
          <w:rFonts w:hint="eastAsia" w:ascii="宋体" w:hAnsi="宋体" w:eastAsia="宋体" w:cs="宋体"/>
          <w:kern w:val="0"/>
          <w:sz w:val="24"/>
          <w:szCs w:val="24"/>
          <w:highlight w:val="none"/>
          <w:lang w:val="en-US" w:eastAsia="zh-CN" w:bidi="ar"/>
        </w:rPr>
        <w:t>.本函未填写视为未作承诺。</w:t>
      </w:r>
    </w:p>
    <w:p>
      <w:pPr>
        <w:widowControl/>
        <w:autoSpaceDE w:val="0"/>
        <w:autoSpaceDN w:val="0"/>
        <w:adjustRightInd w:val="0"/>
        <w:spacing w:line="400" w:lineRule="exact"/>
        <w:ind w:firstLine="480" w:firstLineChars="200"/>
        <w:jc w:val="left"/>
        <w:rPr>
          <w:rFonts w:hint="eastAsia" w:ascii="宋体" w:hAnsi="宋体" w:eastAsia="宋体" w:cs="宋体"/>
          <w:kern w:val="0"/>
          <w:sz w:val="24"/>
          <w:szCs w:val="24"/>
          <w:highlight w:val="none"/>
          <w:u w:val="none"/>
          <w:lang w:eastAsia="zh-CN" w:bidi="ar"/>
        </w:rPr>
      </w:pPr>
      <w:r>
        <w:rPr>
          <w:rFonts w:hint="eastAsia" w:ascii="宋体" w:hAnsi="宋体" w:eastAsia="宋体" w:cs="宋体"/>
          <w:kern w:val="0"/>
          <w:sz w:val="24"/>
          <w:szCs w:val="24"/>
          <w:highlight w:val="none"/>
          <w:lang w:val="en-US" w:eastAsia="zh-CN" w:bidi="ar"/>
        </w:rPr>
        <w:t>2.本函中，</w:t>
      </w:r>
      <w:r>
        <w:rPr>
          <w:rFonts w:hint="eastAsia" w:ascii="宋体" w:hAnsi="宋体" w:eastAsia="宋体" w:cs="宋体"/>
          <w:kern w:val="0"/>
          <w:sz w:val="24"/>
          <w:szCs w:val="24"/>
          <w:highlight w:val="none"/>
          <w:lang w:bidi="ar"/>
        </w:rPr>
        <w:t>以联合体形式参加</w:t>
      </w:r>
      <w:r>
        <w:rPr>
          <w:rFonts w:hint="eastAsia" w:ascii="宋体" w:hAnsi="宋体" w:eastAsia="宋体" w:cs="宋体"/>
          <w:kern w:val="0"/>
          <w:sz w:val="24"/>
          <w:szCs w:val="24"/>
          <w:highlight w:val="none"/>
          <w:lang w:eastAsia="zh-CN" w:bidi="ar"/>
        </w:rPr>
        <w:t>投标</w:t>
      </w:r>
      <w:r>
        <w:rPr>
          <w:rFonts w:hint="eastAsia" w:ascii="宋体" w:hAnsi="宋体" w:eastAsia="宋体" w:cs="宋体"/>
          <w:kern w:val="0"/>
          <w:sz w:val="24"/>
          <w:szCs w:val="24"/>
          <w:highlight w:val="none"/>
          <w:lang w:bidi="ar"/>
        </w:rPr>
        <w:t>活动</w:t>
      </w:r>
      <w:r>
        <w:rPr>
          <w:rFonts w:hint="eastAsia" w:ascii="宋体" w:hAnsi="宋体" w:eastAsia="宋体" w:cs="宋体"/>
          <w:kern w:val="0"/>
          <w:sz w:val="24"/>
          <w:szCs w:val="24"/>
          <w:highlight w:val="none"/>
          <w:lang w:eastAsia="zh-CN" w:bidi="ar"/>
        </w:rPr>
        <w:t>的投标人系指联合体牵头方</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eastAsia="zh-CN" w:bidi="ar"/>
        </w:rPr>
        <w:t>牵头方符合条件的</w:t>
      </w:r>
      <w:r>
        <w:rPr>
          <w:rFonts w:hint="eastAsia" w:ascii="宋体" w:hAnsi="宋体" w:eastAsia="宋体" w:cs="宋体"/>
          <w:kern w:val="0"/>
          <w:sz w:val="24"/>
          <w:szCs w:val="24"/>
          <w:highlight w:val="none"/>
          <w:lang w:bidi="ar"/>
        </w:rPr>
        <w:t>，联合体</w:t>
      </w:r>
      <w:r>
        <w:rPr>
          <w:rFonts w:hint="eastAsia" w:ascii="宋体" w:hAnsi="宋体" w:eastAsia="宋体" w:cs="宋体"/>
          <w:kern w:val="0"/>
          <w:sz w:val="24"/>
          <w:szCs w:val="24"/>
          <w:highlight w:val="none"/>
          <w:lang w:eastAsia="zh-CN" w:bidi="ar"/>
        </w:rPr>
        <w:t>即</w:t>
      </w:r>
      <w:r>
        <w:rPr>
          <w:rFonts w:hint="eastAsia" w:ascii="宋体" w:hAnsi="宋体" w:eastAsia="宋体" w:cs="宋体"/>
          <w:kern w:val="0"/>
          <w:sz w:val="24"/>
          <w:szCs w:val="24"/>
          <w:highlight w:val="none"/>
          <w:lang w:bidi="ar"/>
        </w:rPr>
        <w:t>视</w:t>
      </w:r>
      <w:r>
        <w:rPr>
          <w:rFonts w:hint="eastAsia" w:ascii="宋体" w:hAnsi="宋体" w:eastAsia="宋体" w:cs="宋体"/>
          <w:kern w:val="0"/>
          <w:sz w:val="24"/>
          <w:szCs w:val="24"/>
          <w:highlight w:val="none"/>
          <w:lang w:eastAsia="zh-CN" w:bidi="ar"/>
        </w:rPr>
        <w:t>为符合文件要求，</w:t>
      </w:r>
      <w:r>
        <w:rPr>
          <w:rFonts w:hint="eastAsia" w:ascii="宋体" w:hAnsi="宋体" w:eastAsia="宋体" w:cs="宋体"/>
          <w:kern w:val="0"/>
          <w:sz w:val="24"/>
          <w:szCs w:val="24"/>
          <w:highlight w:val="none"/>
          <w:u w:val="none"/>
          <w:lang w:eastAsia="zh-CN" w:bidi="ar"/>
        </w:rPr>
        <w:t>享受以</w:t>
      </w:r>
      <w:r>
        <w:rPr>
          <w:rFonts w:hint="eastAsia" w:ascii="宋体" w:hAnsi="宋体" w:eastAsia="宋体" w:cs="宋体"/>
          <w:kern w:val="0"/>
          <w:sz w:val="24"/>
          <w:szCs w:val="24"/>
          <w:highlight w:val="none"/>
          <w:u w:val="none"/>
          <w:lang w:bidi="ar"/>
        </w:rPr>
        <w:t>提供投标保证金承诺</w:t>
      </w:r>
      <w:r>
        <w:rPr>
          <w:rFonts w:hint="eastAsia" w:ascii="宋体" w:hAnsi="宋体" w:eastAsia="宋体" w:cs="宋体"/>
          <w:kern w:val="0"/>
          <w:sz w:val="24"/>
          <w:szCs w:val="24"/>
          <w:highlight w:val="none"/>
          <w:u w:val="none"/>
          <w:lang w:eastAsia="zh-CN" w:bidi="ar"/>
        </w:rPr>
        <w:t>函</w:t>
      </w:r>
      <w:r>
        <w:rPr>
          <w:rFonts w:hint="eastAsia" w:ascii="宋体" w:hAnsi="宋体" w:eastAsia="宋体" w:cs="宋体"/>
          <w:kern w:val="0"/>
          <w:sz w:val="24"/>
          <w:szCs w:val="24"/>
          <w:highlight w:val="none"/>
          <w:u w:val="none"/>
          <w:lang w:bidi="ar"/>
        </w:rPr>
        <w:t>的方式</w:t>
      </w:r>
      <w:r>
        <w:rPr>
          <w:rFonts w:hint="eastAsia" w:ascii="宋体" w:hAnsi="宋体" w:eastAsia="宋体" w:cs="宋体"/>
          <w:kern w:val="0"/>
          <w:sz w:val="24"/>
          <w:szCs w:val="24"/>
          <w:highlight w:val="none"/>
          <w:u w:val="none"/>
          <w:lang w:eastAsia="zh-CN" w:bidi="ar"/>
        </w:rPr>
        <w:t>替代投标保证金的优惠待遇。</w:t>
      </w:r>
    </w:p>
    <w:p>
      <w:pPr>
        <w:widowControl/>
        <w:autoSpaceDE w:val="0"/>
        <w:autoSpaceDN w:val="0"/>
        <w:adjustRightInd w:val="0"/>
        <w:spacing w:line="400" w:lineRule="exact"/>
        <w:ind w:firstLine="480" w:firstLineChars="200"/>
        <w:jc w:val="left"/>
        <w:rPr>
          <w:rFonts w:hint="eastAsia" w:ascii="宋体" w:hAnsi="宋体" w:eastAsia="宋体" w:cs="宋体"/>
          <w:kern w:val="0"/>
          <w:sz w:val="24"/>
          <w:szCs w:val="24"/>
          <w:highlight w:val="none"/>
          <w:u w:val="none"/>
          <w:lang w:val="en-US" w:eastAsia="zh-CN" w:bidi="ar"/>
        </w:rPr>
      </w:pPr>
      <w:r>
        <w:rPr>
          <w:rFonts w:hint="eastAsia" w:ascii="宋体" w:hAnsi="宋体" w:eastAsia="宋体" w:cs="宋体"/>
          <w:kern w:val="0"/>
          <w:sz w:val="24"/>
          <w:szCs w:val="24"/>
          <w:highlight w:val="none"/>
          <w:u w:val="none"/>
          <w:lang w:val="en-US" w:eastAsia="zh-CN" w:bidi="ar"/>
        </w:rPr>
        <w:t>3.</w:t>
      </w:r>
      <w:r>
        <w:rPr>
          <w:rFonts w:hint="eastAsia" w:ascii="宋体" w:hAnsi="宋体" w:eastAsia="宋体" w:cs="宋体"/>
          <w:kern w:val="0"/>
          <w:sz w:val="24"/>
          <w:szCs w:val="24"/>
          <w:highlight w:val="none"/>
          <w:lang w:eastAsia="zh-CN" w:bidi="ar"/>
        </w:rPr>
        <w:t>信用状况良好、没有失信记录的企业是指在投标截止时间时，</w:t>
      </w:r>
      <w:r>
        <w:rPr>
          <w:rFonts w:hint="eastAsia" w:ascii="宋体" w:hAnsi="宋体" w:eastAsia="宋体" w:cs="宋体"/>
          <w:color w:val="auto"/>
          <w:kern w:val="0"/>
          <w:sz w:val="24"/>
          <w:szCs w:val="24"/>
          <w:highlight w:val="none"/>
          <w:u w:val="none"/>
          <w:lang w:eastAsia="zh-CN" w:bidi="ar"/>
        </w:rPr>
        <w:t>在“信用中国”“信用广东”网站的公开信用报告</w:t>
      </w:r>
      <w:r>
        <w:rPr>
          <w:rFonts w:hint="eastAsia" w:ascii="宋体" w:hAnsi="宋体" w:eastAsia="宋体" w:cs="宋体"/>
          <w:kern w:val="0"/>
          <w:sz w:val="24"/>
          <w:szCs w:val="24"/>
          <w:highlight w:val="none"/>
          <w:u w:val="none"/>
          <w:lang w:eastAsia="zh-CN" w:bidi="ar"/>
        </w:rPr>
        <w:t>没有</w:t>
      </w:r>
      <w:r>
        <w:rPr>
          <w:rFonts w:hint="eastAsia" w:ascii="宋体" w:hAnsi="宋体" w:eastAsia="宋体" w:cs="宋体"/>
          <w:color w:val="auto"/>
          <w:kern w:val="0"/>
          <w:sz w:val="24"/>
          <w:szCs w:val="24"/>
          <w:highlight w:val="none"/>
          <w:u w:val="none"/>
          <w:lang w:eastAsia="zh-CN" w:bidi="ar"/>
        </w:rPr>
        <w:t>被列为严重失信主体</w:t>
      </w:r>
      <w:r>
        <w:rPr>
          <w:rFonts w:hint="eastAsia" w:ascii="宋体" w:hAnsi="宋体" w:eastAsia="宋体" w:cs="宋体"/>
          <w:kern w:val="0"/>
          <w:sz w:val="24"/>
          <w:szCs w:val="24"/>
          <w:highlight w:val="none"/>
          <w:u w:val="none"/>
          <w:lang w:eastAsia="zh-CN" w:bidi="ar"/>
        </w:rPr>
        <w:t>名单</w:t>
      </w:r>
      <w:r>
        <w:rPr>
          <w:rFonts w:hint="eastAsia" w:ascii="宋体" w:hAnsi="宋体" w:eastAsia="宋体" w:cs="宋体"/>
          <w:color w:val="auto"/>
          <w:kern w:val="0"/>
          <w:sz w:val="24"/>
          <w:szCs w:val="24"/>
          <w:highlight w:val="none"/>
          <w:u w:val="none"/>
          <w:lang w:eastAsia="zh-CN" w:bidi="ar"/>
        </w:rPr>
        <w:t>、经营异常</w:t>
      </w:r>
      <w:r>
        <w:rPr>
          <w:rFonts w:hint="eastAsia" w:ascii="宋体" w:hAnsi="宋体" w:eastAsia="宋体" w:cs="宋体"/>
          <w:kern w:val="0"/>
          <w:sz w:val="24"/>
          <w:szCs w:val="24"/>
          <w:highlight w:val="none"/>
          <w:u w:val="none"/>
          <w:lang w:eastAsia="zh-CN" w:bidi="ar"/>
        </w:rPr>
        <w:t>名录，</w:t>
      </w:r>
      <w:r>
        <w:rPr>
          <w:rFonts w:hint="eastAsia" w:ascii="宋体" w:hAnsi="宋体" w:eastAsia="宋体" w:cs="宋体"/>
          <w:color w:val="auto"/>
          <w:kern w:val="0"/>
          <w:sz w:val="24"/>
          <w:szCs w:val="24"/>
          <w:highlight w:val="none"/>
          <w:u w:val="none"/>
          <w:lang w:eastAsia="zh-CN" w:bidi="ar"/>
        </w:rPr>
        <w:t>以及没有行政处罚</w:t>
      </w:r>
      <w:r>
        <w:rPr>
          <w:rFonts w:hint="eastAsia" w:ascii="宋体" w:hAnsi="宋体" w:eastAsia="宋体" w:cs="宋体"/>
          <w:kern w:val="0"/>
          <w:sz w:val="24"/>
          <w:szCs w:val="24"/>
          <w:highlight w:val="none"/>
          <w:u w:val="none"/>
          <w:lang w:eastAsia="zh-CN" w:bidi="ar"/>
        </w:rPr>
        <w:t>等失信信息的</w:t>
      </w:r>
      <w:r>
        <w:rPr>
          <w:rFonts w:hint="eastAsia" w:ascii="宋体" w:hAnsi="宋体" w:cs="宋体"/>
          <w:kern w:val="0"/>
          <w:sz w:val="24"/>
          <w:szCs w:val="24"/>
          <w:highlight w:val="none"/>
          <w:u w:val="none"/>
          <w:lang w:eastAsia="zh-CN" w:bidi="ar"/>
        </w:rPr>
        <w:t>，且没有投标过程中出现违约失信行为的</w:t>
      </w:r>
      <w:r>
        <w:rPr>
          <w:rFonts w:hint="eastAsia" w:ascii="宋体" w:hAnsi="宋体" w:eastAsia="宋体" w:cs="宋体"/>
          <w:kern w:val="0"/>
          <w:sz w:val="24"/>
          <w:szCs w:val="24"/>
          <w:highlight w:val="none"/>
          <w:u w:val="none"/>
          <w:lang w:eastAsia="zh-CN" w:bidi="ar"/>
        </w:rPr>
        <w:t>。</w:t>
      </w:r>
    </w:p>
    <w:p>
      <w:pPr>
        <w:widowControl/>
        <w:autoSpaceDE w:val="0"/>
        <w:autoSpaceDN w:val="0"/>
        <w:adjustRightInd w:val="0"/>
        <w:spacing w:line="40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4.相关条件的符合情况以招标人（或招标代理机构）于投标截止当日的查询结果为准。</w:t>
      </w:r>
    </w:p>
    <w:p>
      <w:pPr>
        <w:widowControl/>
        <w:autoSpaceDE w:val="0"/>
        <w:autoSpaceDN w:val="0"/>
        <w:adjustRightInd w:val="0"/>
        <w:spacing w:line="400" w:lineRule="exact"/>
        <w:ind w:firstLine="420" w:firstLineChars="200"/>
        <w:jc w:val="left"/>
        <w:rPr>
          <w:rFonts w:hint="eastAsia" w:ascii="宋体" w:hAnsi="宋体" w:eastAsia="宋体" w:cs="宋体"/>
          <w:kern w:val="0"/>
          <w:sz w:val="21"/>
          <w:szCs w:val="21"/>
          <w:highlight w:val="none"/>
          <w:lang w:val="en-US" w:eastAsia="zh-CN" w:bidi="ar"/>
        </w:rPr>
      </w:pPr>
    </w:p>
    <w:p>
      <w:pPr>
        <w:spacing w:before="240" w:beforeLines="100" w:line="360" w:lineRule="auto"/>
        <w:jc w:val="both"/>
        <w:rPr>
          <w:rFonts w:hint="eastAsia" w:ascii="宋体" w:hAnsi="宋体"/>
          <w:color w:val="auto"/>
          <w:sz w:val="24"/>
          <w:highlight w:val="none"/>
        </w:rPr>
      </w:pPr>
    </w:p>
    <w:p>
      <w:pPr>
        <w:spacing w:before="240" w:beforeLines="100" w:line="360" w:lineRule="auto"/>
        <w:jc w:val="center"/>
        <w:rPr>
          <w:rFonts w:hint="eastAsia" w:ascii="黑体" w:hAnsi="黑体" w:eastAsia="黑体"/>
          <w:color w:val="auto"/>
          <w:sz w:val="36"/>
          <w:szCs w:val="36"/>
          <w:highlight w:val="none"/>
        </w:rPr>
      </w:pPr>
      <w:r>
        <w:rPr>
          <w:rFonts w:ascii="黑体" w:hAnsi="宋体" w:eastAsia="黑体"/>
          <w:color w:val="auto"/>
          <w:sz w:val="36"/>
          <w:szCs w:val="36"/>
          <w:highlight w:val="none"/>
        </w:rPr>
        <w:br w:type="page"/>
      </w:r>
      <w:r>
        <w:rPr>
          <w:rFonts w:hint="eastAsia" w:ascii="黑体" w:hAnsi="黑体" w:eastAsia="黑体"/>
          <w:color w:val="auto"/>
          <w:sz w:val="36"/>
          <w:szCs w:val="36"/>
          <w:highlight w:val="none"/>
          <w:lang w:val="en-US" w:eastAsia="zh-CN"/>
        </w:rPr>
        <w:t>4</w:t>
      </w:r>
      <w:r>
        <w:rPr>
          <w:rFonts w:hint="eastAsia" w:ascii="黑体" w:hAnsi="黑体" w:eastAsia="黑体"/>
          <w:color w:val="auto"/>
          <w:sz w:val="36"/>
          <w:szCs w:val="36"/>
          <w:highlight w:val="none"/>
        </w:rPr>
        <w:t>.联合体协议书</w:t>
      </w:r>
      <w:r>
        <w:rPr>
          <w:rFonts w:hint="eastAsia" w:ascii="宋体" w:hAnsi="宋体"/>
          <w:color w:val="auto"/>
          <w:sz w:val="30"/>
          <w:szCs w:val="30"/>
          <w:highlight w:val="none"/>
        </w:rPr>
        <w:t>（参考格式）</w:t>
      </w:r>
    </w:p>
    <w:p>
      <w:pPr>
        <w:spacing w:line="360" w:lineRule="auto"/>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鉴于上述各成员单位经过友好协商，自愿组成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（项目名称）（以下简称本工程）的施工投标并争取赢得本工程施工承包合同（以下简称合同）。现就联合体投标事宜订立如下协议：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联合体各成员单位内部的职责分工如下：</w:t>
      </w:r>
      <w:r>
        <w:rPr>
          <w:rFonts w:hint="eastAsia" w:ascii="宋体" w:hAnsi="宋体"/>
          <w:color w:val="auto"/>
          <w:szCs w:val="21"/>
          <w:highlight w:val="none"/>
          <w:u w:val="single"/>
        </w:rPr>
        <w:t xml:space="preserve">                                    </w:t>
      </w:r>
      <w:r>
        <w:rPr>
          <w:rFonts w:hint="eastAsia" w:ascii="宋体" w:hAnsi="宋体"/>
          <w:color w:val="auto"/>
          <w:szCs w:val="21"/>
          <w:highlight w:val="none"/>
        </w:rPr>
        <w:t>。按照本条上述分工，联合体成员单位各自所承担的合同工作量比例如下：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投标工作和联合体在中标后工程实施过程中的有关费用按各自承担的工作量分摊。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联合体中标后，本联合体协议是合同的附件，对联合体各成员单位有合同约束力。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本协议书自签署之日起生效，联合体未中标或者中标时合同履行完毕后自动失效。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pPr>
        <w:spacing w:line="360" w:lineRule="auto"/>
        <w:rPr>
          <w:rFonts w:hint="eastAsia" w:ascii="宋体" w:hAnsi="宋体"/>
          <w:color w:val="auto"/>
          <w:szCs w:val="21"/>
          <w:highlight w:val="none"/>
        </w:rPr>
      </w:pPr>
    </w:p>
    <w:p>
      <w:pPr>
        <w:spacing w:line="360" w:lineRule="auto"/>
        <w:ind w:firstLine="1785" w:firstLineChars="85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1785" w:firstLineChars="85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w:t>
      </w:r>
    </w:p>
    <w:p>
      <w:pPr>
        <w:spacing w:line="360" w:lineRule="auto"/>
        <w:ind w:firstLine="1785" w:firstLineChars="850"/>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1785" w:firstLineChars="85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w:t>
      </w:r>
    </w:p>
    <w:p>
      <w:pPr>
        <w:spacing w:line="360" w:lineRule="auto"/>
        <w:ind w:firstLine="2100" w:firstLineChars="1000"/>
        <w:rPr>
          <w:rFonts w:hint="eastAsia" w:ascii="宋体" w:hAnsi="宋体"/>
          <w:color w:val="auto"/>
          <w:szCs w:val="21"/>
          <w:highlight w:val="none"/>
        </w:rPr>
      </w:pPr>
      <w:r>
        <w:rPr>
          <w:rFonts w:hint="eastAsia" w:ascii="宋体" w:hAnsi="宋体"/>
          <w:color w:val="auto"/>
          <w:szCs w:val="21"/>
          <w:highlight w:val="none"/>
        </w:rPr>
        <w:t>……</w:t>
      </w:r>
    </w:p>
    <w:p>
      <w:pPr>
        <w:spacing w:line="360" w:lineRule="auto"/>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before="240" w:beforeLines="100" w:after="120" w:afterLines="50" w:line="360" w:lineRule="auto"/>
        <w:jc w:val="both"/>
        <w:rPr>
          <w:rFonts w:hint="eastAsia" w:ascii="黑体" w:hAnsi="宋体" w:eastAsia="黑体"/>
          <w:color w:val="auto"/>
          <w:sz w:val="36"/>
          <w:szCs w:val="36"/>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本协议书由委托代理人</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的，应附法定代表人</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的授权委托书。</w:t>
      </w:r>
    </w:p>
    <w:p>
      <w:pPr>
        <w:spacing w:line="360" w:lineRule="auto"/>
        <w:jc w:val="center"/>
        <w:rPr>
          <w:rFonts w:hint="eastAsia" w:ascii="黑体" w:hAnsi="宋体" w:eastAsia="黑体"/>
          <w:color w:val="auto"/>
          <w:sz w:val="36"/>
          <w:szCs w:val="36"/>
          <w:highlight w:val="none"/>
        </w:rPr>
      </w:pPr>
    </w:p>
    <w:p>
      <w:pPr>
        <w:spacing w:line="360" w:lineRule="auto"/>
        <w:jc w:val="center"/>
        <w:rPr>
          <w:rFonts w:hint="eastAsia" w:ascii="黑体" w:hAnsi="宋体" w:eastAsia="黑体"/>
          <w:color w:val="auto"/>
          <w:sz w:val="36"/>
          <w:szCs w:val="36"/>
          <w:highlight w:val="none"/>
        </w:rPr>
      </w:pPr>
    </w:p>
    <w:p>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hAnsi="宋体" w:eastAsia="黑体"/>
          <w:color w:val="auto"/>
          <w:sz w:val="36"/>
          <w:szCs w:val="36"/>
          <w:highlight w:val="none"/>
          <w:lang w:val="en-US" w:eastAsia="zh-CN"/>
        </w:rPr>
        <w:t>5</w:t>
      </w:r>
      <w:r>
        <w:rPr>
          <w:rFonts w:hint="eastAsia" w:ascii="黑体" w:hAnsi="宋体" w:eastAsia="黑体"/>
          <w:color w:val="auto"/>
          <w:sz w:val="36"/>
          <w:szCs w:val="36"/>
          <w:highlight w:val="none"/>
        </w:rPr>
        <w:t>.投标函</w:t>
      </w:r>
    </w:p>
    <w:p>
      <w:pPr>
        <w:spacing w:before="240" w:beforeLines="100" w:after="120" w:afterLines="50" w:line="360" w:lineRule="auto"/>
        <w:jc w:val="center"/>
        <w:outlineLvl w:val="1"/>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（一）投标函</w:t>
      </w:r>
    </w:p>
    <w:p>
      <w:pPr>
        <w:spacing w:line="360" w:lineRule="auto"/>
        <w:rPr>
          <w:rFonts w:hint="eastAsia" w:ascii="黑体" w:hAnsi="宋体" w:eastAsia="黑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在考察现场并充分研究</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（项目名称）（以下简称“本工程”）施工招标文件的全部内容后，我方将响应招标文件的全部规定，并承诺若中标后将按招标文件的规定执行，我方兹以：</w:t>
      </w:r>
    </w:p>
    <w:p>
      <w:pPr>
        <w:spacing w:line="360" w:lineRule="auto"/>
        <w:ind w:firstLine="1050" w:firstLineChars="50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1050" w:firstLineChars="500"/>
        <w:rPr>
          <w:rFonts w:hint="eastAsia" w:ascii="宋体" w:hAnsi="宋体"/>
          <w:color w:val="auto"/>
          <w:szCs w:val="21"/>
          <w:highlight w:val="none"/>
        </w:rPr>
      </w:pPr>
      <w:r>
        <w:rPr>
          <w:rFonts w:hint="eastAsia" w:ascii="宋体" w:hAnsi="宋体"/>
          <w:color w:val="auto"/>
          <w:szCs w:val="21"/>
          <w:highlight w:val="none"/>
        </w:rPr>
        <w:t>RMB￥：</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rPr>
          <w:rFonts w:hint="eastAsia" w:ascii="宋体" w:hAnsi="宋体"/>
          <w:color w:val="auto"/>
          <w:szCs w:val="21"/>
          <w:highlight w:val="none"/>
        </w:rPr>
      </w:pPr>
      <w:r>
        <w:rPr>
          <w:rFonts w:hint="eastAsia" w:ascii="宋体" w:hAnsi="宋体"/>
          <w:color w:val="auto"/>
          <w:szCs w:val="21"/>
          <w:highlight w:val="none"/>
        </w:rPr>
        <w:t>的投标价格和按合同约定有权得到的</w:t>
      </w:r>
      <w:r>
        <w:rPr>
          <w:rFonts w:hint="eastAsia" w:ascii="宋体" w:hAnsi="宋体"/>
          <w:color w:val="auto"/>
          <w:szCs w:val="21"/>
          <w:highlight w:val="none"/>
          <w:lang w:eastAsia="zh-CN"/>
        </w:rPr>
        <w:t>其他</w:t>
      </w:r>
      <w:r>
        <w:rPr>
          <w:rFonts w:hint="eastAsia" w:ascii="宋体" w:hAnsi="宋体"/>
          <w:color w:val="auto"/>
          <w:szCs w:val="21"/>
          <w:highlight w:val="none"/>
        </w:rPr>
        <w:t>金额，并严格按照合同约定，施工、竣工和交付本工程并维修其中的任何缺陷。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在我方的上述投标报价中，包括：</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安全生产</w:t>
      </w:r>
      <w:r>
        <w:rPr>
          <w:rFonts w:hint="eastAsia" w:ascii="宋体" w:hAnsi="宋体"/>
          <w:color w:val="auto"/>
          <w:szCs w:val="21"/>
          <w:highlight w:val="none"/>
        </w:rPr>
        <w:t>措施费RMB￥：</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暂列金额（不包括计日工部分）RMB￥：</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暂估价RMB￥：</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如果我方中标，我方保证在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日或按照合同约定的开工日期开始本工程的施工，</w:t>
      </w:r>
      <w:r>
        <w:rPr>
          <w:rFonts w:hint="eastAsia" w:ascii="宋体" w:hAnsi="宋体"/>
          <w:color w:val="auto"/>
          <w:szCs w:val="21"/>
          <w:highlight w:val="none"/>
          <w:u w:val="single"/>
        </w:rPr>
        <w:t xml:space="preserve">      </w:t>
      </w:r>
      <w:r>
        <w:rPr>
          <w:rFonts w:hint="eastAsia" w:ascii="宋体" w:hAnsi="宋体"/>
          <w:color w:val="auto"/>
          <w:szCs w:val="21"/>
          <w:highlight w:val="none"/>
        </w:rPr>
        <w:t>天（日历日）内竣工，并确保工程质量达到</w:t>
      </w:r>
      <w:r>
        <w:rPr>
          <w:rFonts w:hint="eastAsia" w:ascii="宋体" w:hAnsi="宋体"/>
          <w:color w:val="auto"/>
          <w:szCs w:val="21"/>
          <w:highlight w:val="none"/>
          <w:u w:val="single"/>
        </w:rPr>
        <w:t xml:space="preserve">      </w:t>
      </w:r>
      <w:r>
        <w:rPr>
          <w:rFonts w:hint="eastAsia" w:ascii="宋体" w:hAnsi="宋体"/>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我方在此声明，所递交的投标文件及有关资料内容完整、真实和准确，且不存在“投标人须知”第1.4.3项规定的任何一种情形。</w:t>
      </w:r>
    </w:p>
    <w:p>
      <w:pPr>
        <w:spacing w:line="360" w:lineRule="auto"/>
        <w:ind w:firstLine="420" w:firstLineChars="200"/>
        <w:rPr>
          <w:rFonts w:hint="eastAsia" w:ascii="宋体" w:hAnsi="宋体"/>
          <w:color w:val="auto"/>
          <w:szCs w:val="21"/>
          <w:highlight w:val="none"/>
        </w:rPr>
      </w:pPr>
    </w:p>
    <w:p>
      <w:pPr>
        <w:spacing w:line="360" w:lineRule="auto"/>
        <w:ind w:firstLine="3150" w:firstLineChars="1500"/>
        <w:rPr>
          <w:rFonts w:hint="eastAsia" w:ascii="宋体" w:hAnsi="宋体"/>
          <w:color w:val="auto"/>
          <w:szCs w:val="21"/>
          <w:highlight w:val="none"/>
        </w:rPr>
      </w:pPr>
      <w:r>
        <w:rPr>
          <w:rFonts w:hint="eastAsia" w:ascii="宋体" w:hAnsi="宋体"/>
          <w:color w:val="auto"/>
          <w:szCs w:val="21"/>
          <w:highlight w:val="none"/>
        </w:rPr>
        <w:t>投标人（盖</w:t>
      </w:r>
      <w:r>
        <w:rPr>
          <w:rFonts w:hint="eastAsia" w:ascii="宋体" w:hAnsi="宋体"/>
          <w:color w:val="auto"/>
          <w:szCs w:val="21"/>
          <w:highlight w:val="none"/>
          <w:lang w:eastAsia="zh-CN"/>
        </w:rPr>
        <w:t>单位</w:t>
      </w:r>
      <w:r>
        <w:rPr>
          <w:rFonts w:hint="eastAsia" w:ascii="宋体" w:hAnsi="宋体"/>
          <w:color w:val="auto"/>
          <w:szCs w:val="21"/>
          <w:highlight w:val="none"/>
        </w:rPr>
        <w:t>公章）：</w:t>
      </w:r>
    </w:p>
    <w:p>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法人代表或委托代理人（</w:t>
      </w:r>
      <w:r>
        <w:rPr>
          <w:rFonts w:hint="eastAsia" w:ascii="宋体" w:hAnsi="宋体"/>
          <w:color w:val="auto"/>
          <w:szCs w:val="44"/>
          <w:highlight w:val="none"/>
        </w:rPr>
        <w:t>签</w:t>
      </w:r>
      <w:r>
        <w:rPr>
          <w:rFonts w:hint="eastAsia" w:ascii="宋体" w:hAnsi="宋体"/>
          <w:color w:val="auto"/>
          <w:szCs w:val="44"/>
          <w:highlight w:val="none"/>
          <w:lang w:eastAsia="zh-CN"/>
        </w:rPr>
        <w:t>名</w:t>
      </w:r>
      <w:r>
        <w:rPr>
          <w:rFonts w:hint="eastAsia" w:ascii="宋体" w:hAnsi="宋体"/>
          <w:color w:val="auto"/>
          <w:szCs w:val="21"/>
          <w:highlight w:val="none"/>
        </w:rPr>
        <w:t>）：</w:t>
      </w:r>
    </w:p>
    <w:p>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日期：         年      月      日</w:t>
      </w:r>
    </w:p>
    <w:p>
      <w:pPr>
        <w:spacing w:line="360" w:lineRule="auto"/>
        <w:ind w:firstLine="420" w:firstLineChars="200"/>
        <w:jc w:val="center"/>
        <w:rPr>
          <w:rFonts w:hint="eastAsia" w:ascii="黑体" w:hAnsi="宋体" w:eastAsia="黑体"/>
          <w:color w:val="auto"/>
          <w:sz w:val="32"/>
          <w:szCs w:val="32"/>
          <w:highlight w:val="none"/>
        </w:rPr>
      </w:pPr>
      <w:r>
        <w:rPr>
          <w:rFonts w:hint="eastAsia" w:ascii="宋体" w:hAnsi="宋体"/>
          <w:color w:val="auto"/>
          <w:szCs w:val="21"/>
          <w:highlight w:val="none"/>
        </w:rPr>
        <w:br w:type="page"/>
      </w:r>
      <w:r>
        <w:rPr>
          <w:rFonts w:hint="eastAsia" w:ascii="黑体" w:hAnsi="宋体" w:eastAsia="黑体"/>
          <w:color w:val="auto"/>
          <w:sz w:val="32"/>
          <w:szCs w:val="32"/>
          <w:highlight w:val="none"/>
        </w:rPr>
        <w:t>（二）投标函附录</w:t>
      </w:r>
    </w:p>
    <w:p>
      <w:pPr>
        <w:spacing w:line="360" w:lineRule="auto"/>
        <w:rPr>
          <w:rFonts w:hint="eastAsia" w:ascii="宋体" w:hAnsi="宋体"/>
          <w:color w:val="auto"/>
          <w:szCs w:val="21"/>
          <w:highlight w:val="none"/>
        </w:rPr>
      </w:pPr>
      <w:r>
        <w:rPr>
          <w:rFonts w:hint="eastAsia" w:ascii="宋体" w:hAnsi="宋体"/>
          <w:b/>
          <w:color w:val="auto"/>
          <w:szCs w:val="21"/>
          <w:highlight w:val="none"/>
        </w:rPr>
        <w:t>工程名称：</w:t>
      </w:r>
      <w:r>
        <w:rPr>
          <w:rFonts w:hint="eastAsia" w:ascii="宋体" w:hAnsi="宋体"/>
          <w:color w:val="auto"/>
          <w:szCs w:val="21"/>
          <w:highlight w:val="none"/>
          <w:u w:val="single"/>
        </w:rPr>
        <w:t xml:space="preserve">               （项目名称）         </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14"/>
        <w:gridCol w:w="1306"/>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 号</w:t>
            </w:r>
          </w:p>
        </w:tc>
        <w:tc>
          <w:tcPr>
            <w:tcW w:w="261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条款内容</w:t>
            </w:r>
          </w:p>
        </w:tc>
        <w:tc>
          <w:tcPr>
            <w:tcW w:w="130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合同条款号</w:t>
            </w:r>
          </w:p>
        </w:tc>
        <w:tc>
          <w:tcPr>
            <w:tcW w:w="436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约定内容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项目负责人</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2</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工期</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3</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缺陷责任期</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4</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承包人履约担保金额</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5</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分包</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strike/>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6</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逾期竣工违约金</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7</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逾期竣工违约金最高限额</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8</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质量标准</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9</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价格调整的差额计算</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strike/>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10</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预付款额度</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11</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质量保证金扣留百分比</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12</w:t>
            </w:r>
          </w:p>
        </w:tc>
        <w:tc>
          <w:tcPr>
            <w:tcW w:w="2614"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质量保证金额度</w:t>
            </w:r>
          </w:p>
        </w:tc>
        <w:tc>
          <w:tcPr>
            <w:tcW w:w="1306" w:type="dxa"/>
            <w:noWrap w:val="0"/>
            <w:tcMar>
              <w:left w:w="170" w:type="dxa"/>
            </w:tcMar>
            <w:vAlign w:val="bottom"/>
          </w:tcPr>
          <w:p>
            <w:pPr>
              <w:rPr>
                <w:rFonts w:hint="eastAsia" w:ascii="宋体" w:hAnsi="宋体" w:cs="宋体"/>
                <w:strike/>
                <w:color w:val="auto"/>
                <w:sz w:val="22"/>
                <w:szCs w:val="22"/>
                <w:highlight w:val="none"/>
              </w:rPr>
            </w:pPr>
            <w:r>
              <w:rPr>
                <w:rFonts w:hint="eastAsia" w:ascii="宋体" w:hAnsi="宋体" w:cs="宋体"/>
                <w:strike/>
                <w:color w:val="auto"/>
                <w:sz w:val="22"/>
                <w:szCs w:val="22"/>
                <w:highlight w:val="none"/>
              </w:rPr>
              <w:t xml:space="preserve">        </w:t>
            </w:r>
          </w:p>
        </w:tc>
        <w:tc>
          <w:tcPr>
            <w:tcW w:w="4364" w:type="dxa"/>
            <w:noWrap w:val="0"/>
            <w:vAlign w:val="bottom"/>
          </w:tcPr>
          <w:p>
            <w:pPr>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c>
          <w:tcPr>
            <w:tcW w:w="261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c>
          <w:tcPr>
            <w:tcW w:w="1306" w:type="dxa"/>
            <w:noWrap w:val="0"/>
            <w:vAlign w:val="center"/>
          </w:tcPr>
          <w:p>
            <w:pPr>
              <w:jc w:val="center"/>
              <w:rPr>
                <w:rFonts w:hint="eastAsia" w:ascii="宋体" w:hAnsi="宋体"/>
                <w:color w:val="auto"/>
                <w:szCs w:val="21"/>
                <w:highlight w:val="none"/>
              </w:rPr>
            </w:pPr>
          </w:p>
        </w:tc>
        <w:tc>
          <w:tcPr>
            <w:tcW w:w="4364"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135" w:type="dxa"/>
            <w:gridSpan w:val="4"/>
            <w:noWrap w:val="0"/>
            <w:vAlign w:val="center"/>
          </w:tcPr>
          <w:p>
            <w:pPr>
              <w:jc w:val="left"/>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合同条款号根据实际填写。投标</w:t>
            </w:r>
            <w:r>
              <w:rPr>
                <w:rFonts w:ascii="宋体" w:hAnsi="宋体"/>
                <w:color w:val="auto"/>
                <w:szCs w:val="21"/>
                <w:highlight w:val="none"/>
              </w:rPr>
              <w:t>人</w:t>
            </w:r>
            <w:r>
              <w:rPr>
                <w:rFonts w:hint="eastAsia" w:ascii="宋体" w:hAnsi="宋体"/>
                <w:color w:val="auto"/>
                <w:szCs w:val="21"/>
                <w:highlight w:val="none"/>
              </w:rPr>
              <w:t>填写的约定</w:t>
            </w:r>
            <w:r>
              <w:rPr>
                <w:rFonts w:ascii="宋体" w:hAnsi="宋体"/>
                <w:color w:val="auto"/>
                <w:szCs w:val="21"/>
                <w:highlight w:val="none"/>
              </w:rPr>
              <w:t>内容应符合招标文件实质</w:t>
            </w:r>
            <w:r>
              <w:rPr>
                <w:rFonts w:hint="eastAsia" w:ascii="宋体" w:hAnsi="宋体"/>
                <w:color w:val="auto"/>
                <w:szCs w:val="21"/>
                <w:highlight w:val="none"/>
              </w:rPr>
              <w:t>性</w:t>
            </w:r>
            <w:r>
              <w:rPr>
                <w:rFonts w:ascii="宋体" w:hAnsi="宋体"/>
                <w:color w:val="auto"/>
                <w:szCs w:val="21"/>
                <w:highlight w:val="none"/>
              </w:rPr>
              <w:t>要求</w:t>
            </w:r>
            <w:r>
              <w:rPr>
                <w:rFonts w:hint="eastAsia" w:ascii="宋体" w:hAnsi="宋体"/>
                <w:color w:val="auto"/>
                <w:szCs w:val="21"/>
                <w:highlight w:val="none"/>
              </w:rPr>
              <w:t>。</w:t>
            </w:r>
          </w:p>
        </w:tc>
      </w:tr>
    </w:tbl>
    <w:p>
      <w:pPr>
        <w:spacing w:after="120" w:afterLines="50" w:line="360" w:lineRule="auto"/>
        <w:rPr>
          <w:rFonts w:hint="eastAsia" w:ascii="宋体" w:hAnsi="宋体"/>
          <w:b/>
          <w:strike/>
          <w:color w:val="auto"/>
          <w:szCs w:val="21"/>
          <w:highlight w:val="none"/>
        </w:rPr>
      </w:pPr>
    </w:p>
    <w:p>
      <w:pPr>
        <w:spacing w:line="360" w:lineRule="auto"/>
        <w:jc w:val="center"/>
        <w:rPr>
          <w:rFonts w:hint="eastAsia" w:ascii="黑体" w:hAnsi="宋体" w:eastAsia="黑体"/>
          <w:color w:val="auto"/>
          <w:sz w:val="36"/>
          <w:szCs w:val="36"/>
          <w:highlight w:val="none"/>
        </w:rPr>
      </w:pPr>
      <w:r>
        <w:rPr>
          <w:rFonts w:ascii="黑体" w:hAnsi="宋体" w:eastAsia="黑体"/>
          <w:color w:val="auto"/>
          <w:sz w:val="36"/>
          <w:szCs w:val="36"/>
          <w:highlight w:val="none"/>
        </w:rPr>
        <w:br w:type="page"/>
      </w:r>
      <w:r>
        <w:rPr>
          <w:rFonts w:hint="eastAsia" w:ascii="黑体" w:hAnsi="宋体" w:eastAsia="黑体"/>
          <w:color w:val="auto"/>
          <w:sz w:val="36"/>
          <w:szCs w:val="36"/>
          <w:highlight w:val="none"/>
          <w:lang w:val="en-US" w:eastAsia="zh-CN"/>
        </w:rPr>
        <w:t>6</w:t>
      </w:r>
      <w:r>
        <w:rPr>
          <w:rFonts w:hint="eastAsia" w:ascii="黑体" w:hAnsi="宋体" w:eastAsia="黑体"/>
          <w:color w:val="auto"/>
          <w:sz w:val="36"/>
          <w:szCs w:val="36"/>
          <w:highlight w:val="none"/>
        </w:rPr>
        <w:t>.法定代表人身份证明</w:t>
      </w:r>
      <w:r>
        <w:rPr>
          <w:rFonts w:hint="eastAsia" w:ascii="宋体" w:hAnsi="宋体"/>
          <w:color w:val="auto"/>
          <w:sz w:val="30"/>
          <w:szCs w:val="30"/>
          <w:highlight w:val="none"/>
        </w:rPr>
        <w:t>（参考格式）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宋体" w:eastAsia="黑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人：</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        别：</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spacing w:line="360" w:lineRule="auto"/>
        <w:rPr>
          <w:rFonts w:hint="eastAsia" w:ascii="黑体" w:hAnsi="黑体" w:eastAsia="黑体"/>
          <w:color w:val="auto"/>
          <w:sz w:val="28"/>
          <w:szCs w:val="28"/>
          <w:highlight w:val="none"/>
        </w:rPr>
      </w:pPr>
    </w:p>
    <w:p>
      <w:pPr>
        <w:spacing w:line="360" w:lineRule="auto"/>
        <w:rPr>
          <w:rFonts w:hint="eastAsia" w:ascii="黑体" w:hAnsi="黑体" w:eastAsia="黑体"/>
          <w:color w:val="auto"/>
          <w:sz w:val="28"/>
          <w:szCs w:val="28"/>
          <w:highlight w:val="none"/>
        </w:rPr>
      </w:pPr>
    </w:p>
    <w:p>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lang w:val="en-US" w:eastAsia="zh-CN"/>
        </w:rPr>
        <w:t>7.</w:t>
      </w:r>
      <w:r>
        <w:rPr>
          <w:rFonts w:hint="eastAsia" w:ascii="黑体" w:hAnsi="宋体" w:eastAsia="黑体"/>
          <w:color w:val="auto"/>
          <w:sz w:val="36"/>
          <w:szCs w:val="36"/>
          <w:highlight w:val="none"/>
        </w:rPr>
        <w:t>授权委托书</w:t>
      </w:r>
      <w:r>
        <w:rPr>
          <w:rFonts w:hint="eastAsia" w:ascii="宋体" w:hAnsi="宋体"/>
          <w:color w:val="auto"/>
          <w:sz w:val="30"/>
          <w:szCs w:val="30"/>
          <w:highlight w:val="none"/>
        </w:rPr>
        <w:t>（参考格式）</w:t>
      </w:r>
    </w:p>
    <w:p>
      <w:pPr>
        <w:spacing w:line="240" w:lineRule="auto"/>
        <w:ind w:firstLine="480" w:firstLineChars="200"/>
        <w:rPr>
          <w:rFonts w:hint="eastAsia" w:ascii="宋体" w:hAnsi="宋体"/>
          <w:color w:val="auto"/>
          <w:sz w:val="24"/>
          <w:highlight w:val="none"/>
        </w:rPr>
      </w:pPr>
    </w:p>
    <w:p>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（项目名称）      </w:t>
      </w:r>
      <w:r>
        <w:rPr>
          <w:rFonts w:hint="eastAsia" w:ascii="宋体" w:hAnsi="宋体"/>
          <w:color w:val="auto"/>
          <w:sz w:val="24"/>
          <w:highlight w:val="none"/>
        </w:rPr>
        <w:t>施工投标文件、签订合同和处理有关事宜，其法律后果由我方承担。</w:t>
      </w:r>
    </w:p>
    <w:p>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240" w:lineRule="auto"/>
        <w:ind w:firstLine="1440" w:firstLineChars="60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p>
    <w:p>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附：法定代表人身份证明</w:t>
      </w:r>
    </w:p>
    <w:p>
      <w:pPr>
        <w:spacing w:line="360" w:lineRule="auto"/>
        <w:rPr>
          <w:rFonts w:hint="eastAsia" w:ascii="宋体" w:hAnsi="宋体"/>
          <w:color w:val="auto"/>
          <w:sz w:val="24"/>
          <w:highlight w:val="none"/>
        </w:rPr>
      </w:pPr>
    </w:p>
    <w:p>
      <w:pPr>
        <w:spacing w:line="360" w:lineRule="auto"/>
        <w:ind w:firstLine="3120" w:firstLineChars="130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（盖单位公章）</w:t>
      </w:r>
    </w:p>
    <w:p>
      <w:pPr>
        <w:spacing w:line="360" w:lineRule="auto"/>
        <w:ind w:firstLine="3120" w:firstLineChars="1300"/>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w:t>
      </w:r>
      <w:r>
        <w:rPr>
          <w:rFonts w:hint="eastAsia" w:ascii="宋体" w:hAnsi="宋体"/>
          <w:color w:val="auto"/>
          <w:sz w:val="24"/>
          <w:highlight w:val="none"/>
          <w:lang w:eastAsia="zh-CN"/>
        </w:rPr>
        <w:t>名</w:t>
      </w:r>
      <w:r>
        <w:rPr>
          <w:rFonts w:hint="eastAsia" w:ascii="宋体" w:hAnsi="宋体"/>
          <w:color w:val="auto"/>
          <w:sz w:val="24"/>
          <w:highlight w:val="none"/>
        </w:rPr>
        <w:t>）</w:t>
      </w:r>
    </w:p>
    <w:p>
      <w:pPr>
        <w:spacing w:line="360" w:lineRule="auto"/>
        <w:ind w:firstLine="3120" w:firstLineChars="1300"/>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ind w:firstLine="3120" w:firstLineChars="1300"/>
        <w:rPr>
          <w:rFonts w:hint="eastAsia"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w:t>
      </w:r>
      <w:r>
        <w:rPr>
          <w:rFonts w:hint="eastAsia" w:ascii="宋体" w:hAnsi="宋体"/>
          <w:color w:val="auto"/>
          <w:sz w:val="24"/>
          <w:highlight w:val="none"/>
          <w:lang w:eastAsia="zh-CN"/>
        </w:rPr>
        <w:t>名</w:t>
      </w:r>
      <w:r>
        <w:rPr>
          <w:rFonts w:hint="eastAsia" w:ascii="宋体" w:hAnsi="宋体"/>
          <w:color w:val="auto"/>
          <w:sz w:val="24"/>
          <w:highlight w:val="none"/>
        </w:rPr>
        <w:t>）</w:t>
      </w:r>
    </w:p>
    <w:p>
      <w:pPr>
        <w:spacing w:line="360" w:lineRule="auto"/>
        <w:ind w:firstLine="3120" w:firstLineChars="1300"/>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ind w:firstLine="4920" w:firstLineChars="2050"/>
        <w:rPr>
          <w:rFonts w:hint="eastAsia"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rFonts w:hint="eastAsia" w:ascii="黑体" w:hAnsi="宋体" w:eastAsia="黑体"/>
          <w:color w:val="auto"/>
          <w:sz w:val="36"/>
          <w:szCs w:val="36"/>
          <w:highlight w:val="none"/>
        </w:rPr>
      </w:pPr>
      <w:r>
        <w:rPr>
          <w:rFonts w:ascii="黑体" w:hAnsi="宋体" w:eastAsia="黑体"/>
          <w:color w:val="auto"/>
          <w:sz w:val="36"/>
          <w:szCs w:val="36"/>
          <w:highlight w:val="none"/>
        </w:rPr>
        <w:br w:type="page"/>
      </w:r>
      <w:r>
        <w:rPr>
          <w:rFonts w:hint="eastAsia" w:ascii="黑体" w:hAnsi="宋体" w:eastAsia="黑体"/>
          <w:color w:val="auto"/>
          <w:sz w:val="36"/>
          <w:szCs w:val="36"/>
          <w:highlight w:val="none"/>
          <w:lang w:val="en-US" w:eastAsia="zh-CN"/>
        </w:rPr>
        <w:t>8</w:t>
      </w:r>
      <w:r>
        <w:rPr>
          <w:rFonts w:hint="eastAsia" w:ascii="黑体" w:hAnsi="宋体" w:eastAsia="黑体"/>
          <w:color w:val="auto"/>
          <w:sz w:val="36"/>
          <w:szCs w:val="36"/>
          <w:highlight w:val="none"/>
        </w:rPr>
        <w:t>.已标价工程量清单</w:t>
      </w:r>
    </w:p>
    <w:p>
      <w:pPr>
        <w:spacing w:line="360" w:lineRule="auto"/>
        <w:ind w:firstLine="420" w:firstLineChars="200"/>
        <w:rPr>
          <w:rFonts w:hint="eastAsia" w:ascii="宋体" w:hAnsi="宋体"/>
          <w:color w:val="auto"/>
          <w:szCs w:val="21"/>
          <w:highlight w:val="none"/>
        </w:rPr>
      </w:pPr>
      <w:r>
        <w:rPr>
          <w:rFonts w:hint="eastAsia" w:ascii="黑体" w:hAnsi="宋体" w:eastAsia="黑体"/>
          <w:color w:val="auto"/>
          <w:szCs w:val="21"/>
          <w:highlight w:val="none"/>
        </w:rPr>
        <w:t>说明：</w:t>
      </w:r>
      <w:r>
        <w:rPr>
          <w:rFonts w:hint="eastAsia" w:ascii="宋体" w:hAnsi="宋体" w:eastAsia="宋体" w:cs="Times New Roman"/>
          <w:color w:val="auto"/>
          <w:szCs w:val="28"/>
          <w:highlight w:val="none"/>
        </w:rPr>
        <w:t>1</w:t>
      </w:r>
      <w:r>
        <w:rPr>
          <w:rFonts w:hint="eastAsia" w:ascii="宋体" w:hAnsi="宋体" w:eastAsia="宋体" w:cs="Times New Roman"/>
          <w:color w:val="auto"/>
          <w:szCs w:val="28"/>
          <w:highlight w:val="none"/>
          <w:lang w:val="en-US" w:eastAsia="zh-CN"/>
        </w:rPr>
        <w:t>.</w:t>
      </w:r>
      <w:r>
        <w:rPr>
          <w:rFonts w:hint="eastAsia" w:ascii="宋体" w:hAnsi="宋体" w:eastAsia="宋体" w:cs="Times New Roman"/>
          <w:color w:val="auto"/>
          <w:szCs w:val="28"/>
          <w:highlight w:val="none"/>
          <w:lang w:eastAsia="zh-CN"/>
        </w:rPr>
        <w:t>已标价</w:t>
      </w:r>
      <w:r>
        <w:rPr>
          <w:rFonts w:hint="eastAsia" w:ascii="宋体" w:hAnsi="宋体" w:eastAsia="宋体" w:cs="Times New Roman"/>
          <w:color w:val="auto"/>
          <w:szCs w:val="28"/>
          <w:highlight w:val="none"/>
        </w:rPr>
        <w:t>工</w:t>
      </w:r>
      <w:r>
        <w:rPr>
          <w:rFonts w:hint="eastAsia" w:ascii="宋体" w:hAnsi="宋体"/>
          <w:color w:val="auto"/>
          <w:szCs w:val="28"/>
          <w:highlight w:val="none"/>
        </w:rPr>
        <w:t>程量清单的组成、编制、计价、格式、项目编码、项目名称、工程内容、计量单位和工程量计算规则</w:t>
      </w:r>
      <w:r>
        <w:rPr>
          <w:rFonts w:hint="eastAsia" w:ascii="宋体" w:hAnsi="宋体"/>
          <w:color w:val="auto"/>
          <w:szCs w:val="21"/>
          <w:highlight w:val="none"/>
        </w:rPr>
        <w:t>按照</w:t>
      </w:r>
      <w:r>
        <w:rPr>
          <w:rFonts w:hint="eastAsia" w:cs="宋体"/>
          <w:color w:val="auto"/>
          <w:kern w:val="2"/>
          <w:sz w:val="21"/>
          <w:szCs w:val="21"/>
          <w:highlight w:val="none"/>
          <w:lang w:eastAsia="zh-CN"/>
        </w:rPr>
        <w:t>现行实施的</w:t>
      </w:r>
      <w:r>
        <w:rPr>
          <w:rFonts w:hint="eastAsia" w:ascii="宋体" w:hAnsi="宋体"/>
          <w:color w:val="auto"/>
          <w:szCs w:val="21"/>
          <w:highlight w:val="none"/>
        </w:rPr>
        <w:t>《建设工程工程量清单计价</w:t>
      </w:r>
      <w:r>
        <w:rPr>
          <w:rFonts w:hint="eastAsia" w:ascii="宋体" w:hAnsi="宋体"/>
          <w:color w:val="auto"/>
          <w:szCs w:val="21"/>
          <w:highlight w:val="none"/>
          <w:lang w:eastAsia="zh-CN"/>
        </w:rPr>
        <w:t>标准》《</w:t>
      </w:r>
      <w:r>
        <w:rPr>
          <w:rFonts w:hint="eastAsia" w:ascii="宋体" w:hAnsi="宋体"/>
          <w:color w:val="auto"/>
          <w:szCs w:val="21"/>
          <w:highlight w:val="none"/>
        </w:rPr>
        <w:t>广东省建设工程计价依据（2018）》和招标人发出的工程量清单的统一格式执行</w:t>
      </w:r>
      <w:r>
        <w:rPr>
          <w:rFonts w:hint="eastAsia" w:ascii="宋体" w:hAnsi="宋体"/>
          <w:color w:val="auto"/>
          <w:szCs w:val="21"/>
          <w:highlight w:val="none"/>
          <w:lang w:eastAsia="zh-CN"/>
        </w:rPr>
        <w:t>，如遇政策调整，则按最新文件执行</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在报价文件后附“造价工程师注册证书”，委托造价咨询单位编制投标报价的应提供“委托书”或“协议书”，造价工程师注册执业单位必须与投标人或受委托造价咨询单位（指受委托编制投标报价的）相符）。</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560" w:lineRule="exact"/>
        <w:jc w:val="left"/>
        <w:rPr>
          <w:rFonts w:hint="eastAsia" w:ascii="黑体" w:hAnsi="黑体" w:eastAsia="黑体"/>
          <w:color w:val="auto"/>
          <w:sz w:val="22"/>
          <w:szCs w:val="32"/>
          <w:highlight w:val="none"/>
        </w:rPr>
      </w:pPr>
    </w:p>
    <w:p>
      <w:pPr>
        <w:spacing w:line="560" w:lineRule="exact"/>
        <w:jc w:val="left"/>
        <w:rPr>
          <w:rFonts w:hint="eastAsia" w:ascii="黑体" w:hAnsi="黑体" w:eastAsia="黑体"/>
          <w:color w:val="auto"/>
          <w:sz w:val="22"/>
          <w:szCs w:val="32"/>
          <w:highlight w:val="none"/>
        </w:rPr>
      </w:pPr>
    </w:p>
    <w:p>
      <w:pPr>
        <w:spacing w:line="560" w:lineRule="exact"/>
        <w:jc w:val="left"/>
        <w:rPr>
          <w:rFonts w:hint="eastAsia" w:ascii="黑体" w:hAnsi="黑体" w:eastAsia="黑体"/>
          <w:color w:val="auto"/>
          <w:sz w:val="22"/>
          <w:szCs w:val="32"/>
          <w:highlight w:val="none"/>
        </w:rPr>
      </w:pPr>
    </w:p>
    <w:p>
      <w:pPr>
        <w:spacing w:line="560" w:lineRule="exact"/>
        <w:jc w:val="left"/>
        <w:rPr>
          <w:rFonts w:hint="eastAsia" w:ascii="黑体" w:hAnsi="黑体" w:eastAsia="黑体"/>
          <w:color w:val="auto"/>
          <w:sz w:val="22"/>
          <w:szCs w:val="32"/>
          <w:highlight w:val="none"/>
        </w:rPr>
      </w:pPr>
      <w:r>
        <w:rPr>
          <w:rFonts w:ascii="黑体" w:hAnsi="黑体" w:eastAsia="黑体"/>
          <w:color w:val="auto"/>
          <w:sz w:val="22"/>
          <w:szCs w:val="32"/>
          <w:highlight w:val="none"/>
        </w:rPr>
        <w:br w:type="page"/>
      </w:r>
      <w:r>
        <w:rPr>
          <w:rFonts w:hint="eastAsia" w:ascii="黑体" w:hAnsi="黑体" w:eastAsia="黑体"/>
          <w:color w:val="auto"/>
          <w:sz w:val="22"/>
          <w:szCs w:val="32"/>
          <w:highlight w:val="none"/>
        </w:rPr>
        <w:t>投标总价扉页格式</w:t>
      </w:r>
    </w:p>
    <w:p>
      <w:pPr>
        <w:spacing w:line="560" w:lineRule="exact"/>
        <w:jc w:val="center"/>
        <w:rPr>
          <w:rFonts w:hint="eastAsia" w:ascii="宋体" w:hAnsi="宋体"/>
          <w:color w:val="auto"/>
          <w:spacing w:val="6"/>
          <w:sz w:val="48"/>
          <w:szCs w:val="21"/>
          <w:highlight w:val="none"/>
        </w:rPr>
      </w:pPr>
      <w:r>
        <w:rPr>
          <w:rFonts w:hint="eastAsia" w:ascii="宋体" w:hAnsi="宋体"/>
          <w:color w:val="auto"/>
          <w:spacing w:val="6"/>
          <w:sz w:val="48"/>
          <w:szCs w:val="21"/>
          <w:highlight w:val="none"/>
        </w:rPr>
        <w:t>投标总价</w:t>
      </w:r>
    </w:p>
    <w:p>
      <w:pPr>
        <w:spacing w:line="560" w:lineRule="exact"/>
        <w:jc w:val="center"/>
        <w:rPr>
          <w:rFonts w:hint="eastAsia" w:ascii="仿宋_GB2312" w:eastAsia="仿宋_GB2312"/>
          <w:color w:val="auto"/>
          <w:sz w:val="32"/>
          <w:szCs w:val="32"/>
          <w:highlight w:val="none"/>
        </w:rPr>
      </w:pPr>
    </w:p>
    <w:p>
      <w:pPr>
        <w:spacing w:line="560" w:lineRule="exact"/>
        <w:jc w:val="left"/>
        <w:rPr>
          <w:rFonts w:hint="eastAsia" w:ascii="仿宋_GB2312" w:eastAsia="仿宋_GB2312"/>
          <w:color w:val="auto"/>
          <w:sz w:val="28"/>
          <w:szCs w:val="32"/>
          <w:highlight w:val="none"/>
          <w:u w:val="single"/>
        </w:rPr>
      </w:pPr>
      <w:r>
        <w:rPr>
          <w:rFonts w:hint="eastAsia" w:ascii="仿宋_GB2312" w:eastAsia="仿宋_GB2312"/>
          <w:color w:val="auto"/>
          <w:sz w:val="28"/>
          <w:szCs w:val="32"/>
          <w:highlight w:val="none"/>
        </w:rPr>
        <w:t>招   标   人：</w:t>
      </w:r>
      <w:r>
        <w:rPr>
          <w:rFonts w:hint="eastAsia" w:ascii="仿宋_GB2312" w:eastAsia="仿宋_GB2312"/>
          <w:color w:val="auto"/>
          <w:sz w:val="28"/>
          <w:szCs w:val="32"/>
          <w:highlight w:val="none"/>
          <w:u w:val="single"/>
        </w:rPr>
        <w:t xml:space="preserve">                                   </w:t>
      </w:r>
      <w:r>
        <w:rPr>
          <w:rFonts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u w:val="single"/>
        </w:rPr>
        <w:t xml:space="preserve">              </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u w:val="single"/>
        </w:rPr>
      </w:pPr>
      <w:r>
        <w:rPr>
          <w:rFonts w:hint="eastAsia" w:ascii="仿宋_GB2312" w:eastAsia="仿宋_GB2312"/>
          <w:color w:val="auto"/>
          <w:sz w:val="28"/>
          <w:szCs w:val="32"/>
          <w:highlight w:val="none"/>
        </w:rPr>
        <w:t>工 程 名 称：</w:t>
      </w:r>
      <w:r>
        <w:rPr>
          <w:rFonts w:hint="eastAsia" w:ascii="仿宋_GB2312" w:eastAsia="仿宋_GB2312"/>
          <w:color w:val="auto"/>
          <w:sz w:val="28"/>
          <w:szCs w:val="32"/>
          <w:highlight w:val="none"/>
          <w:u w:val="single"/>
        </w:rPr>
        <w:t xml:space="preserve">                                    </w:t>
      </w:r>
      <w:r>
        <w:rPr>
          <w:rFonts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u w:val="single"/>
        </w:rPr>
        <w:t xml:space="preserve">             </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u w:val="single"/>
        </w:rPr>
      </w:pPr>
      <w:r>
        <w:rPr>
          <w:rFonts w:hint="eastAsia" w:ascii="仿宋_GB2312" w:eastAsia="仿宋_GB2312"/>
          <w:color w:val="auto"/>
          <w:sz w:val="28"/>
          <w:szCs w:val="32"/>
          <w:highlight w:val="none"/>
        </w:rPr>
        <w:t>投标总价（小写）：</w:t>
      </w:r>
      <w:r>
        <w:rPr>
          <w:rFonts w:hint="eastAsia" w:ascii="仿宋_GB2312" w:eastAsia="仿宋_GB2312"/>
          <w:color w:val="auto"/>
          <w:sz w:val="28"/>
          <w:szCs w:val="32"/>
          <w:highlight w:val="none"/>
          <w:u w:val="single"/>
        </w:rPr>
        <w:t xml:space="preserve">                               </w:t>
      </w:r>
      <w:r>
        <w:rPr>
          <w:rFonts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u w:val="single"/>
        </w:rPr>
        <w:t xml:space="preserve">              </w:t>
      </w:r>
    </w:p>
    <w:p>
      <w:pPr>
        <w:spacing w:line="560" w:lineRule="exact"/>
        <w:jc w:val="left"/>
        <w:rPr>
          <w:rFonts w:hint="eastAsia" w:ascii="仿宋_GB2312" w:eastAsia="仿宋_GB2312"/>
          <w:color w:val="auto"/>
          <w:sz w:val="28"/>
          <w:szCs w:val="32"/>
          <w:highlight w:val="none"/>
          <w:u w:val="single"/>
        </w:rPr>
      </w:pPr>
      <w:r>
        <w:rPr>
          <w:rFonts w:hint="eastAsia" w:ascii="仿宋_GB2312" w:eastAsia="仿宋_GB2312"/>
          <w:color w:val="auto"/>
          <w:sz w:val="28"/>
          <w:szCs w:val="32"/>
          <w:highlight w:val="none"/>
        </w:rPr>
        <w:t xml:space="preserve">        （大写）：</w:t>
      </w:r>
      <w:r>
        <w:rPr>
          <w:rFonts w:hint="eastAsia" w:ascii="仿宋_GB2312" w:eastAsia="仿宋_GB2312"/>
          <w:color w:val="auto"/>
          <w:sz w:val="28"/>
          <w:szCs w:val="32"/>
          <w:highlight w:val="none"/>
          <w:u w:val="single"/>
        </w:rPr>
        <w:t xml:space="preserve">                                </w:t>
      </w:r>
      <w:r>
        <w:rPr>
          <w:rFonts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u w:val="single"/>
        </w:rPr>
        <w:t xml:space="preserve">             </w:t>
      </w:r>
    </w:p>
    <w:p>
      <w:pPr>
        <w:spacing w:line="560" w:lineRule="exact"/>
        <w:jc w:val="left"/>
        <w:rPr>
          <w:rFonts w:hint="eastAsia" w:ascii="仿宋_GB2312" w:eastAsia="仿宋_GB2312"/>
          <w:color w:val="auto"/>
          <w:sz w:val="28"/>
          <w:szCs w:val="32"/>
          <w:highlight w:val="none"/>
          <w:u w:val="single"/>
        </w:rPr>
      </w:pPr>
    </w:p>
    <w:p>
      <w:pPr>
        <w:spacing w:line="56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投   标   人：</w:t>
      </w:r>
      <w:r>
        <w:rPr>
          <w:rFonts w:hint="eastAsia"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rPr>
        <w:t>（单位公章）</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法定代表人或其授权人：</w:t>
      </w:r>
      <w:r>
        <w:rPr>
          <w:rFonts w:hint="eastAsia"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rPr>
        <w:t>（签</w:t>
      </w:r>
      <w:r>
        <w:rPr>
          <w:rFonts w:hint="eastAsia" w:ascii="仿宋_GB2312" w:eastAsia="仿宋_GB2312"/>
          <w:color w:val="auto"/>
          <w:sz w:val="28"/>
          <w:szCs w:val="32"/>
          <w:highlight w:val="none"/>
          <w:lang w:eastAsia="zh-CN"/>
        </w:rPr>
        <w:t>名</w:t>
      </w:r>
      <w:r>
        <w:rPr>
          <w:rFonts w:hint="eastAsia" w:ascii="仿宋_GB2312" w:eastAsia="仿宋_GB2312"/>
          <w:color w:val="auto"/>
          <w:sz w:val="28"/>
          <w:szCs w:val="32"/>
          <w:highlight w:val="none"/>
        </w:rPr>
        <w:t>）</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报价文件编制单位法定代表人或其授权人：</w:t>
      </w:r>
      <w:r>
        <w:rPr>
          <w:rFonts w:hint="eastAsia" w:ascii="仿宋_GB2312" w:eastAsia="仿宋_GB2312"/>
          <w:color w:val="auto"/>
          <w:sz w:val="28"/>
          <w:szCs w:val="32"/>
          <w:highlight w:val="none"/>
          <w:u w:val="single"/>
        </w:rPr>
        <w:t xml:space="preserve">        </w:t>
      </w:r>
      <w:r>
        <w:rPr>
          <w:rFonts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rPr>
        <w:t>（签</w:t>
      </w:r>
      <w:r>
        <w:rPr>
          <w:rFonts w:hint="eastAsia" w:ascii="仿宋_GB2312" w:eastAsia="仿宋_GB2312"/>
          <w:color w:val="auto"/>
          <w:sz w:val="28"/>
          <w:szCs w:val="32"/>
          <w:highlight w:val="none"/>
          <w:lang w:eastAsia="zh-CN"/>
        </w:rPr>
        <w:t>名</w:t>
      </w:r>
      <w:r>
        <w:rPr>
          <w:rFonts w:hint="eastAsia" w:ascii="仿宋_GB2312" w:eastAsia="仿宋_GB2312"/>
          <w:color w:val="auto"/>
          <w:sz w:val="28"/>
          <w:szCs w:val="32"/>
          <w:highlight w:val="none"/>
        </w:rPr>
        <w:t>）</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复   核   人：</w:t>
      </w:r>
      <w:r>
        <w:rPr>
          <w:rFonts w:hint="eastAsia"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rPr>
        <w:t>（签</w:t>
      </w:r>
      <w:r>
        <w:rPr>
          <w:rFonts w:hint="eastAsia" w:ascii="仿宋_GB2312" w:eastAsia="仿宋_GB2312"/>
          <w:color w:val="auto"/>
          <w:sz w:val="28"/>
          <w:szCs w:val="32"/>
          <w:highlight w:val="none"/>
          <w:lang w:eastAsia="zh-CN"/>
        </w:rPr>
        <w:t>名</w:t>
      </w:r>
      <w:r>
        <w:rPr>
          <w:rFonts w:hint="eastAsia" w:ascii="仿宋_GB2312" w:eastAsia="仿宋_GB2312"/>
          <w:color w:val="auto"/>
          <w:sz w:val="28"/>
          <w:szCs w:val="32"/>
          <w:highlight w:val="none"/>
        </w:rPr>
        <w:t>并盖</w:t>
      </w:r>
      <w:r>
        <w:rPr>
          <w:rFonts w:hint="eastAsia" w:ascii="仿宋_GB2312" w:eastAsia="仿宋_GB2312"/>
          <w:color w:val="auto"/>
          <w:sz w:val="28"/>
          <w:szCs w:val="32"/>
          <w:highlight w:val="none"/>
          <w:lang w:eastAsia="zh-CN"/>
        </w:rPr>
        <w:t>注册执业</w:t>
      </w:r>
      <w:r>
        <w:rPr>
          <w:rFonts w:hint="eastAsia" w:ascii="仿宋_GB2312" w:eastAsia="仿宋_GB2312"/>
          <w:color w:val="auto"/>
          <w:sz w:val="28"/>
          <w:szCs w:val="32"/>
          <w:highlight w:val="none"/>
        </w:rPr>
        <w:t>章）</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编   制   人：</w:t>
      </w:r>
      <w:r>
        <w:rPr>
          <w:rFonts w:hint="eastAsia" w:ascii="仿宋_GB2312" w:eastAsia="仿宋_GB2312"/>
          <w:color w:val="auto"/>
          <w:sz w:val="28"/>
          <w:szCs w:val="32"/>
          <w:highlight w:val="none"/>
          <w:u w:val="single"/>
        </w:rPr>
        <w:t xml:space="preserve">                                  </w:t>
      </w:r>
      <w:r>
        <w:rPr>
          <w:rFonts w:hint="eastAsia" w:ascii="仿宋_GB2312" w:eastAsia="仿宋_GB2312"/>
          <w:color w:val="auto"/>
          <w:sz w:val="28"/>
          <w:szCs w:val="32"/>
          <w:highlight w:val="none"/>
        </w:rPr>
        <w:t>（签</w:t>
      </w:r>
      <w:r>
        <w:rPr>
          <w:rFonts w:hint="eastAsia" w:ascii="仿宋_GB2312" w:eastAsia="仿宋_GB2312"/>
          <w:color w:val="auto"/>
          <w:sz w:val="28"/>
          <w:szCs w:val="32"/>
          <w:highlight w:val="none"/>
          <w:lang w:eastAsia="zh-CN"/>
        </w:rPr>
        <w:t>名并</w:t>
      </w:r>
      <w:r>
        <w:rPr>
          <w:rFonts w:hint="eastAsia" w:ascii="仿宋_GB2312" w:eastAsia="仿宋_GB2312"/>
          <w:color w:val="auto"/>
          <w:sz w:val="28"/>
          <w:szCs w:val="32"/>
          <w:highlight w:val="none"/>
        </w:rPr>
        <w:t>盖</w:t>
      </w:r>
      <w:r>
        <w:rPr>
          <w:rFonts w:hint="eastAsia" w:ascii="仿宋_GB2312" w:eastAsia="仿宋_GB2312"/>
          <w:color w:val="auto"/>
          <w:sz w:val="28"/>
          <w:szCs w:val="32"/>
          <w:highlight w:val="none"/>
          <w:lang w:eastAsia="zh-CN"/>
        </w:rPr>
        <w:t>注册执业</w:t>
      </w:r>
      <w:r>
        <w:rPr>
          <w:rFonts w:hint="eastAsia" w:ascii="仿宋_GB2312" w:eastAsia="仿宋_GB2312"/>
          <w:color w:val="auto"/>
          <w:sz w:val="28"/>
          <w:szCs w:val="32"/>
          <w:highlight w:val="none"/>
        </w:rPr>
        <w:t>章）</w:t>
      </w: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p>
    <w:p>
      <w:pPr>
        <w:spacing w:line="560" w:lineRule="exact"/>
        <w:jc w:val="left"/>
        <w:rPr>
          <w:rFonts w:hint="eastAsia" w:ascii="仿宋_GB2312" w:eastAsia="仿宋_GB2312"/>
          <w:color w:val="auto"/>
          <w:sz w:val="28"/>
          <w:szCs w:val="32"/>
          <w:highlight w:val="none"/>
        </w:rPr>
      </w:pPr>
    </w:p>
    <w:p>
      <w:pPr>
        <w:spacing w:line="560" w:lineRule="exact"/>
        <w:jc w:val="center"/>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时间：         年    月     日</w:t>
      </w:r>
    </w:p>
    <w:p>
      <w:pPr>
        <w:spacing w:line="240" w:lineRule="auto"/>
        <w:jc w:val="center"/>
        <w:rPr>
          <w:rFonts w:hint="eastAsia" w:ascii="黑体" w:hAnsi="宋体" w:eastAsia="黑体"/>
          <w:color w:val="auto"/>
          <w:sz w:val="36"/>
          <w:szCs w:val="36"/>
          <w:highlight w:val="none"/>
        </w:rPr>
      </w:pPr>
      <w:r>
        <w:rPr>
          <w:rFonts w:ascii="宋体" w:hAnsi="宋体"/>
          <w:color w:val="auto"/>
          <w:szCs w:val="21"/>
          <w:highlight w:val="none"/>
        </w:rPr>
        <w:br w:type="page"/>
      </w:r>
      <w:r>
        <w:rPr>
          <w:rFonts w:hint="eastAsia" w:ascii="黑体" w:hAnsi="宋体" w:eastAsia="黑体"/>
          <w:color w:val="auto"/>
          <w:sz w:val="36"/>
          <w:szCs w:val="36"/>
          <w:highlight w:val="none"/>
          <w:lang w:val="en-US" w:eastAsia="zh-CN"/>
        </w:rPr>
        <w:t>9</w:t>
      </w:r>
      <w:r>
        <w:rPr>
          <w:rFonts w:hint="eastAsia" w:ascii="黑体" w:hAnsi="宋体" w:eastAsia="黑体"/>
          <w:color w:val="auto"/>
          <w:sz w:val="36"/>
          <w:szCs w:val="36"/>
          <w:highlight w:val="none"/>
        </w:rPr>
        <w:t>.工程承诺书参考格式</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outlineLvl w:val="1"/>
        <w:rPr>
          <w:rFonts w:hint="eastAsia" w:ascii="黑体" w:hAnsi="宋体" w:eastAsia="黑体"/>
          <w:color w:val="auto"/>
          <w:sz w:val="32"/>
          <w:szCs w:val="32"/>
          <w:highlight w:val="none"/>
        </w:rPr>
      </w:pPr>
      <w:r>
        <w:rPr>
          <w:rFonts w:ascii="黑体" w:hAnsi="宋体" w:eastAsia="黑体"/>
          <w:color w:val="auto"/>
          <w:sz w:val="32"/>
          <w:szCs w:val="32"/>
          <w:highlight w:val="none"/>
        </w:rPr>
        <w:t>工程承诺书</w:t>
      </w:r>
    </w:p>
    <w:p>
      <w:pPr>
        <w:pStyle w:val="17"/>
        <w:ind w:firstLine="0"/>
        <w:jc w:val="center"/>
        <w:rPr>
          <w:rFonts w:hAnsi="Tahoma" w:eastAsia="Tahoma"/>
          <w:b/>
          <w:bCs/>
          <w:color w:val="auto"/>
          <w:sz w:val="21"/>
          <w:szCs w:val="21"/>
          <w:highlight w:val="none"/>
        </w:rPr>
      </w:pPr>
      <w:r>
        <w:rPr>
          <w:rFonts w:hint="eastAsia" w:hAnsi="Tahoma" w:eastAsia="Tahoma"/>
          <w:b/>
          <w:bCs/>
          <w:color w:val="auto"/>
          <w:sz w:val="21"/>
          <w:szCs w:val="21"/>
          <w:highlight w:val="none"/>
        </w:rPr>
        <w:t>（</w:t>
      </w:r>
      <w:r>
        <w:rPr>
          <w:rFonts w:hint="eastAsia" w:hAnsi="Tahoma" w:eastAsia="宋体"/>
          <w:b/>
          <w:bCs/>
          <w:color w:val="auto"/>
          <w:sz w:val="21"/>
          <w:szCs w:val="21"/>
          <w:highlight w:val="none"/>
        </w:rPr>
        <w:t>投标人应在本格式样板基础上，可根据工程项目实际情况对相关条款进行增加</w:t>
      </w:r>
      <w:r>
        <w:rPr>
          <w:rFonts w:hint="eastAsia" w:hAnsi="Tahoma" w:eastAsia="Tahoma"/>
          <w:b/>
          <w:bCs/>
          <w:color w:val="auto"/>
          <w:sz w:val="21"/>
          <w:szCs w:val="21"/>
          <w:highlight w:val="none"/>
        </w:rPr>
        <w:t>）</w:t>
      </w:r>
    </w:p>
    <w:p>
      <w:pPr>
        <w:pStyle w:val="17"/>
        <w:spacing w:line="240" w:lineRule="auto"/>
        <w:rPr>
          <w:rFonts w:hint="eastAsia" w:hAnsi="Tahoma" w:eastAsia="宋体"/>
          <w:color w:val="auto"/>
          <w:spacing w:val="0"/>
          <w:sz w:val="21"/>
          <w:szCs w:val="21"/>
          <w:highlight w:val="none"/>
        </w:rPr>
      </w:pPr>
    </w:p>
    <w:p>
      <w:pPr>
        <w:pStyle w:val="17"/>
        <w:spacing w:line="240" w:lineRule="auto"/>
        <w:ind w:firstLine="0"/>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致：</w:t>
      </w:r>
      <w:r>
        <w:rPr>
          <w:rFonts w:hint="eastAsia" w:ascii="宋体" w:hAnsi="宋体" w:eastAsia="宋体" w:cs="宋体"/>
          <w:color w:val="auto"/>
          <w:spacing w:val="0"/>
          <w:sz w:val="21"/>
          <w:szCs w:val="21"/>
          <w:highlight w:val="none"/>
          <w:u w:val="single"/>
        </w:rPr>
        <w:t>　　　　　　　　　    　　　  　　　　</w:t>
      </w:r>
      <w:r>
        <w:rPr>
          <w:rFonts w:hint="eastAsia" w:ascii="宋体" w:hAnsi="宋体" w:eastAsia="宋体" w:cs="宋体"/>
          <w:color w:val="auto"/>
          <w:spacing w:val="0"/>
          <w:sz w:val="21"/>
          <w:szCs w:val="21"/>
          <w:highlight w:val="none"/>
        </w:rPr>
        <w:t>（招标人名称）：</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根据你方招标的</w:t>
      </w:r>
      <w:r>
        <w:rPr>
          <w:rFonts w:hint="eastAsia" w:ascii="宋体" w:hAnsi="宋体" w:eastAsia="宋体" w:cs="宋体"/>
          <w:color w:val="auto"/>
          <w:spacing w:val="0"/>
          <w:sz w:val="21"/>
          <w:szCs w:val="21"/>
          <w:highlight w:val="none"/>
          <w:u w:val="single"/>
        </w:rPr>
        <w:t>　　　　    　　     　　　　　　</w:t>
      </w:r>
      <w:r>
        <w:rPr>
          <w:rFonts w:hint="eastAsia" w:ascii="宋体" w:hAnsi="宋体" w:eastAsia="宋体" w:cs="宋体"/>
          <w:color w:val="auto"/>
          <w:spacing w:val="0"/>
          <w:sz w:val="21"/>
          <w:szCs w:val="21"/>
          <w:highlight w:val="none"/>
        </w:rPr>
        <w:t>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w:t>
      </w:r>
      <w:r>
        <w:rPr>
          <w:rFonts w:hint="eastAsia" w:ascii="宋体" w:hAnsi="宋体" w:eastAsia="宋体" w:cs="宋体"/>
          <w:color w:val="auto"/>
          <w:spacing w:val="0"/>
          <w:sz w:val="21"/>
          <w:szCs w:val="21"/>
          <w:highlight w:val="none"/>
        </w:rPr>
        <w:t>我方愿以所报的投标总价并按上述图纸、合同条款、工程建设标准和工程量清单的条件要求承包上述工程的施工、竣工，并承担任何质量缺陷保修责任，实行综合单价风险包干。</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我方将派出</w:t>
      </w:r>
      <w:r>
        <w:rPr>
          <w:rFonts w:hint="eastAsia" w:ascii="宋体" w:hAnsi="宋体" w:eastAsia="宋体" w:cs="宋体"/>
          <w:color w:val="auto"/>
          <w:spacing w:val="0"/>
          <w:sz w:val="21"/>
          <w:szCs w:val="21"/>
          <w:highlight w:val="none"/>
          <w:u w:val="single"/>
        </w:rPr>
        <w:t>　　　　　　</w:t>
      </w:r>
      <w:r>
        <w:rPr>
          <w:rFonts w:hint="eastAsia" w:ascii="宋体" w:hAnsi="宋体" w:eastAsia="宋体" w:cs="宋体"/>
          <w:color w:val="auto"/>
          <w:spacing w:val="0"/>
          <w:sz w:val="21"/>
          <w:szCs w:val="21"/>
          <w:highlight w:val="none"/>
        </w:rPr>
        <w:t>（项目负责人姓名）作为本次招标工程的项目负责人。项目负责人将认真履行项目负责人管理岗位职责</w:t>
      </w:r>
      <w:r>
        <w:rPr>
          <w:rFonts w:hint="eastAsia" w:asci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对工程项目施工全过程及整个现场承担全面管理的责任和义务</w:t>
      </w:r>
      <w:r>
        <w:rPr>
          <w:rFonts w:hint="eastAsia" w:asci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并保证常驻现场。</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在中标后，投入本工程的技术人员和管理人员将常驻现场，并不随意更换所拟派的项目技术人员和管理人员，如确需更换，须报监理公司、发包人审批认可，并经项目行政主管部门或委托监督机构审批同意方可更换。</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4.</w:t>
      </w:r>
      <w:r>
        <w:rPr>
          <w:rFonts w:hint="eastAsia" w:ascii="宋体" w:hAnsi="宋体" w:eastAsia="宋体" w:cs="宋体"/>
          <w:color w:val="auto"/>
          <w:spacing w:val="0"/>
          <w:sz w:val="21"/>
          <w:szCs w:val="21"/>
          <w:highlight w:val="none"/>
        </w:rPr>
        <w:t>一旦我方中标，我方保证按合同协议书中规定的工期</w:t>
      </w:r>
      <w:r>
        <w:rPr>
          <w:rFonts w:hint="eastAsia" w:ascii="宋体" w:hAnsi="宋体" w:eastAsia="宋体" w:cs="宋体"/>
          <w:color w:val="auto"/>
          <w:spacing w:val="0"/>
          <w:sz w:val="21"/>
          <w:szCs w:val="21"/>
          <w:highlight w:val="none"/>
          <w:u w:val="single"/>
        </w:rPr>
        <w:t>　　　</w:t>
      </w:r>
      <w:r>
        <w:rPr>
          <w:rFonts w:hint="eastAsia" w:ascii="宋体" w:hAnsi="宋体" w:eastAsia="宋体" w:cs="宋体"/>
          <w:color w:val="auto"/>
          <w:spacing w:val="0"/>
          <w:sz w:val="21"/>
          <w:szCs w:val="21"/>
          <w:highlight w:val="none"/>
        </w:rPr>
        <w:t>日历天内完成并移交全部工程，工程质量达到</w:t>
      </w:r>
      <w:r>
        <w:rPr>
          <w:rFonts w:hint="eastAsia" w:ascii="宋体" w:hAnsi="宋体" w:eastAsia="宋体" w:cs="宋体"/>
          <w:color w:val="auto"/>
          <w:spacing w:val="0"/>
          <w:sz w:val="21"/>
          <w:szCs w:val="21"/>
          <w:highlight w:val="none"/>
          <w:u w:val="single"/>
        </w:rPr>
        <w:t>　　　 　</w:t>
      </w:r>
      <w:r>
        <w:rPr>
          <w:rFonts w:hint="eastAsia" w:ascii="宋体" w:hAnsi="宋体" w:eastAsia="宋体" w:cs="宋体"/>
          <w:color w:val="auto"/>
          <w:spacing w:val="0"/>
          <w:sz w:val="21"/>
          <w:szCs w:val="21"/>
          <w:highlight w:val="none"/>
        </w:rPr>
        <w:t>。严格执行《建设工程质量管理条例》中有关工程保修条款。</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5.</w:t>
      </w:r>
      <w:r>
        <w:rPr>
          <w:rFonts w:hint="eastAsia" w:ascii="宋体" w:hAnsi="宋体" w:eastAsia="宋体" w:cs="宋体"/>
          <w:color w:val="auto"/>
          <w:spacing w:val="0"/>
          <w:sz w:val="21"/>
          <w:szCs w:val="21"/>
          <w:highlight w:val="none"/>
        </w:rPr>
        <w:t>若我方中标，在中标后自愿按招标文件要求提交工程履约保证给招标人。</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6.</w:t>
      </w:r>
      <w:r>
        <w:rPr>
          <w:rFonts w:hint="eastAsia" w:ascii="宋体" w:hAnsi="宋体" w:eastAsia="宋体" w:cs="宋体"/>
          <w:color w:val="auto"/>
          <w:spacing w:val="0"/>
          <w:sz w:val="21"/>
          <w:szCs w:val="21"/>
          <w:highlight w:val="none"/>
        </w:rPr>
        <w:t>我方同意所提交的投标文件在“招标文件投标须知”中规定的投标有效期</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天内有效，在此期间内如果中标，我方将受此约束。</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7.</w:t>
      </w:r>
      <w:r>
        <w:rPr>
          <w:rFonts w:hint="eastAsia" w:ascii="宋体" w:hAnsi="宋体" w:eastAsia="宋体" w:cs="宋体"/>
          <w:color w:val="auto"/>
          <w:spacing w:val="0"/>
          <w:sz w:val="21"/>
          <w:szCs w:val="21"/>
          <w:highlight w:val="none"/>
        </w:rPr>
        <w:t>我方提供的资料全部为真实资料，如我方提供的资料不真实或存在虚假，我方将放弃中标的权利，并承担由此产生的经济责任和法律责任。</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8.</w:t>
      </w:r>
      <w:r>
        <w:rPr>
          <w:rFonts w:hint="eastAsia" w:ascii="宋体" w:hAnsi="宋体" w:eastAsia="宋体" w:cs="宋体"/>
          <w:color w:val="auto"/>
          <w:spacing w:val="0"/>
          <w:sz w:val="21"/>
          <w:szCs w:val="21"/>
          <w:highlight w:val="none"/>
        </w:rPr>
        <w:t>我方已详细审核全部招标文件及工程量清单，包括修改补充通知、答疑（如</w:t>
      </w:r>
      <w:r>
        <w:rPr>
          <w:rFonts w:hint="eastAsia" w:ascii="宋体" w:eastAsia="宋体" w:cs="宋体"/>
          <w:color w:val="auto"/>
          <w:spacing w:val="0"/>
          <w:sz w:val="21"/>
          <w:szCs w:val="21"/>
          <w:highlight w:val="none"/>
          <w:lang w:eastAsia="zh-CN"/>
        </w:rPr>
        <w:t>有</w:t>
      </w:r>
      <w:r>
        <w:rPr>
          <w:rFonts w:hint="eastAsia" w:ascii="宋体" w:hAnsi="宋体" w:eastAsia="宋体" w:cs="宋体"/>
          <w:color w:val="auto"/>
          <w:spacing w:val="0"/>
          <w:sz w:val="21"/>
          <w:szCs w:val="21"/>
          <w:highlight w:val="none"/>
        </w:rPr>
        <w:t>）及有关附件，我方完全响应并认可上述文件的所有条款。</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9.</w:t>
      </w:r>
      <w:r>
        <w:rPr>
          <w:rFonts w:hint="eastAsia" w:ascii="宋体" w:hAnsi="宋体" w:eastAsia="宋体" w:cs="宋体"/>
          <w:color w:val="auto"/>
          <w:spacing w:val="0"/>
          <w:sz w:val="21"/>
          <w:szCs w:val="21"/>
          <w:highlight w:val="none"/>
        </w:rPr>
        <w:t>投入本工程的建筑原材料、构配件的质量都是质量合格的产品</w:t>
      </w:r>
      <w:r>
        <w:rPr>
          <w:rFonts w:hint="eastAsia" w:ascii="宋体" w:eastAsia="宋体" w:cs="宋体"/>
          <w:color w:val="auto"/>
          <w:spacing w:val="0"/>
          <w:sz w:val="21"/>
          <w:szCs w:val="21"/>
          <w:highlight w:val="none"/>
          <w:lang w:eastAsia="zh-CN"/>
        </w:rPr>
        <w:t>，并按规范标准要求落实见证取样检测</w:t>
      </w:r>
      <w:r>
        <w:rPr>
          <w:rFonts w:hint="eastAsia" w:ascii="宋体" w:hAnsi="宋体" w:eastAsia="宋体" w:cs="宋体"/>
          <w:color w:val="auto"/>
          <w:spacing w:val="0"/>
          <w:sz w:val="21"/>
          <w:szCs w:val="21"/>
          <w:highlight w:val="none"/>
        </w:rPr>
        <w:t>。</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10.</w:t>
      </w:r>
      <w:r>
        <w:rPr>
          <w:rFonts w:hint="eastAsia" w:ascii="宋体" w:hAnsi="宋体" w:eastAsia="宋体" w:cs="宋体"/>
          <w:color w:val="auto"/>
          <w:spacing w:val="0"/>
          <w:sz w:val="21"/>
          <w:szCs w:val="21"/>
          <w:highlight w:val="none"/>
        </w:rPr>
        <w:t>我单位将严格按照招标人发出的设计图纸进行施工，不擅自改变设计图纸进行施工。</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11.</w:t>
      </w:r>
      <w:r>
        <w:rPr>
          <w:rFonts w:hint="eastAsia" w:ascii="宋体" w:hAnsi="宋体" w:eastAsia="宋体" w:cs="宋体"/>
          <w:color w:val="auto"/>
          <w:spacing w:val="0"/>
          <w:sz w:val="21"/>
          <w:szCs w:val="21"/>
          <w:highlight w:val="none"/>
        </w:rPr>
        <w:t>项目管理部将制定施工安全</w:t>
      </w:r>
      <w:r>
        <w:rPr>
          <w:rFonts w:hint="eastAsia" w:ascii="宋体" w:eastAsia="宋体" w:cs="宋体"/>
          <w:color w:val="auto"/>
          <w:spacing w:val="0"/>
          <w:sz w:val="21"/>
          <w:szCs w:val="21"/>
          <w:highlight w:val="none"/>
          <w:lang w:eastAsia="zh-CN"/>
        </w:rPr>
        <w:t>管理</w:t>
      </w:r>
      <w:r>
        <w:rPr>
          <w:rFonts w:hint="eastAsia" w:ascii="宋体" w:hAnsi="宋体" w:eastAsia="宋体" w:cs="宋体"/>
          <w:color w:val="auto"/>
          <w:spacing w:val="0"/>
          <w:sz w:val="21"/>
          <w:szCs w:val="21"/>
          <w:highlight w:val="none"/>
        </w:rPr>
        <w:t>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12.</w:t>
      </w:r>
      <w:r>
        <w:rPr>
          <w:rFonts w:hint="eastAsia" w:ascii="宋体" w:hAnsi="宋体" w:eastAsia="宋体" w:cs="宋体"/>
          <w:iCs/>
          <w:color w:val="auto"/>
          <w:spacing w:val="0"/>
          <w:sz w:val="21"/>
          <w:szCs w:val="21"/>
          <w:highlight w:val="none"/>
        </w:rPr>
        <w:t>承诺实施完成本工程范围内的增加及变更工程，费用按照投标报价书中的相应价格或经审定的价格完成；</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13.</w:t>
      </w:r>
      <w:r>
        <w:rPr>
          <w:rFonts w:hint="eastAsia" w:ascii="宋体" w:hAnsi="宋体" w:eastAsia="宋体" w:cs="宋体"/>
          <w:color w:val="auto"/>
          <w:spacing w:val="0"/>
          <w:sz w:val="21"/>
          <w:szCs w:val="21"/>
          <w:highlight w:val="none"/>
        </w:rPr>
        <w:t>除非另外达成协议生效，你方的中标通知书和本投标文件将成为约束双方的合同文件的组成部分。</w:t>
      </w:r>
    </w:p>
    <w:p>
      <w:pPr>
        <w:pStyle w:val="17"/>
        <w:spacing w:line="240" w:lineRule="auto"/>
        <w:ind w:firstLine="420" w:firstLineChars="200"/>
        <w:rPr>
          <w:rFonts w:hint="eastAsia" w:ascii="宋体" w:hAnsi="宋体" w:eastAsia="宋体" w:cs="宋体"/>
          <w:color w:val="auto"/>
          <w:spacing w:val="0"/>
          <w:sz w:val="21"/>
          <w:szCs w:val="21"/>
          <w:highlight w:val="none"/>
        </w:rPr>
      </w:pPr>
      <w:r>
        <w:rPr>
          <w:rFonts w:hint="eastAsia" w:ascii="宋体" w:eastAsia="宋体" w:cs="宋体"/>
          <w:color w:val="auto"/>
          <w:spacing w:val="0"/>
          <w:sz w:val="21"/>
          <w:szCs w:val="21"/>
          <w:highlight w:val="none"/>
          <w:lang w:eastAsia="zh-CN"/>
        </w:rPr>
        <w:t>14.</w:t>
      </w:r>
      <w:r>
        <w:rPr>
          <w:rFonts w:hint="eastAsia" w:ascii="宋体" w:hAnsi="宋体" w:eastAsia="宋体" w:cs="宋体"/>
          <w:color w:val="auto"/>
          <w:spacing w:val="0"/>
          <w:sz w:val="21"/>
          <w:szCs w:val="21"/>
          <w:highlight w:val="none"/>
        </w:rPr>
        <w:t>我们理解招标文件中关于定标的方法，并且无意询求此外的任何解释。</w:t>
      </w:r>
    </w:p>
    <w:p>
      <w:pPr>
        <w:pStyle w:val="17"/>
        <w:spacing w:line="240" w:lineRule="auto"/>
        <w:ind w:firstLine="420" w:firstLineChars="200"/>
        <w:rPr>
          <w:rFonts w:hint="eastAsia" w:ascii="宋体" w:hAnsi="宋体" w:eastAsia="宋体" w:cs="宋体"/>
          <w:color w:val="auto"/>
          <w:spacing w:val="0"/>
          <w:sz w:val="21"/>
          <w:szCs w:val="21"/>
          <w:highlight w:val="none"/>
        </w:rPr>
      </w:pPr>
    </w:p>
    <w:p>
      <w:pPr>
        <w:pStyle w:val="17"/>
        <w:spacing w:line="240" w:lineRule="auto"/>
        <w:ind w:left="315" w:firstLine="117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7"/>
        <w:spacing w:line="240" w:lineRule="auto"/>
        <w:ind w:left="315" w:firstLine="1170" w:firstLineChars="500"/>
        <w:rPr>
          <w:rFonts w:hint="eastAsia" w:ascii="宋体" w:hAnsi="宋体" w:eastAsia="宋体" w:cs="宋体"/>
          <w:color w:val="auto"/>
          <w:sz w:val="21"/>
          <w:szCs w:val="21"/>
          <w:highlight w:val="none"/>
        </w:rPr>
      </w:pPr>
    </w:p>
    <w:p>
      <w:pPr>
        <w:pStyle w:val="17"/>
        <w:spacing w:line="240" w:lineRule="auto"/>
        <w:ind w:firstLine="2176" w:firstLineChars="9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w:t>
      </w:r>
      <w:r>
        <w:rPr>
          <w:rFonts w:hint="eastAsia" w:asci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（盖</w:t>
      </w:r>
      <w:r>
        <w:rPr>
          <w:rFonts w:hint="eastAsia" w:ascii="宋体" w:eastAsia="宋体" w:cs="宋体"/>
          <w:color w:val="auto"/>
          <w:sz w:val="21"/>
          <w:szCs w:val="21"/>
          <w:highlight w:val="none"/>
          <w:u w:val="single"/>
          <w:lang w:eastAsia="zh-CN"/>
        </w:rPr>
        <w:t>单位</w:t>
      </w:r>
      <w:r>
        <w:rPr>
          <w:rFonts w:hint="eastAsia" w:ascii="宋体" w:hAnsi="宋体" w:eastAsia="宋体" w:cs="宋体"/>
          <w:color w:val="auto"/>
          <w:sz w:val="21"/>
          <w:szCs w:val="21"/>
          <w:highlight w:val="none"/>
          <w:u w:val="single"/>
        </w:rPr>
        <w:t>公章）</w:t>
      </w:r>
    </w:p>
    <w:p>
      <w:pPr>
        <w:pStyle w:val="17"/>
        <w:spacing w:line="240" w:lineRule="auto"/>
        <w:ind w:left="315" w:firstLine="1872" w:firstLineChars="8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p>
    <w:p>
      <w:pPr>
        <w:pStyle w:val="17"/>
        <w:spacing w:line="240" w:lineRule="auto"/>
        <w:ind w:left="315" w:firstLine="1872" w:firstLineChars="8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w:t>
      </w:r>
      <w:r>
        <w:rPr>
          <w:rFonts w:hint="eastAsia" w:ascii="宋体" w:eastAsia="宋体" w:cs="宋体"/>
          <w:color w:val="auto"/>
          <w:sz w:val="21"/>
          <w:szCs w:val="21"/>
          <w:highlight w:val="none"/>
          <w:u w:val="single"/>
          <w:lang w:eastAsia="zh-CN"/>
        </w:rPr>
        <w:t>名</w:t>
      </w:r>
      <w:r>
        <w:rPr>
          <w:rFonts w:hint="eastAsia" w:ascii="宋体" w:hAnsi="宋体" w:eastAsia="宋体" w:cs="宋体"/>
          <w:color w:val="auto"/>
          <w:sz w:val="21"/>
          <w:szCs w:val="21"/>
          <w:highlight w:val="none"/>
          <w:u w:val="single"/>
        </w:rPr>
        <w:t>）</w:t>
      </w:r>
    </w:p>
    <w:p>
      <w:pPr>
        <w:pStyle w:val="17"/>
        <w:spacing w:line="240" w:lineRule="auto"/>
        <w:ind w:left="315" w:firstLine="1872"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传真：</w:t>
      </w:r>
      <w:r>
        <w:rPr>
          <w:rFonts w:hint="eastAsia" w:ascii="宋体" w:hAnsi="宋体" w:eastAsia="宋体" w:cs="宋体"/>
          <w:color w:val="auto"/>
          <w:sz w:val="21"/>
          <w:szCs w:val="21"/>
          <w:highlight w:val="none"/>
          <w:u w:val="single"/>
        </w:rPr>
        <w:t xml:space="preserve">　  　       　 </w:t>
      </w:r>
    </w:p>
    <w:p>
      <w:pPr>
        <w:wordWrap w:val="0"/>
        <w:spacing w:before="240" w:beforeLines="100" w:line="240" w:lineRule="auto"/>
        <w:ind w:right="105"/>
        <w:jc w:val="right"/>
        <w:outlineLvl w:val="9"/>
        <w:rPr>
          <w:rFonts w:hint="eastAsia"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w:t>
      </w:r>
    </w:p>
    <w:p>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hAnsi="宋体" w:eastAsia="黑体"/>
          <w:color w:val="auto"/>
          <w:sz w:val="36"/>
          <w:szCs w:val="36"/>
          <w:highlight w:val="none"/>
          <w:lang w:val="en-US" w:eastAsia="zh-CN"/>
        </w:rPr>
        <w:t>10</w:t>
      </w:r>
      <w:r>
        <w:rPr>
          <w:rFonts w:hint="eastAsia" w:ascii="黑体" w:hAnsi="宋体" w:eastAsia="黑体"/>
          <w:color w:val="auto"/>
          <w:sz w:val="36"/>
          <w:szCs w:val="36"/>
          <w:highlight w:val="none"/>
        </w:rPr>
        <w:t>.投标人诚信承诺书参考格式</w:t>
      </w:r>
    </w:p>
    <w:p>
      <w:pPr>
        <w:spacing w:before="240" w:beforeLines="100" w:after="120" w:afterLines="50" w:line="360" w:lineRule="auto"/>
        <w:jc w:val="center"/>
        <w:outlineLvl w:val="1"/>
        <w:rPr>
          <w:rFonts w:hint="eastAsia" w:ascii="黑体" w:hAnsi="宋体" w:eastAsia="黑体"/>
          <w:color w:val="auto"/>
          <w:sz w:val="32"/>
          <w:szCs w:val="32"/>
          <w:highlight w:val="none"/>
        </w:rPr>
      </w:pPr>
      <w:r>
        <w:rPr>
          <w:rFonts w:hint="eastAsia" w:ascii="黑体" w:hAnsi="宋体" w:eastAsia="黑体"/>
          <w:color w:val="auto"/>
          <w:sz w:val="32"/>
          <w:szCs w:val="32"/>
          <w:highlight w:val="none"/>
        </w:rPr>
        <w:t>投标人诚信承诺书</w:t>
      </w:r>
    </w:p>
    <w:p>
      <w:pPr>
        <w:pStyle w:val="17"/>
        <w:ind w:firstLine="0"/>
        <w:jc w:val="center"/>
        <w:rPr>
          <w:rFonts w:hint="eastAsia" w:hAnsi="Tahoma" w:eastAsia="宋体"/>
          <w:b/>
          <w:bCs/>
          <w:color w:val="auto"/>
          <w:sz w:val="21"/>
          <w:szCs w:val="21"/>
          <w:highlight w:val="none"/>
        </w:rPr>
      </w:pPr>
      <w:r>
        <w:rPr>
          <w:rFonts w:hint="eastAsia" w:hAnsi="Tahoma" w:eastAsia="Tahoma"/>
          <w:b/>
          <w:bCs/>
          <w:color w:val="auto"/>
          <w:sz w:val="21"/>
          <w:szCs w:val="21"/>
          <w:highlight w:val="none"/>
        </w:rPr>
        <w:t>（</w:t>
      </w:r>
      <w:r>
        <w:rPr>
          <w:rFonts w:hint="eastAsia" w:hAnsi="Tahoma" w:eastAsia="宋体"/>
          <w:b/>
          <w:bCs/>
          <w:color w:val="auto"/>
          <w:sz w:val="21"/>
          <w:szCs w:val="21"/>
          <w:highlight w:val="none"/>
        </w:rPr>
        <w:t>投标人应在本格式样板基础上，可根据工程项目实际情况对相关条款进行增加</w:t>
      </w:r>
      <w:r>
        <w:rPr>
          <w:rFonts w:hint="eastAsia" w:hAnsi="Tahoma" w:eastAsia="Tahoma"/>
          <w:b/>
          <w:bCs/>
          <w:color w:val="auto"/>
          <w:sz w:val="21"/>
          <w:szCs w:val="21"/>
          <w:highlight w:val="none"/>
        </w:rPr>
        <w:t>）</w:t>
      </w:r>
    </w:p>
    <w:p>
      <w:pPr>
        <w:pStyle w:val="17"/>
        <w:ind w:firstLine="0"/>
        <w:jc w:val="center"/>
        <w:rPr>
          <w:rFonts w:hint="eastAsia" w:hAnsi="Tahoma" w:eastAsia="宋体"/>
          <w:b/>
          <w:bCs/>
          <w:color w:val="auto"/>
          <w:sz w:val="21"/>
          <w:szCs w:val="21"/>
          <w:highlight w:val="none"/>
        </w:rPr>
      </w:pPr>
    </w:p>
    <w:p>
      <w:pPr>
        <w:rPr>
          <w:rFonts w:ascii="宋体" w:hAnsi="宋体"/>
          <w:color w:val="auto"/>
          <w:sz w:val="24"/>
          <w:szCs w:val="28"/>
          <w:highlight w:val="none"/>
        </w:rPr>
      </w:pPr>
      <w:r>
        <w:rPr>
          <w:rFonts w:ascii="宋体" w:hAnsi="宋体"/>
          <w:color w:val="auto"/>
          <w:sz w:val="24"/>
          <w:szCs w:val="28"/>
          <w:highlight w:val="none"/>
        </w:rPr>
        <w:t>本人以</w:t>
      </w:r>
      <w:r>
        <w:rPr>
          <w:rFonts w:hint="eastAsia" w:ascii="宋体" w:hAnsi="宋体"/>
          <w:color w:val="auto"/>
          <w:sz w:val="24"/>
          <w:szCs w:val="28"/>
          <w:highlight w:val="none"/>
        </w:rPr>
        <w:t>公司</w:t>
      </w:r>
      <w:r>
        <w:rPr>
          <w:rFonts w:ascii="宋体" w:hAnsi="宋体"/>
          <w:color w:val="auto"/>
          <w:sz w:val="24"/>
          <w:szCs w:val="28"/>
          <w:highlight w:val="none"/>
        </w:rPr>
        <w:t>法定</w:t>
      </w:r>
      <w:r>
        <w:rPr>
          <w:rStyle w:val="49"/>
          <w:rFonts w:ascii="宋体" w:hAnsi="宋体"/>
          <w:color w:val="auto"/>
          <w:sz w:val="24"/>
          <w:szCs w:val="28"/>
          <w:highlight w:val="none"/>
          <w:u w:val="none"/>
        </w:rPr>
        <w:t>代表</w:t>
      </w:r>
      <w:r>
        <w:rPr>
          <w:rFonts w:ascii="宋体" w:hAnsi="宋体"/>
          <w:color w:val="auto"/>
          <w:sz w:val="24"/>
          <w:szCs w:val="28"/>
          <w:highlight w:val="none"/>
        </w:rPr>
        <w:t>人的身份郑重承诺</w:t>
      </w:r>
      <w:r>
        <w:rPr>
          <w:rFonts w:hint="eastAsia" w:ascii="宋体" w:hAnsi="宋体"/>
          <w:color w:val="auto"/>
          <w:sz w:val="24"/>
          <w:szCs w:val="28"/>
          <w:highlight w:val="none"/>
          <w:lang w:eastAsia="zh-CN"/>
        </w:rPr>
        <w:t>：</w:t>
      </w:r>
    </w:p>
    <w:p>
      <w:pPr>
        <w:ind w:left="1800" w:hanging="1800" w:hangingChars="750"/>
        <w:jc w:val="left"/>
        <w:rPr>
          <w:rFonts w:hint="eastAsia" w:ascii="宋体" w:hAnsi="宋体"/>
          <w:color w:val="auto"/>
          <w:sz w:val="24"/>
          <w:szCs w:val="28"/>
          <w:highlight w:val="none"/>
        </w:rPr>
      </w:pPr>
      <w:r>
        <w:rPr>
          <w:rFonts w:ascii="宋体" w:hAnsi="宋体"/>
          <w:color w:val="auto"/>
          <w:sz w:val="24"/>
          <w:szCs w:val="28"/>
          <w:highlight w:val="none"/>
        </w:rPr>
        <w:t>一、将遵循公</w:t>
      </w:r>
      <w:r>
        <w:rPr>
          <w:rFonts w:hint="eastAsia" w:ascii="宋体" w:hAnsi="宋体"/>
          <w:color w:val="auto"/>
          <w:sz w:val="24"/>
          <w:szCs w:val="28"/>
          <w:highlight w:val="none"/>
        </w:rPr>
        <w:t>平</w:t>
      </w:r>
      <w:r>
        <w:rPr>
          <w:rFonts w:ascii="宋体" w:hAnsi="宋体"/>
          <w:color w:val="auto"/>
          <w:sz w:val="24"/>
          <w:szCs w:val="28"/>
          <w:highlight w:val="none"/>
        </w:rPr>
        <w:t>、公正和诚实信用的原则自愿参加</w:t>
      </w:r>
      <w:r>
        <w:rPr>
          <w:rFonts w:hint="eastAsia" w:ascii="宋体" w:hAnsi="宋体"/>
          <w:color w:val="auto"/>
          <w:sz w:val="24"/>
          <w:szCs w:val="28"/>
          <w:highlight w:val="none"/>
          <w:u w:val="single"/>
        </w:rPr>
        <w:t xml:space="preserve">      （</w:t>
      </w:r>
      <w:r>
        <w:rPr>
          <w:rFonts w:ascii="宋体" w:hAnsi="宋体"/>
          <w:color w:val="auto"/>
          <w:sz w:val="24"/>
          <w:szCs w:val="28"/>
          <w:highlight w:val="none"/>
          <w:u w:val="single"/>
        </w:rPr>
        <w:t>项目</w:t>
      </w:r>
      <w:r>
        <w:rPr>
          <w:rFonts w:hint="eastAsia" w:ascii="宋体" w:hAnsi="宋体"/>
          <w:color w:val="auto"/>
          <w:sz w:val="24"/>
          <w:szCs w:val="28"/>
          <w:highlight w:val="none"/>
          <w:u w:val="single"/>
        </w:rPr>
        <w:t xml:space="preserve">名称）   </w:t>
      </w:r>
      <w:r>
        <w:rPr>
          <w:rFonts w:ascii="宋体" w:hAnsi="宋体"/>
          <w:color w:val="auto"/>
          <w:sz w:val="24"/>
          <w:szCs w:val="28"/>
          <w:highlight w:val="none"/>
        </w:rPr>
        <w:t>的投标</w:t>
      </w:r>
      <w:r>
        <w:rPr>
          <w:rFonts w:hint="eastAsia" w:ascii="宋体" w:hAnsi="宋体"/>
          <w:color w:val="auto"/>
          <w:sz w:val="24"/>
          <w:szCs w:val="28"/>
          <w:highlight w:val="none"/>
        </w:rPr>
        <w:t>活动；</w:t>
      </w:r>
    </w:p>
    <w:p>
      <w:pPr>
        <w:rPr>
          <w:rFonts w:hint="eastAsia" w:ascii="宋体" w:hAnsi="宋体"/>
          <w:color w:val="auto"/>
          <w:sz w:val="24"/>
          <w:szCs w:val="28"/>
          <w:highlight w:val="none"/>
        </w:rPr>
      </w:pPr>
      <w:r>
        <w:rPr>
          <w:rFonts w:ascii="宋体" w:hAnsi="宋体"/>
          <w:color w:val="auto"/>
          <w:sz w:val="24"/>
          <w:szCs w:val="28"/>
          <w:highlight w:val="none"/>
        </w:rPr>
        <w:t>二、</w:t>
      </w:r>
      <w:r>
        <w:rPr>
          <w:rFonts w:hint="eastAsia" w:ascii="宋体" w:hAnsi="宋体"/>
          <w:color w:val="auto"/>
          <w:sz w:val="24"/>
          <w:szCs w:val="28"/>
          <w:highlight w:val="none"/>
        </w:rPr>
        <w:t>本公司</w:t>
      </w:r>
      <w:r>
        <w:rPr>
          <w:rFonts w:ascii="宋体" w:hAnsi="宋体"/>
          <w:color w:val="auto"/>
          <w:sz w:val="24"/>
          <w:szCs w:val="28"/>
          <w:highlight w:val="none"/>
        </w:rPr>
        <w:t>所提供的一切材料都是真实、有效、合法的</w:t>
      </w:r>
      <w:r>
        <w:rPr>
          <w:rFonts w:hint="eastAsia" w:ascii="宋体" w:hAnsi="宋体"/>
          <w:color w:val="auto"/>
          <w:sz w:val="24"/>
          <w:szCs w:val="28"/>
          <w:highlight w:val="none"/>
        </w:rPr>
        <w:t>；</w:t>
      </w:r>
    </w:p>
    <w:p>
      <w:pPr>
        <w:rPr>
          <w:rFonts w:hint="eastAsia" w:ascii="宋体" w:hAnsi="宋体"/>
          <w:color w:val="auto"/>
          <w:sz w:val="24"/>
          <w:szCs w:val="28"/>
          <w:highlight w:val="none"/>
        </w:rPr>
      </w:pPr>
      <w:r>
        <w:rPr>
          <w:rFonts w:ascii="宋体" w:hAnsi="宋体"/>
          <w:color w:val="auto"/>
          <w:sz w:val="24"/>
          <w:szCs w:val="28"/>
          <w:highlight w:val="none"/>
        </w:rPr>
        <w:t>三、</w:t>
      </w:r>
      <w:r>
        <w:rPr>
          <w:rFonts w:hint="eastAsia" w:ascii="宋体" w:hAnsi="宋体"/>
          <w:color w:val="auto"/>
          <w:sz w:val="24"/>
          <w:szCs w:val="28"/>
          <w:highlight w:val="none"/>
        </w:rPr>
        <w:t>保证</w:t>
      </w:r>
      <w:r>
        <w:rPr>
          <w:rFonts w:ascii="宋体" w:hAnsi="宋体"/>
          <w:color w:val="auto"/>
          <w:sz w:val="24"/>
          <w:szCs w:val="28"/>
          <w:highlight w:val="none"/>
        </w:rPr>
        <w:t>不出借、转让资质证书，让他人挂靠投标，不以他人名义投标或者以其他方式弄虚作假，骗取中标</w:t>
      </w:r>
      <w:r>
        <w:rPr>
          <w:rFonts w:hint="eastAsia" w:ascii="宋体" w:hAnsi="宋体"/>
          <w:color w:val="auto"/>
          <w:sz w:val="24"/>
          <w:szCs w:val="28"/>
          <w:highlight w:val="none"/>
        </w:rPr>
        <w:t>；</w:t>
      </w:r>
    </w:p>
    <w:p>
      <w:pPr>
        <w:rPr>
          <w:rFonts w:hint="eastAsia" w:ascii="宋体" w:hAnsi="宋体"/>
          <w:color w:val="auto"/>
          <w:sz w:val="24"/>
          <w:szCs w:val="28"/>
          <w:highlight w:val="none"/>
        </w:rPr>
      </w:pPr>
      <w:r>
        <w:rPr>
          <w:rFonts w:ascii="宋体" w:hAnsi="宋体"/>
          <w:color w:val="auto"/>
          <w:sz w:val="24"/>
          <w:szCs w:val="28"/>
          <w:highlight w:val="none"/>
        </w:rPr>
        <w:t>四、</w:t>
      </w:r>
      <w:r>
        <w:rPr>
          <w:rFonts w:hint="eastAsia" w:ascii="宋体" w:hAnsi="宋体"/>
          <w:color w:val="auto"/>
          <w:sz w:val="24"/>
          <w:szCs w:val="28"/>
          <w:highlight w:val="none"/>
        </w:rPr>
        <w:t>保证</w:t>
      </w:r>
      <w:r>
        <w:rPr>
          <w:rFonts w:ascii="宋体" w:hAnsi="宋体"/>
          <w:color w:val="auto"/>
          <w:sz w:val="24"/>
          <w:szCs w:val="28"/>
          <w:highlight w:val="none"/>
        </w:rPr>
        <w:t>不与招标人或者招标代理机构</w:t>
      </w:r>
      <w:r>
        <w:rPr>
          <w:rFonts w:hint="eastAsia" w:ascii="宋体" w:hAnsi="宋体"/>
          <w:color w:val="auto"/>
          <w:sz w:val="24"/>
          <w:szCs w:val="28"/>
          <w:highlight w:val="none"/>
        </w:rPr>
        <w:t>、</w:t>
      </w:r>
      <w:r>
        <w:rPr>
          <w:rFonts w:ascii="宋体" w:hAnsi="宋体"/>
          <w:color w:val="auto"/>
          <w:sz w:val="24"/>
          <w:szCs w:val="28"/>
          <w:highlight w:val="none"/>
        </w:rPr>
        <w:t>其他投标人相互串通投标报价，不排挤其他投标人的公平竞争、损害国家利益、社会公共利益或者他人的合法权益</w:t>
      </w:r>
      <w:r>
        <w:rPr>
          <w:rFonts w:hint="eastAsia" w:ascii="宋体" w:hAnsi="宋体"/>
          <w:color w:val="auto"/>
          <w:sz w:val="24"/>
          <w:szCs w:val="28"/>
          <w:highlight w:val="none"/>
        </w:rPr>
        <w:t>；</w:t>
      </w:r>
    </w:p>
    <w:p>
      <w:pPr>
        <w:rPr>
          <w:rFonts w:hint="eastAsia" w:ascii="宋体" w:hAnsi="宋体"/>
          <w:color w:val="auto"/>
          <w:sz w:val="24"/>
          <w:szCs w:val="28"/>
          <w:highlight w:val="none"/>
        </w:rPr>
      </w:pPr>
      <w:r>
        <w:rPr>
          <w:rFonts w:ascii="宋体" w:hAnsi="宋体"/>
          <w:color w:val="auto"/>
          <w:sz w:val="24"/>
          <w:szCs w:val="28"/>
          <w:highlight w:val="none"/>
        </w:rPr>
        <w:t>五、保证参加项目投标的</w:t>
      </w:r>
      <w:r>
        <w:rPr>
          <w:rFonts w:hint="eastAsia" w:ascii="宋体" w:hAnsi="宋体"/>
          <w:color w:val="auto"/>
          <w:sz w:val="24"/>
          <w:szCs w:val="28"/>
          <w:highlight w:val="none"/>
        </w:rPr>
        <w:t>项目负责人（</w:t>
      </w:r>
      <w:r>
        <w:rPr>
          <w:rFonts w:ascii="宋体" w:hAnsi="宋体"/>
          <w:color w:val="auto"/>
          <w:sz w:val="24"/>
          <w:szCs w:val="28"/>
          <w:highlight w:val="none"/>
        </w:rPr>
        <w:t>建造师</w:t>
      </w:r>
      <w:r>
        <w:rPr>
          <w:rFonts w:hint="eastAsia" w:ascii="宋体" w:hAnsi="宋体"/>
          <w:color w:val="auto"/>
          <w:sz w:val="24"/>
          <w:szCs w:val="28"/>
          <w:highlight w:val="none"/>
        </w:rPr>
        <w:t>）</w:t>
      </w:r>
      <w:r>
        <w:rPr>
          <w:rFonts w:ascii="宋体" w:hAnsi="宋体"/>
          <w:color w:val="auto"/>
          <w:sz w:val="24"/>
          <w:szCs w:val="28"/>
          <w:highlight w:val="none"/>
        </w:rPr>
        <w:t>无在建工程</w:t>
      </w:r>
      <w:r>
        <w:rPr>
          <w:rFonts w:hint="eastAsia" w:ascii="宋体" w:hAnsi="宋体"/>
          <w:color w:val="auto"/>
          <w:sz w:val="24"/>
          <w:szCs w:val="28"/>
          <w:highlight w:val="none"/>
        </w:rPr>
        <w:t>；</w:t>
      </w:r>
    </w:p>
    <w:p>
      <w:pPr>
        <w:rPr>
          <w:rFonts w:hint="eastAsia" w:ascii="宋体" w:hAnsi="宋体" w:cs="Helvetica"/>
          <w:color w:val="auto"/>
          <w:sz w:val="24"/>
          <w:szCs w:val="28"/>
          <w:highlight w:val="none"/>
        </w:rPr>
      </w:pPr>
      <w:r>
        <w:rPr>
          <w:rFonts w:ascii="宋体" w:hAnsi="宋体"/>
          <w:color w:val="auto"/>
          <w:sz w:val="24"/>
          <w:szCs w:val="28"/>
          <w:highlight w:val="none"/>
        </w:rPr>
        <w:t>六、保证中标后不转包</w:t>
      </w:r>
      <w:r>
        <w:rPr>
          <w:rFonts w:hint="eastAsia" w:ascii="宋体" w:hAnsi="宋体"/>
          <w:color w:val="auto"/>
          <w:sz w:val="24"/>
          <w:szCs w:val="28"/>
          <w:highlight w:val="none"/>
        </w:rPr>
        <w:t>和不违法分包工程，并督促</w:t>
      </w:r>
      <w:r>
        <w:rPr>
          <w:rFonts w:ascii="宋体" w:hAnsi="宋体"/>
          <w:color w:val="auto"/>
          <w:sz w:val="24"/>
          <w:szCs w:val="28"/>
          <w:highlight w:val="none"/>
        </w:rPr>
        <w:t>派驻现场的管理人员按</w:t>
      </w:r>
      <w:r>
        <w:rPr>
          <w:rFonts w:hint="eastAsia" w:ascii="宋体" w:hAnsi="宋体"/>
          <w:color w:val="auto"/>
          <w:sz w:val="24"/>
          <w:szCs w:val="28"/>
          <w:highlight w:val="none"/>
        </w:rPr>
        <w:t>规定参加在岗</w:t>
      </w:r>
      <w:r>
        <w:rPr>
          <w:rFonts w:ascii="宋体" w:hAnsi="宋体"/>
          <w:color w:val="auto"/>
          <w:sz w:val="24"/>
          <w:szCs w:val="28"/>
          <w:highlight w:val="none"/>
        </w:rPr>
        <w:t>考勤</w:t>
      </w:r>
      <w:r>
        <w:rPr>
          <w:rFonts w:hint="eastAsia" w:ascii="宋体" w:hAnsi="宋体"/>
          <w:color w:val="auto"/>
          <w:sz w:val="24"/>
          <w:szCs w:val="28"/>
          <w:highlight w:val="none"/>
        </w:rPr>
        <w:t>；</w:t>
      </w:r>
    </w:p>
    <w:p>
      <w:pPr>
        <w:rPr>
          <w:rFonts w:hint="eastAsia" w:ascii="宋体" w:hAnsi="宋体"/>
          <w:color w:val="auto"/>
          <w:sz w:val="24"/>
          <w:szCs w:val="28"/>
          <w:highlight w:val="none"/>
        </w:rPr>
      </w:pPr>
      <w:r>
        <w:rPr>
          <w:rFonts w:hint="eastAsia" w:ascii="宋体" w:hAnsi="宋体"/>
          <w:color w:val="auto"/>
          <w:sz w:val="24"/>
          <w:szCs w:val="28"/>
          <w:highlight w:val="none"/>
        </w:rPr>
        <w:t>七、保证投标文件承诺派驻的项目负责人、技术负责人、质量管理负责人、安全管理负责人等均为本公司的人员，并且均与本企业签订了劳动合同、建立劳动工资及社会养老保险关系（项目负责人已达到退休年龄且不超过65周岁的，则提供劳务关系证明材料）。</w:t>
      </w:r>
    </w:p>
    <w:p>
      <w:pPr>
        <w:rPr>
          <w:rFonts w:ascii="宋体" w:hAnsi="宋体"/>
          <w:color w:val="auto"/>
          <w:sz w:val="24"/>
          <w:szCs w:val="28"/>
          <w:highlight w:val="none"/>
        </w:rPr>
      </w:pPr>
      <w:r>
        <w:rPr>
          <w:rFonts w:hint="eastAsia" w:ascii="宋体" w:hAnsi="宋体"/>
          <w:color w:val="auto"/>
          <w:sz w:val="24"/>
          <w:szCs w:val="28"/>
          <w:highlight w:val="none"/>
        </w:rPr>
        <w:t>八、本公司没有处于被</w:t>
      </w:r>
      <w:r>
        <w:rPr>
          <w:rFonts w:hint="eastAsia" w:ascii="宋体" w:hAnsi="宋体"/>
          <w:color w:val="auto"/>
          <w:sz w:val="24"/>
          <w:szCs w:val="28"/>
          <w:highlight w:val="none"/>
          <w:lang w:eastAsia="zh-CN"/>
        </w:rPr>
        <w:t>国家、广东省、江门市或项目所属县级</w:t>
      </w:r>
      <w:r>
        <w:rPr>
          <w:rFonts w:hint="eastAsia" w:ascii="宋体" w:hAnsi="宋体"/>
          <w:color w:val="auto"/>
          <w:sz w:val="24"/>
          <w:szCs w:val="28"/>
          <w:highlight w:val="none"/>
        </w:rPr>
        <w:t>建设行政主管部门取消投标资格的处罚期内和被责令停业的状态；</w:t>
      </w:r>
      <w:r>
        <w:rPr>
          <w:rFonts w:hint="eastAsia" w:ascii="宋体" w:hAnsi="宋体"/>
          <w:color w:val="auto"/>
          <w:spacing w:val="39"/>
          <w:sz w:val="24"/>
          <w:szCs w:val="28"/>
          <w:highlight w:val="none"/>
        </w:rPr>
        <w:t xml:space="preserve"> </w:t>
      </w:r>
    </w:p>
    <w:p>
      <w:pPr>
        <w:rPr>
          <w:rFonts w:hint="eastAsia" w:ascii="宋体" w:hAnsi="宋体"/>
          <w:color w:val="auto"/>
          <w:sz w:val="24"/>
          <w:szCs w:val="28"/>
          <w:highlight w:val="none"/>
        </w:rPr>
      </w:pPr>
      <w:r>
        <w:rPr>
          <w:rFonts w:ascii="宋体" w:hAnsi="宋体"/>
          <w:color w:val="auto"/>
          <w:sz w:val="24"/>
          <w:szCs w:val="28"/>
          <w:highlight w:val="none"/>
        </w:rPr>
        <w:t>九、</w:t>
      </w:r>
      <w:r>
        <w:rPr>
          <w:rFonts w:hint="eastAsia" w:ascii="宋体" w:hAnsi="宋体"/>
          <w:color w:val="auto"/>
          <w:sz w:val="24"/>
          <w:szCs w:val="28"/>
          <w:highlight w:val="none"/>
        </w:rPr>
        <w:t>本公司（包括联合体所有成员）、本公司（包括联合体所有成员）</w:t>
      </w:r>
      <w:r>
        <w:rPr>
          <w:rFonts w:ascii="宋体" w:hAnsi="宋体"/>
          <w:color w:val="auto"/>
          <w:sz w:val="24"/>
          <w:szCs w:val="28"/>
          <w:highlight w:val="none"/>
        </w:rPr>
        <w:t>法定代表人及本工程的项目负责人</w:t>
      </w:r>
      <w:r>
        <w:rPr>
          <w:rFonts w:hint="eastAsia" w:ascii="宋体" w:hAnsi="宋体"/>
          <w:color w:val="auto"/>
          <w:sz w:val="24"/>
          <w:szCs w:val="28"/>
          <w:highlight w:val="none"/>
        </w:rPr>
        <w:t>此前（从项目招标公告发出之日起计）三年内无被人民法院判决犯有行贿罪的记录</w:t>
      </w:r>
      <w:r>
        <w:rPr>
          <w:rFonts w:ascii="宋体" w:hAnsi="宋体"/>
          <w:color w:val="auto"/>
          <w:sz w:val="24"/>
          <w:szCs w:val="28"/>
          <w:highlight w:val="none"/>
        </w:rPr>
        <w:t>，并承诺在本工程中不行贿受贿；</w:t>
      </w:r>
    </w:p>
    <w:p>
      <w:pPr>
        <w:rPr>
          <w:rFonts w:hint="eastAsia" w:ascii="宋体" w:hAnsi="宋体"/>
          <w:color w:val="auto"/>
          <w:sz w:val="24"/>
          <w:szCs w:val="28"/>
          <w:highlight w:val="none"/>
        </w:rPr>
      </w:pPr>
      <w:r>
        <w:rPr>
          <w:rFonts w:hint="eastAsia" w:ascii="宋体" w:hAnsi="宋体"/>
          <w:color w:val="auto"/>
          <w:sz w:val="24"/>
          <w:szCs w:val="28"/>
          <w:highlight w:val="none"/>
        </w:rPr>
        <w:t>十、本公司不属于“信用中国”中列明的失信被执行人。</w:t>
      </w:r>
    </w:p>
    <w:p>
      <w:pPr>
        <w:rPr>
          <w:rFonts w:ascii="宋体" w:hAnsi="宋体"/>
          <w:color w:val="auto"/>
          <w:sz w:val="24"/>
          <w:szCs w:val="28"/>
          <w:highlight w:val="none"/>
        </w:rPr>
      </w:pPr>
      <w:r>
        <w:rPr>
          <w:rFonts w:ascii="宋体" w:hAnsi="宋体"/>
          <w:color w:val="auto"/>
          <w:sz w:val="24"/>
          <w:szCs w:val="28"/>
          <w:highlight w:val="none"/>
        </w:rPr>
        <w:t>上述承诺事项均为本</w:t>
      </w:r>
      <w:r>
        <w:rPr>
          <w:rFonts w:hint="eastAsia" w:ascii="宋体" w:hAnsi="宋体"/>
          <w:color w:val="auto"/>
          <w:sz w:val="24"/>
          <w:szCs w:val="28"/>
          <w:highlight w:val="none"/>
        </w:rPr>
        <w:t>公司</w:t>
      </w:r>
      <w:r>
        <w:rPr>
          <w:rFonts w:ascii="宋体" w:hAnsi="宋体"/>
          <w:color w:val="auto"/>
          <w:sz w:val="24"/>
          <w:szCs w:val="28"/>
          <w:highlight w:val="none"/>
        </w:rPr>
        <w:t>真实意见表达，愿承担一切责任。本公司若有违反承诺内容的行为，自愿接受取消投标资格、记入信用档案、没收投标保证金等有关处理。如已中标的，自动放弃中标资格</w:t>
      </w:r>
      <w:r>
        <w:rPr>
          <w:rFonts w:hint="eastAsia" w:ascii="宋体" w:hAnsi="宋体"/>
          <w:color w:val="auto"/>
          <w:sz w:val="24"/>
          <w:szCs w:val="28"/>
          <w:highlight w:val="none"/>
        </w:rPr>
        <w:t>；</w:t>
      </w:r>
      <w:r>
        <w:rPr>
          <w:rFonts w:ascii="宋体" w:hAnsi="宋体"/>
          <w:color w:val="auto"/>
          <w:sz w:val="24"/>
          <w:szCs w:val="28"/>
          <w:highlight w:val="none"/>
        </w:rPr>
        <w:t>给招标</w:t>
      </w:r>
      <w:r>
        <w:rPr>
          <w:rFonts w:ascii="宋体" w:hAnsi="宋体"/>
          <w:color w:val="auto"/>
          <w:sz w:val="24"/>
          <w:szCs w:val="28"/>
          <w:highlight w:val="none"/>
        </w:rPr>
        <w:fldChar w:fldCharType="begin"/>
      </w:r>
      <w:r>
        <w:rPr>
          <w:rFonts w:ascii="宋体" w:hAnsi="宋体"/>
          <w:color w:val="auto"/>
          <w:sz w:val="24"/>
          <w:szCs w:val="28"/>
          <w:highlight w:val="none"/>
        </w:rPr>
        <w:instrText xml:space="preserve"> HYPERLINK "http://tongxiehui.net/k/renzao/" \t "_blank" </w:instrText>
      </w:r>
      <w:r>
        <w:rPr>
          <w:rFonts w:ascii="宋体" w:hAnsi="宋体"/>
          <w:color w:val="auto"/>
          <w:sz w:val="24"/>
          <w:szCs w:val="28"/>
          <w:highlight w:val="none"/>
        </w:rPr>
        <w:fldChar w:fldCharType="separate"/>
      </w:r>
      <w:r>
        <w:rPr>
          <w:rStyle w:val="49"/>
          <w:rFonts w:ascii="宋体" w:hAnsi="宋体"/>
          <w:color w:val="auto"/>
          <w:sz w:val="24"/>
          <w:szCs w:val="28"/>
          <w:highlight w:val="none"/>
          <w:u w:val="none"/>
        </w:rPr>
        <w:t>人造</w:t>
      </w:r>
      <w:r>
        <w:rPr>
          <w:rFonts w:ascii="宋体" w:hAnsi="宋体"/>
          <w:color w:val="auto"/>
          <w:sz w:val="24"/>
          <w:szCs w:val="28"/>
          <w:highlight w:val="none"/>
        </w:rPr>
        <w:fldChar w:fldCharType="end"/>
      </w:r>
      <w:r>
        <w:rPr>
          <w:rFonts w:ascii="宋体" w:hAnsi="宋体"/>
          <w:color w:val="auto"/>
          <w:sz w:val="24"/>
          <w:szCs w:val="28"/>
          <w:highlight w:val="none"/>
        </w:rPr>
        <w:t>成损失的，依法承担赔偿</w:t>
      </w:r>
      <w:r>
        <w:rPr>
          <w:rFonts w:ascii="宋体" w:hAnsi="宋体"/>
          <w:color w:val="auto"/>
          <w:sz w:val="24"/>
          <w:szCs w:val="28"/>
          <w:highlight w:val="none"/>
        </w:rPr>
        <w:fldChar w:fldCharType="begin"/>
      </w:r>
      <w:r>
        <w:rPr>
          <w:rFonts w:ascii="宋体" w:hAnsi="宋体"/>
          <w:color w:val="auto"/>
          <w:sz w:val="24"/>
          <w:szCs w:val="28"/>
          <w:highlight w:val="none"/>
        </w:rPr>
        <w:instrText xml:space="preserve"> HYPERLINK "http://tongxiehui.net/k/zeren/" \t "_blank" </w:instrText>
      </w:r>
      <w:r>
        <w:rPr>
          <w:rFonts w:ascii="宋体" w:hAnsi="宋体"/>
          <w:color w:val="auto"/>
          <w:sz w:val="24"/>
          <w:szCs w:val="28"/>
          <w:highlight w:val="none"/>
        </w:rPr>
        <w:fldChar w:fldCharType="separate"/>
      </w:r>
      <w:r>
        <w:rPr>
          <w:rStyle w:val="49"/>
          <w:rFonts w:ascii="宋体" w:hAnsi="宋体"/>
          <w:color w:val="auto"/>
          <w:sz w:val="24"/>
          <w:szCs w:val="28"/>
          <w:highlight w:val="none"/>
          <w:u w:val="none"/>
        </w:rPr>
        <w:t>责任</w:t>
      </w:r>
      <w:r>
        <w:rPr>
          <w:rFonts w:ascii="宋体" w:hAnsi="宋体"/>
          <w:color w:val="auto"/>
          <w:sz w:val="24"/>
          <w:szCs w:val="28"/>
          <w:highlight w:val="none"/>
        </w:rPr>
        <w:fldChar w:fldCharType="end"/>
      </w:r>
      <w:r>
        <w:rPr>
          <w:rFonts w:hint="eastAsia" w:ascii="宋体" w:hAnsi="宋体"/>
          <w:color w:val="auto"/>
          <w:sz w:val="24"/>
          <w:szCs w:val="28"/>
          <w:highlight w:val="none"/>
        </w:rPr>
        <w:t>；违反相关法律法规的，承担相应的法律责任</w:t>
      </w:r>
      <w:r>
        <w:rPr>
          <w:rFonts w:ascii="宋体" w:hAnsi="宋体"/>
          <w:color w:val="auto"/>
          <w:sz w:val="24"/>
          <w:szCs w:val="28"/>
          <w:highlight w:val="none"/>
        </w:rPr>
        <w:t>。</w:t>
      </w:r>
    </w:p>
    <w:p>
      <w:pPr>
        <w:rPr>
          <w:rFonts w:hint="eastAsia" w:ascii="宋体" w:hAnsi="宋体"/>
          <w:color w:val="auto"/>
          <w:sz w:val="24"/>
          <w:szCs w:val="28"/>
          <w:highlight w:val="none"/>
        </w:rPr>
      </w:pPr>
    </w:p>
    <w:p>
      <w:pPr>
        <w:ind w:firstLine="3240" w:firstLineChars="1350"/>
        <w:rPr>
          <w:rFonts w:hint="eastAsia" w:ascii="宋体" w:hAnsi="宋体"/>
          <w:color w:val="auto"/>
          <w:sz w:val="24"/>
          <w:szCs w:val="28"/>
          <w:highlight w:val="none"/>
        </w:rPr>
      </w:pPr>
    </w:p>
    <w:p>
      <w:pPr>
        <w:ind w:firstLine="3840" w:firstLineChars="1600"/>
        <w:rPr>
          <w:rFonts w:hint="eastAsia" w:ascii="宋体" w:hAnsi="宋体"/>
          <w:color w:val="auto"/>
          <w:sz w:val="24"/>
          <w:szCs w:val="28"/>
          <w:highlight w:val="none"/>
        </w:rPr>
      </w:pPr>
      <w:r>
        <w:rPr>
          <w:rFonts w:ascii="宋体" w:hAnsi="宋体"/>
          <w:color w:val="auto"/>
          <w:sz w:val="24"/>
          <w:szCs w:val="28"/>
          <w:highlight w:val="none"/>
        </w:rPr>
        <w:t>法定</w:t>
      </w:r>
      <w:r>
        <w:rPr>
          <w:rFonts w:ascii="宋体" w:hAnsi="宋体"/>
          <w:color w:val="auto"/>
          <w:sz w:val="24"/>
          <w:szCs w:val="28"/>
          <w:highlight w:val="none"/>
        </w:rPr>
        <w:fldChar w:fldCharType="begin"/>
      </w:r>
      <w:r>
        <w:rPr>
          <w:rFonts w:ascii="宋体" w:hAnsi="宋体"/>
          <w:color w:val="auto"/>
          <w:sz w:val="24"/>
          <w:szCs w:val="28"/>
          <w:highlight w:val="none"/>
        </w:rPr>
        <w:instrText xml:space="preserve"> HYPERLINK "http://tongxiehui.net/k/daibiao/" \t "_blank" </w:instrText>
      </w:r>
      <w:r>
        <w:rPr>
          <w:rFonts w:ascii="宋体" w:hAnsi="宋体"/>
          <w:color w:val="auto"/>
          <w:sz w:val="24"/>
          <w:szCs w:val="28"/>
          <w:highlight w:val="none"/>
        </w:rPr>
        <w:fldChar w:fldCharType="separate"/>
      </w:r>
      <w:r>
        <w:rPr>
          <w:rStyle w:val="49"/>
          <w:rFonts w:ascii="宋体" w:hAnsi="宋体"/>
          <w:color w:val="auto"/>
          <w:sz w:val="24"/>
          <w:szCs w:val="28"/>
          <w:highlight w:val="none"/>
          <w:u w:val="none"/>
        </w:rPr>
        <w:t>代表</w:t>
      </w:r>
      <w:r>
        <w:rPr>
          <w:rFonts w:ascii="宋体" w:hAnsi="宋体"/>
          <w:color w:val="auto"/>
          <w:sz w:val="24"/>
          <w:szCs w:val="28"/>
          <w:highlight w:val="none"/>
        </w:rPr>
        <w:fldChar w:fldCharType="end"/>
      </w:r>
      <w:r>
        <w:rPr>
          <w:rFonts w:hint="eastAsia" w:ascii="宋体" w:hAnsi="宋体"/>
          <w:color w:val="auto"/>
          <w:sz w:val="24"/>
          <w:szCs w:val="28"/>
          <w:highlight w:val="none"/>
        </w:rPr>
        <w:t>人</w:t>
      </w:r>
      <w:r>
        <w:rPr>
          <w:rFonts w:ascii="宋体" w:hAnsi="宋体"/>
          <w:color w:val="auto"/>
          <w:sz w:val="24"/>
          <w:szCs w:val="28"/>
          <w:highlight w:val="none"/>
        </w:rPr>
        <w:t>（签</w:t>
      </w:r>
      <w:r>
        <w:rPr>
          <w:rFonts w:hint="eastAsia" w:ascii="宋体" w:hAnsi="宋体"/>
          <w:color w:val="auto"/>
          <w:sz w:val="24"/>
          <w:szCs w:val="28"/>
          <w:highlight w:val="none"/>
        </w:rPr>
        <w:t>名</w:t>
      </w:r>
      <w:r>
        <w:rPr>
          <w:rFonts w:ascii="宋体" w:hAnsi="宋体"/>
          <w:color w:val="auto"/>
          <w:sz w:val="24"/>
          <w:szCs w:val="28"/>
          <w:highlight w:val="none"/>
        </w:rPr>
        <w:t>）</w:t>
      </w:r>
      <w:r>
        <w:rPr>
          <w:rFonts w:hint="eastAsia" w:ascii="宋体" w:hAnsi="宋体"/>
          <w:color w:val="auto"/>
          <w:sz w:val="24"/>
          <w:szCs w:val="28"/>
          <w:highlight w:val="none"/>
          <w:lang w:eastAsia="zh-CN"/>
        </w:rPr>
        <w:t>：</w:t>
      </w:r>
    </w:p>
    <w:p>
      <w:pPr>
        <w:rPr>
          <w:rFonts w:hint="eastAsia" w:ascii="宋体" w:hAnsi="宋体"/>
          <w:color w:val="auto"/>
          <w:sz w:val="24"/>
          <w:szCs w:val="28"/>
          <w:highlight w:val="none"/>
        </w:rPr>
      </w:pPr>
      <w:r>
        <w:rPr>
          <w:rFonts w:ascii="宋体" w:hAnsi="宋体"/>
          <w:color w:val="auto"/>
          <w:sz w:val="24"/>
          <w:szCs w:val="28"/>
          <w:highlight w:val="none"/>
        </w:rPr>
        <w:t>投标单位（公章）</w:t>
      </w:r>
      <w:r>
        <w:rPr>
          <w:rFonts w:hint="eastAsia" w:ascii="宋体" w:hAnsi="宋体"/>
          <w:color w:val="auto"/>
          <w:sz w:val="24"/>
          <w:szCs w:val="28"/>
          <w:highlight w:val="none"/>
          <w:lang w:eastAsia="zh-CN"/>
        </w:rPr>
        <w:t>：</w:t>
      </w:r>
      <w:r>
        <w:rPr>
          <w:rFonts w:hint="eastAsia" w:ascii="宋体" w:hAnsi="宋体"/>
          <w:color w:val="auto"/>
          <w:sz w:val="24"/>
          <w:szCs w:val="28"/>
          <w:highlight w:val="none"/>
        </w:rPr>
        <w:t xml:space="preserve"> </w:t>
      </w:r>
    </w:p>
    <w:p>
      <w:pPr>
        <w:ind w:firstLine="3840" w:firstLineChars="1600"/>
        <w:rPr>
          <w:rFonts w:hint="eastAsia" w:ascii="宋体" w:hAnsi="宋体"/>
          <w:color w:val="auto"/>
          <w:sz w:val="24"/>
          <w:szCs w:val="28"/>
          <w:highlight w:val="none"/>
        </w:rPr>
      </w:pPr>
      <w:r>
        <w:rPr>
          <w:rFonts w:hint="eastAsia" w:ascii="宋体" w:hAnsi="宋体"/>
          <w:color w:val="auto"/>
          <w:sz w:val="24"/>
          <w:szCs w:val="28"/>
          <w:highlight w:val="none"/>
        </w:rPr>
        <w:t>项目负责人</w:t>
      </w:r>
      <w:r>
        <w:rPr>
          <w:rFonts w:ascii="宋体" w:hAnsi="宋体"/>
          <w:color w:val="auto"/>
          <w:sz w:val="24"/>
          <w:szCs w:val="28"/>
          <w:highlight w:val="none"/>
        </w:rPr>
        <w:t>（签</w:t>
      </w:r>
      <w:r>
        <w:rPr>
          <w:rFonts w:hint="eastAsia" w:ascii="宋体" w:hAnsi="宋体"/>
          <w:color w:val="auto"/>
          <w:sz w:val="24"/>
          <w:szCs w:val="28"/>
          <w:highlight w:val="none"/>
          <w:lang w:eastAsia="zh-CN"/>
        </w:rPr>
        <w:t>名</w:t>
      </w:r>
      <w:r>
        <w:rPr>
          <w:rFonts w:ascii="宋体" w:hAnsi="宋体"/>
          <w:color w:val="auto"/>
          <w:sz w:val="24"/>
          <w:szCs w:val="28"/>
          <w:highlight w:val="none"/>
        </w:rPr>
        <w:t>）</w:t>
      </w:r>
      <w:r>
        <w:rPr>
          <w:rFonts w:hint="eastAsia" w:ascii="宋体" w:hAnsi="宋体"/>
          <w:color w:val="auto"/>
          <w:sz w:val="24"/>
          <w:szCs w:val="28"/>
          <w:highlight w:val="none"/>
          <w:lang w:eastAsia="zh-CN"/>
        </w:rPr>
        <w:t>：</w:t>
      </w:r>
      <w:r>
        <w:rPr>
          <w:rFonts w:hint="eastAsia" w:ascii="宋体" w:hAnsi="宋体"/>
          <w:color w:val="auto"/>
          <w:sz w:val="24"/>
          <w:szCs w:val="28"/>
          <w:highlight w:val="none"/>
        </w:rPr>
        <w:t xml:space="preserve"> </w:t>
      </w:r>
    </w:p>
    <w:p>
      <w:pPr>
        <w:rPr>
          <w:rFonts w:hint="eastAsia" w:ascii="宋体" w:hAnsi="宋体"/>
          <w:color w:val="auto"/>
          <w:sz w:val="24"/>
          <w:szCs w:val="28"/>
          <w:highlight w:val="none"/>
        </w:rPr>
      </w:pPr>
    </w:p>
    <w:p>
      <w:pPr>
        <w:rPr>
          <w:rFonts w:hint="eastAsia" w:ascii="宋体" w:hAnsi="宋体"/>
          <w:color w:val="auto"/>
          <w:sz w:val="24"/>
          <w:szCs w:val="28"/>
          <w:highlight w:val="none"/>
        </w:rPr>
      </w:pPr>
    </w:p>
    <w:p>
      <w:pPr>
        <w:rPr>
          <w:rFonts w:ascii="宋体" w:hAnsi="宋体"/>
          <w:color w:val="auto"/>
          <w:sz w:val="24"/>
          <w:szCs w:val="28"/>
          <w:highlight w:val="none"/>
        </w:rPr>
      </w:pPr>
      <w:r>
        <w:rPr>
          <w:rFonts w:ascii="宋体" w:hAnsi="宋体"/>
          <w:color w:val="auto"/>
          <w:sz w:val="24"/>
          <w:szCs w:val="28"/>
          <w:highlight w:val="none"/>
        </w:rPr>
        <w:t>开户银行</w:t>
      </w:r>
      <w:r>
        <w:rPr>
          <w:rFonts w:hint="eastAsia" w:ascii="宋体" w:hAnsi="宋体"/>
          <w:color w:val="auto"/>
          <w:sz w:val="24"/>
          <w:szCs w:val="28"/>
          <w:highlight w:val="none"/>
          <w:lang w:eastAsia="zh-CN"/>
        </w:rPr>
        <w:t>：</w:t>
      </w:r>
      <w:r>
        <w:rPr>
          <w:rFonts w:hint="eastAsia" w:ascii="宋体" w:hAnsi="宋体"/>
          <w:color w:val="auto"/>
          <w:sz w:val="24"/>
          <w:szCs w:val="28"/>
          <w:highlight w:val="none"/>
        </w:rPr>
        <w:t xml:space="preserve">                       </w:t>
      </w:r>
      <w:r>
        <w:rPr>
          <w:rFonts w:ascii="宋体" w:hAnsi="宋体"/>
          <w:color w:val="auto"/>
          <w:sz w:val="24"/>
          <w:szCs w:val="28"/>
          <w:highlight w:val="none"/>
        </w:rPr>
        <w:t>基本账户</w:t>
      </w:r>
      <w:r>
        <w:rPr>
          <w:rFonts w:hint="eastAsia" w:ascii="宋体" w:hAnsi="宋体"/>
          <w:color w:val="auto"/>
          <w:sz w:val="24"/>
          <w:szCs w:val="28"/>
          <w:highlight w:val="none"/>
          <w:lang w:eastAsia="zh-CN"/>
        </w:rPr>
        <w:t>：</w:t>
      </w:r>
    </w:p>
    <w:p>
      <w:pPr>
        <w:rPr>
          <w:rFonts w:hint="eastAsia" w:ascii="宋体" w:hAnsi="宋体"/>
          <w:color w:val="auto"/>
          <w:sz w:val="24"/>
          <w:szCs w:val="28"/>
          <w:highlight w:val="none"/>
        </w:rPr>
      </w:pPr>
    </w:p>
    <w:p>
      <w:pPr>
        <w:rPr>
          <w:rFonts w:hint="eastAsia" w:ascii="宋体" w:hAnsi="宋体"/>
          <w:color w:val="auto"/>
          <w:sz w:val="24"/>
          <w:szCs w:val="28"/>
          <w:highlight w:val="none"/>
        </w:rPr>
      </w:pPr>
    </w:p>
    <w:p>
      <w:pPr>
        <w:wordWrap w:val="0"/>
        <w:jc w:val="right"/>
        <w:rPr>
          <w:rFonts w:hint="eastAsia" w:ascii="宋体" w:hAnsi="宋体"/>
          <w:color w:val="auto"/>
          <w:sz w:val="24"/>
          <w:szCs w:val="28"/>
          <w:highlight w:val="none"/>
        </w:rPr>
      </w:pPr>
      <w:r>
        <w:rPr>
          <w:rFonts w:hint="eastAsia" w:ascii="宋体" w:hAnsi="宋体"/>
          <w:color w:val="auto"/>
          <w:sz w:val="24"/>
          <w:szCs w:val="28"/>
          <w:highlight w:val="none"/>
        </w:rPr>
        <w:t>日期</w:t>
      </w:r>
      <w:r>
        <w:rPr>
          <w:rFonts w:ascii="宋体" w:hAnsi="宋体"/>
          <w:color w:val="auto"/>
          <w:sz w:val="24"/>
          <w:szCs w:val="28"/>
          <w:highlight w:val="none"/>
        </w:rPr>
        <w:t>：</w:t>
      </w:r>
      <w:r>
        <w:rPr>
          <w:rFonts w:hint="eastAsia" w:ascii="宋体" w:hAnsi="宋体"/>
          <w:color w:val="auto"/>
          <w:sz w:val="24"/>
          <w:szCs w:val="28"/>
          <w:highlight w:val="none"/>
        </w:rPr>
        <w:t xml:space="preserve">  </w:t>
      </w:r>
      <w:r>
        <w:rPr>
          <w:rFonts w:ascii="宋体" w:hAnsi="宋体"/>
          <w:color w:val="auto"/>
          <w:sz w:val="24"/>
          <w:szCs w:val="28"/>
          <w:highlight w:val="none"/>
        </w:rPr>
        <w:t xml:space="preserve">      </w:t>
      </w:r>
      <w:r>
        <w:rPr>
          <w:rFonts w:hint="eastAsia" w:ascii="宋体" w:hAnsi="宋体"/>
          <w:color w:val="auto"/>
          <w:sz w:val="24"/>
          <w:szCs w:val="28"/>
          <w:highlight w:val="none"/>
        </w:rPr>
        <w:t xml:space="preserve"> </w:t>
      </w:r>
      <w:r>
        <w:rPr>
          <w:rFonts w:ascii="宋体" w:hAnsi="宋体"/>
          <w:color w:val="auto"/>
          <w:sz w:val="24"/>
          <w:szCs w:val="28"/>
          <w:highlight w:val="none"/>
        </w:rPr>
        <w:t xml:space="preserve"> </w:t>
      </w:r>
      <w:r>
        <w:rPr>
          <w:rFonts w:hint="eastAsia" w:ascii="宋体" w:hAnsi="宋体"/>
          <w:color w:val="auto"/>
          <w:sz w:val="24"/>
          <w:szCs w:val="28"/>
          <w:highlight w:val="none"/>
        </w:rPr>
        <w:t xml:space="preserve">年    </w:t>
      </w:r>
      <w:r>
        <w:rPr>
          <w:rFonts w:ascii="宋体" w:hAnsi="宋体"/>
          <w:color w:val="auto"/>
          <w:sz w:val="24"/>
          <w:szCs w:val="28"/>
          <w:highlight w:val="none"/>
        </w:rPr>
        <w:t xml:space="preserve"> </w:t>
      </w:r>
      <w:r>
        <w:rPr>
          <w:rFonts w:hint="eastAsia" w:ascii="宋体" w:hAnsi="宋体"/>
          <w:color w:val="auto"/>
          <w:sz w:val="24"/>
          <w:szCs w:val="28"/>
          <w:highlight w:val="none"/>
        </w:rPr>
        <w:t xml:space="preserve"> 月     </w:t>
      </w:r>
      <w:r>
        <w:rPr>
          <w:rFonts w:ascii="宋体" w:hAnsi="宋体"/>
          <w:color w:val="auto"/>
          <w:sz w:val="24"/>
          <w:szCs w:val="28"/>
          <w:highlight w:val="none"/>
        </w:rPr>
        <w:t xml:space="preserve"> </w:t>
      </w:r>
      <w:r>
        <w:rPr>
          <w:rFonts w:hint="eastAsia" w:ascii="宋体" w:hAnsi="宋体"/>
          <w:color w:val="auto"/>
          <w:sz w:val="24"/>
          <w:szCs w:val="28"/>
          <w:highlight w:val="none"/>
        </w:rPr>
        <w:t>日</w:t>
      </w:r>
    </w:p>
    <w:p>
      <w:pPr>
        <w:spacing w:line="360" w:lineRule="auto"/>
        <w:jc w:val="center"/>
        <w:rPr>
          <w:rFonts w:hint="eastAsia" w:ascii="黑体" w:hAnsi="宋体" w:eastAsia="黑体"/>
          <w:color w:val="auto"/>
          <w:sz w:val="36"/>
          <w:szCs w:val="36"/>
          <w:highlight w:val="none"/>
        </w:rPr>
      </w:pPr>
      <w:r>
        <w:rPr>
          <w:rFonts w:ascii="黑体" w:hAnsi="宋体" w:eastAsia="黑体"/>
          <w:color w:val="auto"/>
          <w:sz w:val="36"/>
          <w:szCs w:val="36"/>
          <w:highlight w:val="none"/>
        </w:rPr>
        <w:br w:type="page"/>
      </w: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1</w:t>
      </w:r>
      <w:r>
        <w:rPr>
          <w:rFonts w:hint="eastAsia" w:ascii="黑体" w:hAnsi="宋体" w:eastAsia="黑体"/>
          <w:color w:val="auto"/>
          <w:sz w:val="36"/>
          <w:szCs w:val="36"/>
          <w:highlight w:val="none"/>
        </w:rPr>
        <w:t>.拟分包计划表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序</w:t>
            </w:r>
          </w:p>
          <w:p>
            <w:pPr>
              <w:jc w:val="center"/>
              <w:rPr>
                <w:rFonts w:hint="eastAsia" w:ascii="宋体" w:hAnsi="宋体"/>
                <w:color w:val="auto"/>
                <w:szCs w:val="21"/>
                <w:highlight w:val="none"/>
              </w:rPr>
            </w:pPr>
            <w:r>
              <w:rPr>
                <w:rFonts w:hint="eastAsia" w:ascii="宋体" w:hAnsi="宋体"/>
                <w:color w:val="auto"/>
                <w:szCs w:val="21"/>
                <w:highlight w:val="none"/>
              </w:rPr>
              <w:t>号</w:t>
            </w:r>
          </w:p>
        </w:tc>
        <w:tc>
          <w:tcPr>
            <w:tcW w:w="1843" w:type="dxa"/>
            <w:vMerge w:val="restart"/>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拟分包项目名称、范围及理由</w:t>
            </w:r>
          </w:p>
        </w:tc>
        <w:tc>
          <w:tcPr>
            <w:tcW w:w="5111" w:type="dxa"/>
            <w:gridSpan w:val="5"/>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拟选分包人</w:t>
            </w:r>
          </w:p>
        </w:tc>
        <w:tc>
          <w:tcPr>
            <w:tcW w:w="983" w:type="dxa"/>
            <w:vMerge w:val="restart"/>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701" w:type="dxa"/>
            <w:gridSpan w:val="2"/>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拟选分包人名称</w:t>
            </w:r>
          </w:p>
        </w:tc>
        <w:tc>
          <w:tcPr>
            <w:tcW w:w="1123" w:type="dxa"/>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注册地点</w:t>
            </w:r>
          </w:p>
        </w:tc>
        <w:tc>
          <w:tcPr>
            <w:tcW w:w="1090" w:type="dxa"/>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企业资质</w:t>
            </w:r>
          </w:p>
        </w:tc>
        <w:tc>
          <w:tcPr>
            <w:tcW w:w="1197" w:type="dxa"/>
            <w:noWrap w:val="0"/>
            <w:tcMar>
              <w:left w:w="108" w:type="dxa"/>
              <w:right w:w="108" w:type="dxa"/>
            </w:tcMar>
            <w:vAlign w:val="center"/>
          </w:tcPr>
          <w:p>
            <w:pPr>
              <w:jc w:val="center"/>
              <w:rPr>
                <w:rFonts w:hint="eastAsia" w:ascii="宋体" w:hAnsi="宋体"/>
                <w:color w:val="auto"/>
                <w:szCs w:val="21"/>
                <w:highlight w:val="none"/>
              </w:rPr>
            </w:pPr>
            <w:r>
              <w:rPr>
                <w:rFonts w:hint="eastAsia" w:ascii="宋体" w:hAnsi="宋体"/>
                <w:color w:val="auto"/>
                <w:szCs w:val="21"/>
                <w:highlight w:val="none"/>
              </w:rPr>
              <w:t>有关业绩</w:t>
            </w:r>
          </w:p>
        </w:tc>
        <w:tc>
          <w:tcPr>
            <w:tcW w:w="983" w:type="dxa"/>
            <w:vMerge w:val="continue"/>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restart"/>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2</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3</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restart"/>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1</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2</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1843" w:type="dxa"/>
            <w:vMerge w:val="continue"/>
            <w:noWrap w:val="0"/>
            <w:tcMar>
              <w:left w:w="108" w:type="dxa"/>
              <w:right w:w="108" w:type="dxa"/>
            </w:tcMar>
            <w:vAlign w:val="center"/>
          </w:tcPr>
          <w:p>
            <w:pPr>
              <w:jc w:val="center"/>
              <w:rPr>
                <w:rFonts w:hint="eastAsia" w:ascii="宋体" w:hAnsi="宋体"/>
                <w:color w:val="auto"/>
                <w:szCs w:val="21"/>
                <w:highlight w:val="none"/>
              </w:rPr>
            </w:pPr>
          </w:p>
        </w:tc>
        <w:tc>
          <w:tcPr>
            <w:tcW w:w="751" w:type="dxa"/>
            <w:noWrap w:val="0"/>
            <w:tcMar>
              <w:left w:w="108" w:type="dxa"/>
              <w:right w:w="108" w:type="dxa"/>
            </w:tcMar>
            <w:vAlign w:val="center"/>
          </w:tcPr>
          <w:p>
            <w:pPr>
              <w:jc w:val="center"/>
              <w:rPr>
                <w:rFonts w:hint="eastAsia" w:ascii="黑体" w:hAnsi="宋体" w:eastAsia="黑体"/>
                <w:color w:val="auto"/>
                <w:szCs w:val="21"/>
                <w:highlight w:val="none"/>
              </w:rPr>
            </w:pPr>
            <w:r>
              <w:rPr>
                <w:rFonts w:hint="eastAsia" w:ascii="黑体" w:hAnsi="宋体" w:eastAsia="黑体"/>
                <w:color w:val="auto"/>
                <w:szCs w:val="21"/>
                <w:highlight w:val="none"/>
              </w:rPr>
              <w:t>3</w:t>
            </w:r>
          </w:p>
        </w:tc>
        <w:tc>
          <w:tcPr>
            <w:tcW w:w="950" w:type="dxa"/>
            <w:noWrap w:val="0"/>
            <w:tcMar>
              <w:left w:w="108" w:type="dxa"/>
              <w:right w:w="108" w:type="dxa"/>
            </w:tcMar>
            <w:vAlign w:val="center"/>
          </w:tcPr>
          <w:p>
            <w:pPr>
              <w:jc w:val="center"/>
              <w:rPr>
                <w:rFonts w:hint="eastAsia" w:ascii="宋体" w:hAnsi="宋体"/>
                <w:color w:val="auto"/>
                <w:szCs w:val="21"/>
                <w:highlight w:val="none"/>
              </w:rPr>
            </w:pPr>
          </w:p>
        </w:tc>
        <w:tc>
          <w:tcPr>
            <w:tcW w:w="1123" w:type="dxa"/>
            <w:noWrap w:val="0"/>
            <w:tcMar>
              <w:left w:w="108" w:type="dxa"/>
              <w:right w:w="108" w:type="dxa"/>
            </w:tcMar>
            <w:vAlign w:val="center"/>
          </w:tcPr>
          <w:p>
            <w:pPr>
              <w:jc w:val="center"/>
              <w:rPr>
                <w:rFonts w:hint="eastAsia" w:ascii="宋体" w:hAnsi="宋体"/>
                <w:color w:val="auto"/>
                <w:szCs w:val="21"/>
                <w:highlight w:val="none"/>
              </w:rPr>
            </w:pPr>
          </w:p>
        </w:tc>
        <w:tc>
          <w:tcPr>
            <w:tcW w:w="1090" w:type="dxa"/>
            <w:noWrap w:val="0"/>
            <w:tcMar>
              <w:left w:w="108" w:type="dxa"/>
              <w:right w:w="108" w:type="dxa"/>
            </w:tcMar>
            <w:vAlign w:val="center"/>
          </w:tcPr>
          <w:p>
            <w:pPr>
              <w:jc w:val="center"/>
              <w:rPr>
                <w:rFonts w:hint="eastAsia" w:ascii="宋体" w:hAnsi="宋体"/>
                <w:color w:val="auto"/>
                <w:szCs w:val="21"/>
                <w:highlight w:val="none"/>
              </w:rPr>
            </w:pPr>
          </w:p>
        </w:tc>
        <w:tc>
          <w:tcPr>
            <w:tcW w:w="1197" w:type="dxa"/>
            <w:noWrap w:val="0"/>
            <w:tcMar>
              <w:left w:w="108" w:type="dxa"/>
              <w:right w:w="108" w:type="dxa"/>
            </w:tcMar>
            <w:vAlign w:val="center"/>
          </w:tcPr>
          <w:p>
            <w:pPr>
              <w:jc w:val="center"/>
              <w:rPr>
                <w:rFonts w:hint="eastAsia" w:ascii="宋体" w:hAnsi="宋体"/>
                <w:color w:val="auto"/>
                <w:szCs w:val="21"/>
                <w:highlight w:val="none"/>
              </w:rPr>
            </w:pPr>
          </w:p>
        </w:tc>
        <w:tc>
          <w:tcPr>
            <w:tcW w:w="983" w:type="dxa"/>
            <w:noWrap w:val="0"/>
            <w:tcMar>
              <w:left w:w="108" w:type="dxa"/>
              <w:right w:w="108" w:type="dxa"/>
            </w:tcMar>
            <w:vAlign w:val="center"/>
          </w:tcPr>
          <w:p>
            <w:pPr>
              <w:jc w:val="center"/>
              <w:rPr>
                <w:rFonts w:hint="eastAsia" w:ascii="宋体" w:hAnsi="宋体"/>
                <w:color w:val="auto"/>
                <w:szCs w:val="21"/>
                <w:highlight w:val="none"/>
              </w:rPr>
            </w:pPr>
          </w:p>
        </w:tc>
      </w:tr>
    </w:tbl>
    <w:p>
      <w:pPr>
        <w:spacing w:line="360" w:lineRule="auto"/>
        <w:ind w:right="420"/>
        <w:rPr>
          <w:rFonts w:hint="eastAsia" w:ascii="黑体" w:hAnsi="宋体" w:eastAsia="黑体"/>
          <w:color w:val="auto"/>
          <w:szCs w:val="21"/>
          <w:highlight w:val="none"/>
        </w:rPr>
      </w:pPr>
    </w:p>
    <w:p>
      <w:pPr>
        <w:spacing w:line="360" w:lineRule="auto"/>
        <w:ind w:right="420"/>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本表所列分包仅限于承包人自行施工范围内的非主体、非关键工程；如无分包计划的填“无”。</w:t>
      </w:r>
    </w:p>
    <w:p>
      <w:pPr>
        <w:spacing w:line="360" w:lineRule="auto"/>
        <w:ind w:right="420"/>
        <w:rPr>
          <w:rFonts w:hint="eastAsia" w:ascii="宋体" w:hAnsi="宋体"/>
          <w:color w:val="auto"/>
          <w:szCs w:val="21"/>
          <w:highlight w:val="none"/>
        </w:rPr>
      </w:pPr>
    </w:p>
    <w:p>
      <w:pPr>
        <w:wordWrap w:val="0"/>
        <w:spacing w:line="360" w:lineRule="auto"/>
        <w:ind w:right="420"/>
        <w:jc w:val="right"/>
        <w:rPr>
          <w:rFonts w:hint="eastAsia" w:ascii="宋体" w:hAnsi="宋体"/>
          <w:color w:val="auto"/>
          <w:szCs w:val="21"/>
          <w:highlight w:val="none"/>
        </w:rPr>
      </w:pPr>
      <w:r>
        <w:rPr>
          <w:rFonts w:hint="eastAsia" w:ascii="宋体" w:hAnsi="宋体"/>
          <w:color w:val="auto"/>
          <w:szCs w:val="21"/>
          <w:highlight w:val="none"/>
        </w:rPr>
        <w:t xml:space="preserve">日    期： </w:t>
      </w:r>
      <w:r>
        <w:rPr>
          <w:rFonts w:ascii="宋体" w:hAnsi="宋体"/>
          <w:color w:val="auto"/>
          <w:szCs w:val="21"/>
          <w:highlight w:val="none"/>
        </w:rPr>
        <w:t xml:space="preserve">  </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 xml:space="preserve"> 月   </w:t>
      </w:r>
      <w:r>
        <w:rPr>
          <w:rFonts w:ascii="宋体" w:hAnsi="宋体"/>
          <w:color w:val="auto"/>
          <w:szCs w:val="21"/>
          <w:highlight w:val="none"/>
        </w:rPr>
        <w:t xml:space="preserve">  </w:t>
      </w:r>
      <w:r>
        <w:rPr>
          <w:rFonts w:hint="eastAsia" w:ascii="宋体" w:hAnsi="宋体"/>
          <w:color w:val="auto"/>
          <w:szCs w:val="21"/>
          <w:highlight w:val="none"/>
        </w:rPr>
        <w:t xml:space="preserve">  日</w:t>
      </w:r>
    </w:p>
    <w:p>
      <w:pPr>
        <w:spacing w:line="360" w:lineRule="auto"/>
        <w:jc w:val="center"/>
        <w:rPr>
          <w:rFonts w:hint="eastAsia" w:ascii="黑体" w:hAnsi="宋体" w:eastAsia="黑体"/>
          <w:color w:val="auto"/>
          <w:sz w:val="36"/>
          <w:szCs w:val="36"/>
          <w:highlight w:val="none"/>
        </w:rPr>
      </w:pPr>
    </w:p>
    <w:p>
      <w:pPr>
        <w:spacing w:line="360" w:lineRule="auto"/>
        <w:jc w:val="center"/>
        <w:rPr>
          <w:rFonts w:hint="eastAsia" w:ascii="黑体" w:hAnsi="宋体" w:eastAsia="黑体"/>
          <w:color w:val="auto"/>
          <w:sz w:val="36"/>
          <w:szCs w:val="36"/>
          <w:highlight w:val="none"/>
        </w:rPr>
      </w:pPr>
    </w:p>
    <w:p>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2</w:t>
      </w:r>
      <w:r>
        <w:rPr>
          <w:rFonts w:hint="eastAsia" w:ascii="黑体" w:hAnsi="宋体" w:eastAsia="黑体"/>
          <w:color w:val="auto"/>
          <w:sz w:val="36"/>
          <w:szCs w:val="36"/>
          <w:highlight w:val="none"/>
        </w:rPr>
        <w:t>.技术评审材料</w:t>
      </w: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r>
        <w:rPr>
          <w:rFonts w:hint="eastAsia" w:ascii="Microsoft YaHei UI" w:hAnsi="Microsoft YaHei UI" w:eastAsia="Microsoft YaHei UI" w:cs="Microsoft YaHei UI"/>
          <w:b/>
          <w:bCs/>
          <w:color w:val="auto"/>
          <w:spacing w:val="12"/>
          <w:kern w:val="0"/>
          <w:szCs w:val="21"/>
          <w:highlight w:val="none"/>
        </w:rPr>
        <w:t>（</w:t>
      </w:r>
      <w:r>
        <w:rPr>
          <w:rFonts w:hint="eastAsia" w:ascii="Tahoma" w:hAnsi="Tahoma" w:cs="@smartSimSun"/>
          <w:b/>
          <w:bCs/>
          <w:color w:val="auto"/>
          <w:spacing w:val="12"/>
          <w:kern w:val="0"/>
          <w:szCs w:val="21"/>
          <w:highlight w:val="none"/>
        </w:rPr>
        <w:t>投标人根据招标文件评标办法技术评审因素和评审标准逐项编制</w:t>
      </w:r>
      <w:r>
        <w:rPr>
          <w:rFonts w:hint="eastAsia" w:ascii="Microsoft YaHei UI" w:hAnsi="Microsoft YaHei UI" w:eastAsia="Microsoft YaHei UI" w:cs="Microsoft YaHei UI"/>
          <w:b/>
          <w:bCs/>
          <w:color w:val="auto"/>
          <w:spacing w:val="12"/>
          <w:kern w:val="0"/>
          <w:szCs w:val="21"/>
          <w:highlight w:val="none"/>
        </w:rPr>
        <w:t>）</w:t>
      </w: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p>
    <w:p>
      <w:pPr>
        <w:spacing w:line="360" w:lineRule="auto"/>
        <w:jc w:val="center"/>
        <w:rPr>
          <w:rFonts w:hint="eastAsia" w:ascii="Microsoft YaHei UI" w:hAnsi="Microsoft YaHei UI" w:eastAsia="Microsoft YaHei UI" w:cs="Microsoft YaHei UI"/>
          <w:b/>
          <w:bCs/>
          <w:color w:val="auto"/>
          <w:spacing w:val="12"/>
          <w:kern w:val="0"/>
          <w:szCs w:val="21"/>
          <w:highlight w:val="none"/>
        </w:rPr>
      </w:pPr>
    </w:p>
    <w:p>
      <w:pPr>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3</w:t>
      </w:r>
      <w:r>
        <w:rPr>
          <w:rFonts w:hint="eastAsia" w:ascii="黑体" w:hAnsi="宋体" w:eastAsia="黑体"/>
          <w:color w:val="auto"/>
          <w:sz w:val="36"/>
          <w:szCs w:val="36"/>
          <w:highlight w:val="none"/>
        </w:rPr>
        <w:t>.其他投标人认为需要提供的材料</w:t>
      </w:r>
    </w:p>
    <w:p>
      <w:pPr>
        <w:spacing w:before="240" w:beforeLines="100" w:after="240" w:afterLines="100" w:line="360" w:lineRule="auto"/>
        <w:jc w:val="center"/>
        <w:rPr>
          <w:color w:val="auto"/>
          <w:highlight w:val="none"/>
        </w:rPr>
      </w:pPr>
      <w:r>
        <w:rPr>
          <w:rFonts w:ascii="黑体" w:eastAsia="黑体"/>
          <w:color w:val="auto"/>
          <w:sz w:val="32"/>
          <w:szCs w:val="32"/>
          <w:highlight w:val="none"/>
        </w:rPr>
        <w:br w:type="page"/>
      </w:r>
    </w:p>
    <w:p>
      <w:pPr>
        <w:pStyle w:val="41"/>
        <w:ind w:firstLine="528"/>
        <w:rPr>
          <w:color w:val="auto"/>
          <w:highlight w:val="none"/>
        </w:rPr>
      </w:pPr>
    </w:p>
    <w:p>
      <w:pPr>
        <w:pStyle w:val="41"/>
        <w:ind w:firstLine="528"/>
        <w:rPr>
          <w:color w:val="auto"/>
          <w:highlight w:val="none"/>
        </w:rPr>
      </w:pPr>
    </w:p>
    <w:p>
      <w:pPr>
        <w:pStyle w:val="41"/>
        <w:ind w:firstLine="528"/>
        <w:rPr>
          <w:rFonts w:hint="eastAsia"/>
          <w:color w:val="auto"/>
          <w:highlight w:val="none"/>
        </w:rPr>
      </w:pPr>
    </w:p>
    <w:p>
      <w:pPr>
        <w:pStyle w:val="41"/>
        <w:ind w:firstLine="528"/>
        <w:rPr>
          <w:rFonts w:hint="eastAsia"/>
          <w:color w:val="auto"/>
          <w:highlight w:val="none"/>
        </w:rPr>
      </w:pPr>
    </w:p>
    <w:p>
      <w:pPr>
        <w:spacing w:line="360" w:lineRule="auto"/>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（项目名称）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施工招标</w:t>
      </w:r>
    </w:p>
    <w:p>
      <w:pPr>
        <w:spacing w:before="240" w:beforeLines="100" w:line="360" w:lineRule="auto"/>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pPr>
        <w:spacing w:line="360" w:lineRule="auto"/>
        <w:jc w:val="center"/>
        <w:rPr>
          <w:rFonts w:hint="eastAsia" w:ascii="黑体" w:eastAsia="黑体"/>
          <w:color w:val="auto"/>
          <w:sz w:val="32"/>
          <w:szCs w:val="32"/>
          <w:highlight w:val="none"/>
        </w:rPr>
      </w:pPr>
      <w:r>
        <w:rPr>
          <w:rFonts w:hint="eastAsia" w:ascii="黑体" w:eastAsia="黑体"/>
          <w:color w:val="auto"/>
          <w:sz w:val="32"/>
          <w:szCs w:val="32"/>
          <w:highlight w:val="none"/>
        </w:rPr>
        <w:t>（定标</w:t>
      </w:r>
      <w:r>
        <w:rPr>
          <w:rFonts w:ascii="黑体" w:eastAsia="黑体"/>
          <w:color w:val="auto"/>
          <w:sz w:val="32"/>
          <w:szCs w:val="32"/>
          <w:highlight w:val="none"/>
        </w:rPr>
        <w:t>部分）</w:t>
      </w:r>
    </w:p>
    <w:p>
      <w:pPr>
        <w:spacing w:line="360" w:lineRule="auto"/>
        <w:rPr>
          <w:rFonts w:hint="eastAsia" w:ascii="黑体" w:eastAsia="黑体"/>
          <w:color w:val="auto"/>
          <w:sz w:val="32"/>
          <w:szCs w:val="32"/>
          <w:highlight w:val="none"/>
        </w:rPr>
      </w:pPr>
    </w:p>
    <w:p>
      <w:pPr>
        <w:spacing w:line="360" w:lineRule="auto"/>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pStyle w:val="41"/>
        <w:rPr>
          <w:rFonts w:hint="eastAsia"/>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32"/>
          <w:szCs w:val="32"/>
          <w:highlight w:val="none"/>
        </w:rPr>
      </w:pPr>
    </w:p>
    <w:p>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（盖单位公章）</w:t>
      </w:r>
    </w:p>
    <w:p>
      <w:pPr>
        <w:spacing w:line="360" w:lineRule="auto"/>
        <w:ind w:firstLine="1260" w:firstLineChars="450"/>
        <w:jc w:val="left"/>
        <w:rPr>
          <w:rFonts w:hint="eastAsia" w:ascii="黑体" w:eastAsia="黑体"/>
          <w:color w:val="auto"/>
          <w:sz w:val="28"/>
          <w:szCs w:val="28"/>
          <w:highlight w:val="none"/>
        </w:rPr>
      </w:pPr>
      <w:r>
        <w:rPr>
          <w:rFonts w:hint="eastAsia" w:ascii="黑体" w:eastAsia="黑体"/>
          <w:color w:val="auto"/>
          <w:sz w:val="28"/>
          <w:szCs w:val="28"/>
          <w:highlight w:val="none"/>
        </w:rPr>
        <w:t>法定代表人或其委托代理人：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w:t>
      </w:r>
      <w:r>
        <w:rPr>
          <w:rFonts w:hint="eastAsia" w:ascii="黑体"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ind w:firstLine="1260" w:firstLineChars="450"/>
        <w:jc w:val="left"/>
        <w:rPr>
          <w:rFonts w:hint="eastAsia" w:ascii="黑体" w:eastAsia="黑体"/>
          <w:color w:val="auto"/>
          <w:sz w:val="28"/>
          <w:szCs w:val="28"/>
          <w:highlight w:val="none"/>
        </w:rPr>
      </w:pPr>
      <w:r>
        <w:rPr>
          <w:rFonts w:hint="eastAsia" w:ascii="黑体" w:eastAsia="黑体"/>
          <w:color w:val="auto"/>
          <w:sz w:val="28"/>
          <w:szCs w:val="28"/>
          <w:highlight w:val="none"/>
        </w:rPr>
        <w:t>项目负责人：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w:t>
      </w:r>
      <w:r>
        <w:rPr>
          <w:rFonts w:hint="eastAsia" w:ascii="黑体"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ind w:firstLine="1260" w:firstLineChars="450"/>
        <w:jc w:val="left"/>
        <w:rPr>
          <w:rFonts w:hint="eastAsia" w:ascii="黑体" w:eastAsia="黑体"/>
          <w:color w:val="auto"/>
          <w:sz w:val="28"/>
          <w:szCs w:val="28"/>
          <w:highlight w:val="none"/>
        </w:rPr>
      </w:pPr>
      <w:r>
        <w:rPr>
          <w:rFonts w:hint="eastAsia" w:ascii="黑体" w:eastAsia="黑体"/>
          <w:color w:val="auto"/>
          <w:sz w:val="28"/>
          <w:szCs w:val="28"/>
          <w:highlight w:val="none"/>
        </w:rPr>
        <w:t>项目技术负责人：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w:t>
      </w:r>
      <w:r>
        <w:rPr>
          <w:rFonts w:hint="eastAsia" w:ascii="黑体" w:eastAsia="黑体"/>
          <w:color w:val="auto"/>
          <w:sz w:val="28"/>
          <w:szCs w:val="28"/>
          <w:highlight w:val="none"/>
          <w:lang w:eastAsia="zh-CN"/>
        </w:rPr>
        <w:t>名</w:t>
      </w:r>
      <w:r>
        <w:rPr>
          <w:rFonts w:hint="eastAsia" w:ascii="黑体" w:eastAsia="黑体"/>
          <w:color w:val="auto"/>
          <w:sz w:val="28"/>
          <w:szCs w:val="28"/>
          <w:highlight w:val="none"/>
        </w:rPr>
        <w:t>）</w:t>
      </w:r>
    </w:p>
    <w:p>
      <w:pPr>
        <w:spacing w:line="360" w:lineRule="auto"/>
        <w:jc w:val="center"/>
        <w:rPr>
          <w:rFonts w:hint="eastAsia" w:ascii="黑体" w:eastAsia="黑体"/>
          <w:color w:val="auto"/>
          <w:sz w:val="28"/>
          <w:szCs w:val="28"/>
          <w:highlight w:val="none"/>
        </w:rPr>
      </w:pPr>
    </w:p>
    <w:p>
      <w:pPr>
        <w:spacing w:line="360" w:lineRule="auto"/>
        <w:jc w:val="center"/>
        <w:rPr>
          <w:rFonts w:hint="eastAsia" w:ascii="黑体" w:eastAsia="黑体"/>
          <w:color w:val="auto"/>
          <w:sz w:val="28"/>
          <w:szCs w:val="28"/>
          <w:highlight w:val="none"/>
        </w:rPr>
      </w:pPr>
    </w:p>
    <w:p>
      <w:pPr>
        <w:spacing w:line="360" w:lineRule="auto"/>
        <w:jc w:val="center"/>
        <w:rPr>
          <w:rFonts w:hint="eastAsia" w:ascii="黑体" w:eastAsia="黑体"/>
          <w:color w:val="auto"/>
          <w:sz w:val="28"/>
          <w:szCs w:val="28"/>
          <w:highlight w:val="none"/>
        </w:rPr>
      </w:pPr>
    </w:p>
    <w:p>
      <w:pPr>
        <w:spacing w:before="240" w:beforeLines="100" w:after="240" w:afterLines="100" w:line="360" w:lineRule="auto"/>
        <w:jc w:val="center"/>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hAnsi="宋体" w:eastAsia="黑体"/>
          <w:color w:val="auto"/>
          <w:sz w:val="36"/>
          <w:szCs w:val="36"/>
          <w:highlight w:val="none"/>
        </w:rPr>
        <w:t>定标资料一览表</w:t>
      </w:r>
      <w:r>
        <w:rPr>
          <w:rFonts w:hint="eastAsia" w:ascii="宋体" w:hAnsi="宋体"/>
          <w:color w:val="auto"/>
          <w:sz w:val="30"/>
          <w:szCs w:val="30"/>
          <w:highlight w:val="none"/>
        </w:rPr>
        <w:t>（参考</w:t>
      </w:r>
      <w:r>
        <w:rPr>
          <w:rFonts w:hint="eastAsia" w:ascii="宋体" w:hAnsi="宋体"/>
          <w:color w:val="auto"/>
          <w:sz w:val="30"/>
          <w:szCs w:val="30"/>
          <w:highlight w:val="none"/>
          <w:lang w:val="en-US" w:eastAsia="zh-CN"/>
        </w:rPr>
        <w:t>格式</w:t>
      </w:r>
      <w:r>
        <w:rPr>
          <w:rFonts w:hint="eastAsia" w:ascii="宋体" w:hAnsi="宋体"/>
          <w:color w:val="auto"/>
          <w:sz w:val="30"/>
          <w:szCs w:val="30"/>
          <w:highlight w:val="none"/>
        </w:rPr>
        <w:t>）</w:t>
      </w:r>
    </w:p>
    <w:p>
      <w:pPr>
        <w:widowControl/>
        <w:tabs>
          <w:tab w:val="center" w:pos="5495"/>
        </w:tabs>
        <w:spacing w:before="120" w:beforeLines="50" w:after="120" w:afterLines="5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投标人名称：</w:t>
      </w:r>
    </w:p>
    <w:tbl>
      <w:tblPr>
        <w:tblStyle w:val="42"/>
        <w:tblW w:w="0" w:type="auto"/>
        <w:jc w:val="center"/>
        <w:tblLayout w:type="fixed"/>
        <w:tblCellMar>
          <w:top w:w="57" w:type="dxa"/>
          <w:left w:w="57" w:type="dxa"/>
          <w:bottom w:w="57" w:type="dxa"/>
          <w:right w:w="57" w:type="dxa"/>
        </w:tblCellMar>
      </w:tblPr>
      <w:tblGrid>
        <w:gridCol w:w="567"/>
        <w:gridCol w:w="1365"/>
        <w:gridCol w:w="3360"/>
        <w:gridCol w:w="3557"/>
        <w:gridCol w:w="841"/>
      </w:tblGrid>
      <w:tr>
        <w:tblPrEx>
          <w:tblCellMar>
            <w:top w:w="57" w:type="dxa"/>
            <w:left w:w="57" w:type="dxa"/>
            <w:bottom w:w="57" w:type="dxa"/>
            <w:right w:w="57" w:type="dxa"/>
          </w:tblCellMar>
        </w:tblPrEx>
        <w:trPr>
          <w:trHeight w:val="49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b/>
                <w:color w:val="auto"/>
                <w:szCs w:val="21"/>
                <w:highlight w:val="none"/>
              </w:rPr>
            </w:pPr>
            <w:r>
              <w:rPr>
                <w:rFonts w:hint="eastAsia" w:ascii="宋体" w:hAnsi="宋体" w:cs="黑体"/>
                <w:b/>
                <w:color w:val="auto"/>
                <w:szCs w:val="21"/>
                <w:highlight w:val="none"/>
              </w:rPr>
              <w:t>序号</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b/>
                <w:color w:val="auto"/>
                <w:szCs w:val="21"/>
                <w:highlight w:val="none"/>
              </w:rPr>
            </w:pPr>
            <w:r>
              <w:rPr>
                <w:rFonts w:hint="eastAsia" w:ascii="宋体" w:hAnsi="宋体" w:cs="黑体"/>
                <w:b/>
                <w:color w:val="auto"/>
                <w:szCs w:val="21"/>
                <w:highlight w:val="none"/>
              </w:rPr>
              <w:t>因素名称</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b/>
                <w:color w:val="auto"/>
                <w:szCs w:val="21"/>
                <w:highlight w:val="none"/>
              </w:rPr>
            </w:pPr>
            <w:r>
              <w:rPr>
                <w:rFonts w:hint="eastAsia" w:ascii="宋体" w:hAnsi="宋体" w:cs="黑体"/>
                <w:b/>
                <w:color w:val="auto"/>
                <w:szCs w:val="21"/>
                <w:highlight w:val="none"/>
              </w:rPr>
              <w:t>内容说明</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b/>
                <w:color w:val="auto"/>
                <w:szCs w:val="21"/>
                <w:highlight w:val="none"/>
              </w:rPr>
            </w:pPr>
            <w:r>
              <w:rPr>
                <w:rFonts w:hint="eastAsia" w:ascii="宋体" w:hAnsi="宋体" w:cs="黑体"/>
                <w:b/>
                <w:color w:val="auto"/>
                <w:szCs w:val="21"/>
                <w:highlight w:val="none"/>
              </w:rPr>
              <w:t>佐证材料</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黑体"/>
                <w:b/>
                <w:color w:val="auto"/>
                <w:szCs w:val="21"/>
                <w:highlight w:val="none"/>
              </w:rPr>
            </w:pPr>
            <w:r>
              <w:rPr>
                <w:rFonts w:hint="eastAsia" w:ascii="宋体" w:hAnsi="宋体" w:cs="黑体"/>
                <w:b/>
                <w:color w:val="auto"/>
                <w:szCs w:val="21"/>
                <w:highlight w:val="none"/>
              </w:rPr>
              <w:t>备注</w:t>
            </w:r>
          </w:p>
        </w:tc>
      </w:tr>
      <w:tr>
        <w:tblPrEx>
          <w:tblCellMar>
            <w:top w:w="57" w:type="dxa"/>
            <w:left w:w="57" w:type="dxa"/>
            <w:bottom w:w="57" w:type="dxa"/>
            <w:right w:w="57" w:type="dxa"/>
          </w:tblCellMar>
        </w:tblPrEx>
        <w:trPr>
          <w:trHeight w:val="565"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投标人基本</w:t>
            </w:r>
          </w:p>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情况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r>
              <w:rPr>
                <w:rFonts w:ascii="宋体" w:hAnsi="宋体" w:cs="宋体"/>
                <w:color w:val="auto"/>
                <w:kern w:val="0"/>
                <w:szCs w:val="21"/>
                <w:highlight w:val="none"/>
              </w:rPr>
              <w:t>投标人应当如实填妥</w:t>
            </w:r>
            <w:r>
              <w:rPr>
                <w:rFonts w:hint="eastAsia" w:ascii="宋体" w:hAnsi="宋体" w:cs="宋体"/>
                <w:color w:val="auto"/>
                <w:kern w:val="0"/>
                <w:szCs w:val="21"/>
                <w:highlight w:val="none"/>
              </w:rPr>
              <w:t>“投标人基本</w:t>
            </w:r>
            <w:r>
              <w:rPr>
                <w:rFonts w:ascii="宋体" w:hAnsi="宋体" w:cs="宋体"/>
                <w:color w:val="auto"/>
                <w:kern w:val="0"/>
                <w:szCs w:val="21"/>
                <w:highlight w:val="none"/>
              </w:rPr>
              <w:t>情况表</w:t>
            </w:r>
            <w:r>
              <w:rPr>
                <w:rFonts w:hint="eastAsia" w:ascii="宋体" w:hAnsi="宋体" w:cs="宋体"/>
                <w:color w:val="auto"/>
                <w:kern w:val="0"/>
                <w:szCs w:val="21"/>
                <w:highlight w:val="none"/>
              </w:rPr>
              <w:t>”。</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552"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rPr>
              <w:t>具体内容在招标文件评标办法“技术标评审标准”中设定。</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投标文件（评标部分）</w:t>
            </w:r>
            <w:r>
              <w:rPr>
                <w:rFonts w:hint="eastAsia" w:ascii="宋体" w:hAnsi="宋体" w:cs="宋体"/>
                <w:color w:val="auto"/>
                <w:kern w:val="0"/>
                <w:szCs w:val="21"/>
                <w:highlight w:val="none"/>
              </w:rPr>
              <w:t>技术方案</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432"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投标人的投标报价</w:t>
            </w:r>
            <w:r>
              <w:rPr>
                <w:rFonts w:hint="eastAsia" w:ascii="宋体" w:hAnsi="宋体" w:cs="宋体"/>
                <w:color w:val="auto"/>
                <w:kern w:val="0"/>
                <w:szCs w:val="21"/>
                <w:highlight w:val="none"/>
                <w:lang w:eastAsia="zh-CN"/>
              </w:rPr>
              <w:t>。</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投标文件（评标部分）</w:t>
            </w:r>
            <w:r>
              <w:rPr>
                <w:rFonts w:hint="eastAsia" w:ascii="宋体" w:hAnsi="宋体" w:cs="宋体"/>
                <w:color w:val="auto"/>
                <w:kern w:val="0"/>
                <w:szCs w:val="21"/>
                <w:highlight w:val="none"/>
              </w:rPr>
              <w:t>投标函</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459"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企业资质</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投标人</w:t>
            </w:r>
            <w:r>
              <w:rPr>
                <w:rFonts w:hint="eastAsia" w:ascii="宋体" w:hAnsi="宋体" w:cs="宋体"/>
                <w:color w:val="auto"/>
                <w:szCs w:val="21"/>
                <w:highlight w:val="none"/>
              </w:rPr>
              <w:t>的投标资质等级</w:t>
            </w:r>
            <w:r>
              <w:rPr>
                <w:rFonts w:hint="eastAsia" w:ascii="宋体" w:hAnsi="宋体" w:cs="宋体"/>
                <w:color w:val="auto"/>
                <w:szCs w:val="21"/>
                <w:highlight w:val="none"/>
                <w:lang w:eastAsia="zh-CN"/>
              </w:rPr>
              <w:t>。</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投标文件（评标部分）</w:t>
            </w:r>
            <w:r>
              <w:rPr>
                <w:rFonts w:hint="eastAsia" w:ascii="宋体" w:hAnsi="宋体" w:cs="宋体"/>
                <w:color w:val="auto"/>
                <w:kern w:val="0"/>
                <w:szCs w:val="21"/>
                <w:highlight w:val="none"/>
              </w:rPr>
              <w:t>资质证书原件</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522"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企业信用</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eastAsia="宋体" w:cs="宋体"/>
                <w:color w:val="auto"/>
                <w:szCs w:val="21"/>
                <w:highlight w:val="none"/>
                <w:lang w:eastAsia="zh-CN"/>
              </w:rPr>
            </w:pPr>
            <w:r>
              <w:rPr>
                <w:rFonts w:hint="eastAsia" w:ascii="宋体" w:hAnsi="宋体" w:cs="Arial"/>
                <w:color w:val="auto"/>
                <w:kern w:val="0"/>
                <w:szCs w:val="21"/>
                <w:highlight w:val="none"/>
              </w:rPr>
              <w:t>“江门市建筑业企业信用管理信息系统”</w:t>
            </w:r>
            <w:r>
              <w:rPr>
                <w:rFonts w:hint="eastAsia" w:ascii="宋体" w:hAnsi="宋体" w:cs="Arial"/>
                <w:color w:val="auto"/>
                <w:kern w:val="0"/>
                <w:szCs w:val="21"/>
                <w:highlight w:val="none"/>
                <w:lang w:eastAsia="zh-CN"/>
              </w:rPr>
              <w:t>企业</w:t>
            </w:r>
            <w:r>
              <w:rPr>
                <w:rFonts w:hint="eastAsia" w:ascii="宋体" w:hAnsi="宋体" w:cs="Arial"/>
                <w:color w:val="auto"/>
                <w:kern w:val="0"/>
                <w:szCs w:val="21"/>
                <w:highlight w:val="none"/>
              </w:rPr>
              <w:t>信用等级</w:t>
            </w:r>
            <w:r>
              <w:rPr>
                <w:rFonts w:hint="eastAsia" w:ascii="宋体" w:hAnsi="宋体" w:cs="Arial"/>
                <w:color w:val="auto"/>
                <w:kern w:val="0"/>
                <w:szCs w:val="21"/>
                <w:highlight w:val="none"/>
                <w:lang w:eastAsia="zh-CN"/>
              </w:rPr>
              <w:t>情况。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系统截图</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932"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rPr>
              <w:t>本企业承担过并按合同约定完成类似的业绩。</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rPr>
              <w:t>施工合同关键页、施工许可证、竣工验收报告等（业绩须已录入全国建筑市场监管公共服务平台，并提供截图）。</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853"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企业荣誉</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r>
              <w:rPr>
                <w:rFonts w:hint="eastAsia" w:ascii="宋体" w:hAnsi="宋体" w:cs="宋体"/>
                <w:color w:val="auto"/>
                <w:szCs w:val="21"/>
                <w:highlight w:val="none"/>
              </w:rPr>
              <w:t>本企业</w:t>
            </w:r>
            <w:r>
              <w:rPr>
                <w:rFonts w:hint="eastAsia" w:ascii="宋体" w:hAnsi="宋体" w:cs="宋体"/>
                <w:color w:val="auto"/>
                <w:kern w:val="0"/>
                <w:szCs w:val="21"/>
                <w:highlight w:val="none"/>
              </w:rPr>
              <w:t>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年来获得的国家级、省级或市级工程建设质量类奖项。</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获奖证书原件或相关通报文件。（</w:t>
            </w:r>
            <w:r>
              <w:rPr>
                <w:rFonts w:hint="eastAsia" w:ascii="宋体" w:hAnsi="宋体" w:cs="宋体"/>
                <w:color w:val="auto"/>
                <w:szCs w:val="21"/>
                <w:highlight w:val="none"/>
              </w:rPr>
              <w:t>提供获得的最高级别</w:t>
            </w:r>
            <w:r>
              <w:rPr>
                <w:rFonts w:hint="eastAsia" w:ascii="宋体" w:hAnsi="宋体" w:cs="宋体"/>
                <w:color w:val="auto"/>
                <w:kern w:val="0"/>
                <w:szCs w:val="21"/>
                <w:highlight w:val="none"/>
              </w:rPr>
              <w:t>工程建设质量类奖项）</w:t>
            </w:r>
            <w:r>
              <w:rPr>
                <w:rFonts w:hint="eastAsia" w:ascii="宋体" w:hAnsi="宋体" w:cs="宋体"/>
                <w:color w:val="auto"/>
                <w:kern w:val="0"/>
                <w:szCs w:val="21"/>
                <w:highlight w:val="none"/>
                <w:lang w:eastAsia="zh-CN"/>
              </w:rPr>
              <w:t>。</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10"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财务状况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szCs w:val="21"/>
                <w:highlight w:val="none"/>
              </w:rPr>
              <w:t>本企业</w:t>
            </w:r>
            <w:r>
              <w:rPr>
                <w:rFonts w:hint="eastAsia" w:ascii="宋体" w:hAnsi="宋体" w:cs="宋体"/>
                <w:color w:val="auto"/>
                <w:kern w:val="0"/>
                <w:szCs w:val="21"/>
                <w:highlight w:val="none"/>
              </w:rPr>
              <w:t>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年来的财务状况。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rPr>
              <w:t>经审计的财务报表中的资产负债表、利润表和现金流量表。</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85"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履约情况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ascii="宋体" w:hAnsi="宋体" w:cs="宋体"/>
                <w:color w:val="auto"/>
                <w:szCs w:val="21"/>
                <w:highlight w:val="none"/>
              </w:rPr>
            </w:pPr>
            <w:r>
              <w:rPr>
                <w:rFonts w:hint="eastAsia" w:ascii="宋体" w:hAnsi="宋体" w:cs="宋体"/>
                <w:color w:val="auto"/>
                <w:kern w:val="0"/>
                <w:szCs w:val="21"/>
                <w:highlight w:val="none"/>
              </w:rPr>
              <w:t>本企业类似项目的历史履约情况。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r>
              <w:rPr>
                <w:rFonts w:hint="eastAsia" w:ascii="宋体" w:hAnsi="宋体" w:cs="宋体"/>
                <w:color w:val="auto"/>
                <w:kern w:val="0"/>
                <w:szCs w:val="21"/>
                <w:highlight w:val="none"/>
              </w:rPr>
              <w:t>可以提供主管部门或招标人的表扬、嘉奖文件材料等。</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932"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产值情况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szCs w:val="21"/>
                <w:highlight w:val="none"/>
              </w:rPr>
              <w:t>本企业在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年度的产值情况。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szCs w:val="21"/>
                <w:highlight w:val="none"/>
              </w:rPr>
            </w:pPr>
            <w:r>
              <w:rPr>
                <w:rFonts w:hint="eastAsia" w:ascii="宋体" w:hAnsi="宋体" w:cs="宋体"/>
                <w:color w:val="auto"/>
                <w:szCs w:val="21"/>
                <w:highlight w:val="none"/>
              </w:rPr>
              <w:t>在“国家统计局统计联网直报平台”确认的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年度及上一年度统计数据截图。</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0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纳税状况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szCs w:val="21"/>
                <w:highlight w:val="none"/>
              </w:rPr>
              <w:t>本企业</w:t>
            </w:r>
            <w:r>
              <w:rPr>
                <w:rFonts w:hint="eastAsia" w:ascii="宋体" w:hAnsi="宋体" w:cs="宋体"/>
                <w:color w:val="auto"/>
                <w:kern w:val="0"/>
                <w:szCs w:val="21"/>
                <w:highlight w:val="none"/>
              </w:rPr>
              <w:t>近</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年来的纳税状况。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szCs w:val="21"/>
                <w:highlight w:val="none"/>
              </w:rPr>
              <w:t>税收完税证明原件（可通过办税服务厅、电子税务局、自助办税终端办理）。</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0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企业经营发展情况</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企业在</w:t>
            </w:r>
            <w:r>
              <w:rPr>
                <w:rFonts w:hint="eastAsia" w:ascii="宋体" w:hAnsi="宋体" w:cs="宋体"/>
                <w:color w:val="auto"/>
                <w:kern w:val="0"/>
                <w:szCs w:val="21"/>
                <w:highlight w:val="none"/>
                <w:lang w:eastAsia="zh-CN"/>
              </w:rPr>
              <w:t>我市</w:t>
            </w:r>
            <w:r>
              <w:rPr>
                <w:rFonts w:hint="eastAsia" w:ascii="宋体" w:hAnsi="宋体" w:cs="宋体"/>
                <w:color w:val="auto"/>
                <w:kern w:val="0"/>
                <w:szCs w:val="21"/>
                <w:highlight w:val="none"/>
              </w:rPr>
              <w:t>落户、设立资质以上全资子公司</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成立二级独立核算的分公司</w:t>
            </w:r>
            <w:r>
              <w:rPr>
                <w:rFonts w:hint="eastAsia" w:ascii="宋体" w:hAnsi="宋体" w:cs="宋体"/>
                <w:color w:val="auto"/>
                <w:kern w:val="0"/>
                <w:szCs w:val="21"/>
                <w:highlight w:val="none"/>
                <w:lang w:eastAsia="zh-CN"/>
              </w:rPr>
              <w:t>的情况（如有</w:t>
            </w:r>
            <w:r>
              <w:rPr>
                <w:rFonts w:hint="eastAsia" w:ascii="宋体" w:hAnsi="宋体" w:cs="宋体"/>
                <w:color w:val="auto"/>
                <w:kern w:val="0"/>
                <w:szCs w:val="21"/>
                <w:highlight w:val="none"/>
              </w:rPr>
              <w:t>）。</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rPr>
                <w:rFonts w:hint="eastAsia" w:ascii="宋体" w:hAnsi="宋体" w:cs="宋体"/>
                <w:color w:val="auto"/>
                <w:kern w:val="0"/>
                <w:szCs w:val="21"/>
                <w:highlight w:val="none"/>
              </w:rPr>
            </w:pPr>
            <w:r>
              <w:rPr>
                <w:rFonts w:hint="eastAsia" w:ascii="宋体" w:hAnsi="宋体" w:cs="宋体"/>
                <w:color w:val="auto"/>
                <w:kern w:val="0"/>
                <w:szCs w:val="21"/>
                <w:highlight w:val="none"/>
              </w:rPr>
              <w:t>营业执照原件、资质证书原件等。</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2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优质工程</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投标人可选择在本项目中承诺创建优质工程（国家级、省级、地市级）。</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szCs w:val="21"/>
                <w:highlight w:val="none"/>
              </w:rPr>
            </w:pPr>
            <w:r>
              <w:rPr>
                <w:rFonts w:hint="eastAsia" w:ascii="宋体" w:hAnsi="宋体" w:cs="宋体"/>
                <w:color w:val="auto"/>
                <w:kern w:val="0"/>
                <w:szCs w:val="21"/>
                <w:highlight w:val="none"/>
              </w:rPr>
              <w:t>创建优质工程承诺书原件。</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62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社会贡献</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kern w:val="0"/>
                <w:szCs w:val="21"/>
                <w:highlight w:val="none"/>
                <w:u w:val="none"/>
              </w:rPr>
            </w:pPr>
            <w:r>
              <w:rPr>
                <w:rFonts w:hint="eastAsia"/>
                <w:color w:val="auto"/>
                <w:szCs w:val="21"/>
                <w:highlight w:val="none"/>
                <w:u w:val="none"/>
                <w:lang w:val="en-US" w:eastAsia="zh-CN"/>
              </w:rPr>
              <w:t>企业</w:t>
            </w:r>
            <w:r>
              <w:rPr>
                <w:rFonts w:hint="eastAsia"/>
                <w:color w:val="auto"/>
                <w:szCs w:val="21"/>
                <w:highlight w:val="none"/>
                <w:u w:val="none"/>
                <w:lang w:eastAsia="zh-CN"/>
              </w:rPr>
              <w:t>投身“百县千镇万村高质量发展工程”情况</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eastAsia="宋体" w:cs="宋体"/>
                <w:color w:val="auto"/>
                <w:kern w:val="0"/>
                <w:szCs w:val="21"/>
                <w:highlight w:val="none"/>
                <w:u w:val="none"/>
                <w:lang w:eastAsia="zh-CN"/>
              </w:rPr>
            </w:pPr>
            <w:r>
              <w:rPr>
                <w:rFonts w:hint="eastAsia" w:ascii="宋体" w:hAnsi="宋体" w:cs="宋体"/>
                <w:color w:val="auto"/>
                <w:kern w:val="0"/>
                <w:szCs w:val="21"/>
                <w:highlight w:val="none"/>
                <w:u w:val="none"/>
                <w:lang w:eastAsia="zh-CN"/>
              </w:rPr>
              <w:t>帮扶协议书、帮扶验收表</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r>
        <w:tblPrEx>
          <w:tblCellMar>
            <w:top w:w="57" w:type="dxa"/>
            <w:left w:w="57" w:type="dxa"/>
            <w:bottom w:w="57" w:type="dxa"/>
            <w:right w:w="57" w:type="dxa"/>
          </w:tblCellMar>
        </w:tblPrEx>
        <w:trPr>
          <w:trHeight w:val="456" w:hRule="atLeast"/>
          <w:jc w:val="center"/>
        </w:trPr>
        <w:tc>
          <w:tcPr>
            <w:tcW w:w="56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16"/>
              <w:widowControl/>
              <w:adjustRightInd w:val="0"/>
              <w:snapToGrid w:val="0"/>
              <w:spacing w:line="240" w:lineRule="auto"/>
              <w:ind w:left="21" w:leftChars="1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其他</w:t>
            </w:r>
          </w:p>
        </w:tc>
        <w:tc>
          <w:tcPr>
            <w:tcW w:w="3360"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（招标人根据项目特点自行设定）</w:t>
            </w:r>
          </w:p>
        </w:tc>
        <w:tc>
          <w:tcPr>
            <w:tcW w:w="3557"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（招标人根据实际</w:t>
            </w:r>
            <w:bookmarkStart w:id="52" w:name="_GoBack"/>
            <w:bookmarkEnd w:id="52"/>
            <w:r>
              <w:rPr>
                <w:rFonts w:hint="eastAsia" w:ascii="宋体" w:hAnsi="宋体" w:cs="宋体"/>
                <w:color w:val="auto"/>
                <w:kern w:val="0"/>
                <w:szCs w:val="21"/>
                <w:highlight w:val="none"/>
              </w:rPr>
              <w:t>需求自行设定）</w:t>
            </w:r>
          </w:p>
        </w:tc>
        <w:tc>
          <w:tcPr>
            <w:tcW w:w="841" w:type="dxa"/>
            <w:tcBorders>
              <w:top w:val="single" w:color="000000" w:sz="2" w:space="0"/>
              <w:left w:val="single" w:color="000000" w:sz="2" w:space="0"/>
              <w:bottom w:val="single" w:color="000000" w:sz="2" w:space="0"/>
              <w:right w:val="single" w:color="000000" w:sz="2" w:space="0"/>
            </w:tcBorders>
            <w:noWrap w:val="0"/>
            <w:vAlign w:val="center"/>
          </w:tcPr>
          <w:p>
            <w:pPr>
              <w:widowControl/>
              <w:adjustRightInd w:val="0"/>
              <w:snapToGrid w:val="0"/>
              <w:ind w:left="21" w:leftChars="10"/>
              <w:jc w:val="center"/>
              <w:rPr>
                <w:rFonts w:hint="eastAsia" w:ascii="宋体" w:hAnsi="宋体" w:cs="宋体"/>
                <w:color w:val="auto"/>
                <w:szCs w:val="21"/>
                <w:highlight w:val="none"/>
              </w:rPr>
            </w:pPr>
          </w:p>
        </w:tc>
      </w:tr>
    </w:tbl>
    <w:p>
      <w:pPr>
        <w:widowControl/>
        <w:ind w:left="626" w:leftChars="-3" w:hanging="632" w:hangingChars="301"/>
        <w:rPr>
          <w:rFonts w:hint="eastAsia" w:ascii="宋体" w:hAnsi="宋体" w:cs="宋体"/>
          <w:color w:val="auto"/>
          <w:kern w:val="0"/>
          <w:szCs w:val="21"/>
          <w:highlight w:val="none"/>
        </w:rPr>
      </w:pPr>
      <w:r>
        <w:rPr>
          <w:rFonts w:hint="eastAsia" w:ascii="宋体" w:hAnsi="宋体" w:cs="宋体"/>
          <w:color w:val="auto"/>
          <w:kern w:val="0"/>
          <w:szCs w:val="21"/>
          <w:highlight w:val="none"/>
        </w:rPr>
        <w:t>注：1.投标人应按本表的顺序逐项编制投标文件（定标部分），提供相应的证明材料。</w:t>
      </w:r>
    </w:p>
    <w:p>
      <w:pPr>
        <w:widowControl/>
        <w:ind w:left="624" w:leftChars="197" w:hanging="210" w:hangingChars="100"/>
        <w:rPr>
          <w:rFonts w:ascii="宋体" w:hAnsi="宋体" w:cs="宋体"/>
          <w:strike/>
          <w:color w:val="auto"/>
          <w:kern w:val="0"/>
          <w:szCs w:val="21"/>
          <w:highlight w:val="none"/>
        </w:rPr>
      </w:pPr>
      <w:r>
        <w:rPr>
          <w:rFonts w:hint="eastAsia" w:ascii="宋体" w:hAnsi="宋体" w:cs="宋体"/>
          <w:color w:val="auto"/>
          <w:kern w:val="0"/>
          <w:szCs w:val="21"/>
          <w:highlight w:val="none"/>
        </w:rPr>
        <w:t>2.佐证材料中标明原件的应提供原件扫描件，未标明的可提供复印件扫描件。</w:t>
      </w:r>
    </w:p>
    <w:p>
      <w:pPr>
        <w:spacing w:before="360" w:beforeLines="150" w:after="120" w:afterLines="50"/>
        <w:jc w:val="center"/>
        <w:rPr>
          <w:rFonts w:hint="eastAsia" w:ascii="黑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eastAsia="黑体"/>
          <w:color w:val="auto"/>
          <w:sz w:val="36"/>
          <w:szCs w:val="36"/>
          <w:highlight w:val="none"/>
        </w:rPr>
        <w:t>投标文件（定标部分）目录</w:t>
      </w:r>
    </w:p>
    <w:p>
      <w:pPr>
        <w:spacing w:before="360" w:beforeLines="150" w:after="120" w:afterLines="50"/>
        <w:rPr>
          <w:rFonts w:hint="eastAsia" w:ascii="黑体" w:eastAsia="黑体"/>
          <w:color w:val="auto"/>
          <w:sz w:val="28"/>
          <w:szCs w:val="28"/>
          <w:highlight w:val="none"/>
        </w:rPr>
      </w:pP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投标人基本情况表</w:t>
      </w:r>
    </w:p>
    <w:p>
      <w:pPr>
        <w:numPr>
          <w:ilvl w:val="0"/>
          <w:numId w:val="6"/>
        </w:numPr>
        <w:tabs>
          <w:tab w:val="left" w:pos="284"/>
        </w:tabs>
        <w:spacing w:line="360" w:lineRule="auto"/>
        <w:rPr>
          <w:rFonts w:hint="eastAsia"/>
          <w:color w:val="auto"/>
          <w:sz w:val="24"/>
          <w:highlight w:val="none"/>
          <w:lang w:val="en-US" w:eastAsia="zh-CN"/>
        </w:rPr>
      </w:pPr>
      <w:r>
        <w:rPr>
          <w:rFonts w:hint="eastAsia"/>
          <w:color w:val="auto"/>
          <w:sz w:val="24"/>
          <w:highlight w:val="none"/>
          <w:lang w:val="en-US" w:eastAsia="zh-CN"/>
        </w:rPr>
        <w:t>企业信用</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企业业绩</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企业荣誉</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财务状况</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履约情况</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产值情况</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纳税状况</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企业经营发展情况</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优质工程</w:t>
      </w:r>
    </w:p>
    <w:p>
      <w:pPr>
        <w:numPr>
          <w:ilvl w:val="0"/>
          <w:numId w:val="6"/>
        </w:numPr>
        <w:tabs>
          <w:tab w:val="left" w:pos="284"/>
        </w:tabs>
        <w:spacing w:line="360" w:lineRule="auto"/>
        <w:rPr>
          <w:rFonts w:hint="eastAsia"/>
          <w:color w:val="auto"/>
          <w:sz w:val="24"/>
          <w:highlight w:val="none"/>
        </w:rPr>
      </w:pPr>
      <w:r>
        <w:rPr>
          <w:rFonts w:hint="eastAsia"/>
          <w:color w:val="auto"/>
          <w:sz w:val="24"/>
          <w:highlight w:val="none"/>
        </w:rPr>
        <w:t>………</w:t>
      </w:r>
    </w:p>
    <w:p>
      <w:pPr>
        <w:widowControl/>
        <w:ind w:firstLine="720" w:firstLineChars="200"/>
        <w:rPr>
          <w:rFonts w:hint="eastAsia" w:ascii="黑体" w:hAnsi="宋体" w:eastAsia="黑体"/>
          <w:color w:val="auto"/>
          <w:sz w:val="36"/>
          <w:szCs w:val="36"/>
          <w:highlight w:val="none"/>
        </w:rPr>
      </w:pPr>
    </w:p>
    <w:p>
      <w:pPr>
        <w:widowControl/>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hAnsi="宋体" w:eastAsia="黑体"/>
          <w:color w:val="auto"/>
          <w:sz w:val="36"/>
          <w:szCs w:val="36"/>
          <w:highlight w:val="none"/>
        </w:rPr>
        <w:t>一、投标人基本情况表</w:t>
      </w:r>
      <w:r>
        <w:rPr>
          <w:rFonts w:hint="eastAsia" w:ascii="宋体" w:hAnsi="宋体"/>
          <w:color w:val="auto"/>
          <w:sz w:val="30"/>
          <w:szCs w:val="30"/>
          <w:highlight w:val="none"/>
        </w:rPr>
        <w:t>（参考</w:t>
      </w:r>
      <w:r>
        <w:rPr>
          <w:rFonts w:hint="eastAsia" w:ascii="宋体" w:hAnsi="宋体"/>
          <w:color w:val="auto"/>
          <w:sz w:val="30"/>
          <w:szCs w:val="30"/>
          <w:highlight w:val="none"/>
          <w:lang w:val="en-US" w:eastAsia="zh-CN"/>
        </w:rPr>
        <w:t>格式</w:t>
      </w:r>
      <w:r>
        <w:rPr>
          <w:rFonts w:hint="eastAsia" w:ascii="宋体" w:hAnsi="宋体"/>
          <w:color w:val="auto"/>
          <w:sz w:val="30"/>
          <w:szCs w:val="30"/>
          <w:highlight w:val="none"/>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85"/>
        <w:gridCol w:w="566"/>
        <w:gridCol w:w="993"/>
        <w:gridCol w:w="1134"/>
        <w:gridCol w:w="567"/>
        <w:gridCol w:w="515"/>
        <w:gridCol w:w="619"/>
        <w:gridCol w:w="518"/>
        <w:gridCol w:w="19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投标人名称</w:t>
            </w:r>
          </w:p>
        </w:tc>
        <w:tc>
          <w:tcPr>
            <w:tcW w:w="7588" w:type="dxa"/>
            <w:gridSpan w:val="10"/>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560" w:type="dxa"/>
            <w:gridSpan w:val="6"/>
            <w:noWrap w:val="0"/>
            <w:vAlign w:val="center"/>
          </w:tcPr>
          <w:p>
            <w:pPr>
              <w:jc w:val="center"/>
              <w:rPr>
                <w:rFonts w:hint="eastAsia" w:ascii="宋体" w:hAnsi="宋体"/>
                <w:color w:val="auto"/>
                <w:szCs w:val="21"/>
                <w:highlight w:val="none"/>
              </w:rPr>
            </w:pPr>
          </w:p>
        </w:tc>
        <w:tc>
          <w:tcPr>
            <w:tcW w:w="1137"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邮政编码</w:t>
            </w:r>
          </w:p>
        </w:tc>
        <w:tc>
          <w:tcPr>
            <w:tcW w:w="1891" w:type="dxa"/>
            <w:gridSpan w:val="2"/>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351"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联系人</w:t>
            </w:r>
          </w:p>
        </w:tc>
        <w:tc>
          <w:tcPr>
            <w:tcW w:w="6237" w:type="dxa"/>
            <w:gridSpan w:val="8"/>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color w:val="auto"/>
                <w:szCs w:val="21"/>
                <w:highlight w:val="none"/>
              </w:rPr>
            </w:pPr>
          </w:p>
        </w:tc>
        <w:tc>
          <w:tcPr>
            <w:tcW w:w="1351"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电话及传真</w:t>
            </w:r>
          </w:p>
        </w:tc>
        <w:tc>
          <w:tcPr>
            <w:tcW w:w="6237" w:type="dxa"/>
            <w:gridSpan w:val="8"/>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组织结构</w:t>
            </w:r>
          </w:p>
        </w:tc>
        <w:tc>
          <w:tcPr>
            <w:tcW w:w="7588" w:type="dxa"/>
            <w:gridSpan w:val="10"/>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法定代表人</w:t>
            </w:r>
          </w:p>
        </w:tc>
        <w:tc>
          <w:tcPr>
            <w:tcW w:w="7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1559" w:type="dxa"/>
            <w:gridSpan w:val="2"/>
            <w:noWrap w:val="0"/>
            <w:vAlign w:val="center"/>
          </w:tcPr>
          <w:p>
            <w:pPr>
              <w:jc w:val="center"/>
              <w:rPr>
                <w:rFonts w:hint="eastAsia" w:ascii="宋体" w:hAnsi="宋体"/>
                <w:color w:val="auto"/>
                <w:szCs w:val="21"/>
                <w:highlight w:val="none"/>
              </w:rPr>
            </w:pPr>
          </w:p>
        </w:tc>
        <w:tc>
          <w:tcPr>
            <w:tcW w:w="113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701" w:type="dxa"/>
            <w:gridSpan w:val="3"/>
            <w:noWrap w:val="0"/>
            <w:vAlign w:val="center"/>
          </w:tcPr>
          <w:p>
            <w:pPr>
              <w:jc w:val="center"/>
              <w:rPr>
                <w:rFonts w:hint="eastAsia" w:ascii="宋体" w:hAnsi="宋体"/>
                <w:color w:val="auto"/>
                <w:szCs w:val="21"/>
                <w:highlight w:val="none"/>
              </w:rPr>
            </w:pPr>
          </w:p>
        </w:tc>
        <w:tc>
          <w:tcPr>
            <w:tcW w:w="708"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电话</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7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1559" w:type="dxa"/>
            <w:gridSpan w:val="2"/>
            <w:noWrap w:val="0"/>
            <w:vAlign w:val="center"/>
          </w:tcPr>
          <w:p>
            <w:pPr>
              <w:jc w:val="center"/>
              <w:rPr>
                <w:rFonts w:hint="eastAsia" w:ascii="宋体" w:hAnsi="宋体"/>
                <w:color w:val="auto"/>
                <w:szCs w:val="21"/>
                <w:highlight w:val="none"/>
              </w:rPr>
            </w:pPr>
          </w:p>
        </w:tc>
        <w:tc>
          <w:tcPr>
            <w:tcW w:w="113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701" w:type="dxa"/>
            <w:gridSpan w:val="3"/>
            <w:noWrap w:val="0"/>
            <w:vAlign w:val="center"/>
          </w:tcPr>
          <w:p>
            <w:pPr>
              <w:jc w:val="center"/>
              <w:rPr>
                <w:rFonts w:hint="eastAsia" w:ascii="宋体" w:hAnsi="宋体"/>
                <w:color w:val="auto"/>
                <w:szCs w:val="21"/>
                <w:highlight w:val="none"/>
              </w:rPr>
            </w:pPr>
          </w:p>
        </w:tc>
        <w:tc>
          <w:tcPr>
            <w:tcW w:w="708"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电话</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成立时间</w:t>
            </w:r>
          </w:p>
        </w:tc>
        <w:tc>
          <w:tcPr>
            <w:tcW w:w="3478" w:type="dxa"/>
            <w:gridSpan w:val="4"/>
            <w:noWrap w:val="0"/>
            <w:vAlign w:val="center"/>
          </w:tcPr>
          <w:p>
            <w:pPr>
              <w:jc w:val="center"/>
              <w:rPr>
                <w:rFonts w:hint="eastAsia" w:ascii="宋体" w:hAnsi="宋体"/>
                <w:color w:val="auto"/>
                <w:szCs w:val="21"/>
                <w:highlight w:val="none"/>
              </w:rPr>
            </w:pPr>
          </w:p>
        </w:tc>
        <w:tc>
          <w:tcPr>
            <w:tcW w:w="4110" w:type="dxa"/>
            <w:gridSpan w:val="6"/>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员工总人数：</w:t>
            </w:r>
            <w:r>
              <w:rPr>
                <w:rFonts w:hint="eastAsia" w:ascii="宋体" w:hAnsi="宋体"/>
                <w:color w:val="auto"/>
                <w:szCs w:val="21"/>
                <w:highlight w:val="none"/>
                <w:u w:val="single"/>
              </w:rPr>
              <w:t xml:space="preserve">       </w:t>
            </w:r>
            <w:r>
              <w:rPr>
                <w:rFonts w:hint="eastAsia" w:ascii="宋体" w:hAnsi="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企业资质等级</w:t>
            </w:r>
          </w:p>
        </w:tc>
        <w:tc>
          <w:tcPr>
            <w:tcW w:w="3478" w:type="dxa"/>
            <w:gridSpan w:val="4"/>
            <w:noWrap w:val="0"/>
            <w:vAlign w:val="center"/>
          </w:tcPr>
          <w:p>
            <w:pPr>
              <w:jc w:val="center"/>
              <w:rPr>
                <w:rFonts w:hint="eastAsia" w:ascii="宋体" w:hAnsi="宋体"/>
                <w:color w:val="auto"/>
                <w:szCs w:val="21"/>
                <w:highlight w:val="none"/>
              </w:rPr>
            </w:pPr>
          </w:p>
        </w:tc>
        <w:tc>
          <w:tcPr>
            <w:tcW w:w="567"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其中</w:t>
            </w:r>
          </w:p>
        </w:tc>
        <w:tc>
          <w:tcPr>
            <w:tcW w:w="1842"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营业执照号</w:t>
            </w:r>
          </w:p>
        </w:tc>
        <w:tc>
          <w:tcPr>
            <w:tcW w:w="3478" w:type="dxa"/>
            <w:gridSpan w:val="4"/>
            <w:noWrap w:val="0"/>
            <w:vAlign w:val="center"/>
          </w:tcPr>
          <w:p>
            <w:pPr>
              <w:jc w:val="center"/>
              <w:rPr>
                <w:rFonts w:hint="eastAsia" w:ascii="宋体" w:hAnsi="宋体"/>
                <w:color w:val="auto"/>
                <w:szCs w:val="21"/>
                <w:highlight w:val="none"/>
              </w:rPr>
            </w:pPr>
          </w:p>
        </w:tc>
        <w:tc>
          <w:tcPr>
            <w:tcW w:w="567" w:type="dxa"/>
            <w:vMerge w:val="continue"/>
            <w:noWrap w:val="0"/>
            <w:vAlign w:val="center"/>
          </w:tcPr>
          <w:p>
            <w:pPr>
              <w:jc w:val="center"/>
              <w:rPr>
                <w:rFonts w:hint="eastAsia" w:ascii="宋体" w:hAnsi="宋体"/>
                <w:color w:val="auto"/>
                <w:szCs w:val="21"/>
                <w:highlight w:val="none"/>
              </w:rPr>
            </w:pPr>
          </w:p>
        </w:tc>
        <w:tc>
          <w:tcPr>
            <w:tcW w:w="1842"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高级职称人员</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注册资金</w:t>
            </w:r>
          </w:p>
        </w:tc>
        <w:tc>
          <w:tcPr>
            <w:tcW w:w="3478" w:type="dxa"/>
            <w:gridSpan w:val="4"/>
            <w:noWrap w:val="0"/>
            <w:vAlign w:val="center"/>
          </w:tcPr>
          <w:p>
            <w:pPr>
              <w:jc w:val="center"/>
              <w:rPr>
                <w:rFonts w:hint="eastAsia" w:ascii="宋体" w:hAnsi="宋体"/>
                <w:color w:val="auto"/>
                <w:szCs w:val="21"/>
                <w:highlight w:val="none"/>
              </w:rPr>
            </w:pPr>
          </w:p>
        </w:tc>
        <w:tc>
          <w:tcPr>
            <w:tcW w:w="567" w:type="dxa"/>
            <w:vMerge w:val="continue"/>
            <w:noWrap w:val="0"/>
            <w:vAlign w:val="center"/>
          </w:tcPr>
          <w:p>
            <w:pPr>
              <w:jc w:val="center"/>
              <w:rPr>
                <w:rFonts w:hint="eastAsia" w:ascii="宋体" w:hAnsi="宋体"/>
                <w:color w:val="auto"/>
                <w:szCs w:val="21"/>
                <w:highlight w:val="none"/>
              </w:rPr>
            </w:pPr>
          </w:p>
        </w:tc>
        <w:tc>
          <w:tcPr>
            <w:tcW w:w="1842"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中级职称人员</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3478" w:type="dxa"/>
            <w:gridSpan w:val="4"/>
            <w:noWrap w:val="0"/>
            <w:vAlign w:val="center"/>
          </w:tcPr>
          <w:p>
            <w:pPr>
              <w:jc w:val="center"/>
              <w:rPr>
                <w:rFonts w:hint="eastAsia" w:ascii="宋体" w:hAnsi="宋体"/>
                <w:color w:val="auto"/>
                <w:szCs w:val="21"/>
                <w:highlight w:val="none"/>
              </w:rPr>
            </w:pPr>
          </w:p>
        </w:tc>
        <w:tc>
          <w:tcPr>
            <w:tcW w:w="567" w:type="dxa"/>
            <w:vMerge w:val="continue"/>
            <w:noWrap w:val="0"/>
            <w:vAlign w:val="center"/>
          </w:tcPr>
          <w:p>
            <w:pPr>
              <w:jc w:val="center"/>
              <w:rPr>
                <w:rFonts w:hint="eastAsia" w:ascii="宋体" w:hAnsi="宋体"/>
                <w:color w:val="auto"/>
                <w:szCs w:val="21"/>
                <w:highlight w:val="none"/>
              </w:rPr>
            </w:pPr>
          </w:p>
        </w:tc>
        <w:tc>
          <w:tcPr>
            <w:tcW w:w="1842"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初级职称人员</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账号</w:t>
            </w:r>
          </w:p>
        </w:tc>
        <w:tc>
          <w:tcPr>
            <w:tcW w:w="3478" w:type="dxa"/>
            <w:gridSpan w:val="4"/>
            <w:noWrap w:val="0"/>
            <w:vAlign w:val="center"/>
          </w:tcPr>
          <w:p>
            <w:pPr>
              <w:jc w:val="center"/>
              <w:rPr>
                <w:rFonts w:hint="eastAsia" w:ascii="宋体" w:hAnsi="宋体"/>
                <w:color w:val="auto"/>
                <w:szCs w:val="21"/>
                <w:highlight w:val="none"/>
              </w:rPr>
            </w:pPr>
          </w:p>
        </w:tc>
        <w:tc>
          <w:tcPr>
            <w:tcW w:w="567" w:type="dxa"/>
            <w:vMerge w:val="continue"/>
            <w:noWrap w:val="0"/>
            <w:vAlign w:val="center"/>
          </w:tcPr>
          <w:p>
            <w:pPr>
              <w:jc w:val="center"/>
              <w:rPr>
                <w:rFonts w:hint="eastAsia" w:ascii="宋体" w:hAnsi="宋体"/>
                <w:color w:val="auto"/>
                <w:szCs w:val="21"/>
                <w:highlight w:val="none"/>
              </w:rPr>
            </w:pPr>
          </w:p>
        </w:tc>
        <w:tc>
          <w:tcPr>
            <w:tcW w:w="1842"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技  工</w:t>
            </w:r>
          </w:p>
        </w:tc>
        <w:tc>
          <w:tcPr>
            <w:tcW w:w="170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7588" w:type="dxa"/>
            <w:gridSpan w:val="10"/>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备注</w:t>
            </w:r>
          </w:p>
        </w:tc>
        <w:tc>
          <w:tcPr>
            <w:tcW w:w="7588" w:type="dxa"/>
            <w:gridSpan w:val="10"/>
            <w:noWrap w:val="0"/>
            <w:vAlign w:val="center"/>
          </w:tcPr>
          <w:p>
            <w:pPr>
              <w:jc w:val="center"/>
              <w:rPr>
                <w:rFonts w:hint="eastAsia" w:ascii="宋体" w:hAnsi="宋体"/>
                <w:color w:val="auto"/>
                <w:szCs w:val="21"/>
                <w:highlight w:val="none"/>
              </w:rPr>
            </w:pPr>
          </w:p>
        </w:tc>
      </w:tr>
    </w:tbl>
    <w:p>
      <w:pPr>
        <w:spacing w:before="120" w:beforeLines="50"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投标人应当如实填妥</w:t>
      </w:r>
      <w:r>
        <w:rPr>
          <w:rFonts w:hint="eastAsia" w:ascii="宋体" w:hAnsi="宋体"/>
          <w:color w:val="auto"/>
          <w:szCs w:val="21"/>
          <w:highlight w:val="none"/>
        </w:rPr>
        <w:t>基本</w:t>
      </w:r>
      <w:r>
        <w:rPr>
          <w:rFonts w:ascii="宋体" w:hAnsi="宋体"/>
          <w:color w:val="auto"/>
          <w:szCs w:val="21"/>
          <w:highlight w:val="none"/>
        </w:rPr>
        <w:t>情况表</w:t>
      </w:r>
      <w:r>
        <w:rPr>
          <w:rFonts w:hint="eastAsia" w:ascii="宋体" w:hAnsi="宋体"/>
          <w:color w:val="auto"/>
          <w:szCs w:val="21"/>
          <w:highlight w:val="none"/>
        </w:rPr>
        <w:t>。</w:t>
      </w:r>
    </w:p>
    <w:sectPr>
      <w:pgSz w:w="11906" w:h="16838"/>
      <w:pgMar w:top="851" w:right="1134" w:bottom="851" w:left="1134" w:header="567" w:footer="567"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smartSimSun">
    <w:altName w:val="华文中宋"/>
    <w:panose1 w:val="02010600030101010101"/>
    <w:charset w:val="00"/>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separate"/>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5522"/>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8AEsxt4BAAC/AwAADgAAAAAAAAABACAAAAA0AQAAZHJzL2Uyb0RvYy54bWxQSwUGAAAAAAYA&#10;BgBZAQAAh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nFZdj3QEAAL4DAAAOAAAAAAAAAAEAIAAAADQBAABkcnMvZTJvRG9jLnhtbFBLBQYAAAAABgAG&#10;AFkBAACD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C7C3F"/>
    <w:multiLevelType w:val="singleLevel"/>
    <w:tmpl w:val="EDBC7C3F"/>
    <w:lvl w:ilvl="0" w:tentative="0">
      <w:start w:val="1"/>
      <w:numFmt w:val="chineseCounting"/>
      <w:suff w:val="nothing"/>
      <w:lvlText w:val="%1、"/>
      <w:lvlJc w:val="left"/>
      <w:pPr>
        <w:ind w:left="0" w:firstLine="420"/>
      </w:pPr>
      <w:rPr>
        <w:rFonts w:hint="eastAsia"/>
      </w:rPr>
    </w:lvl>
  </w:abstractNum>
  <w:abstractNum w:abstractNumId="1">
    <w:nsid w:val="12812157"/>
    <w:multiLevelType w:val="multilevel"/>
    <w:tmpl w:val="12812157"/>
    <w:lvl w:ilvl="0" w:tentative="0">
      <w:start w:val="1"/>
      <w:numFmt w:val="decimal"/>
      <w:lvlText w:val="%1."/>
      <w:lvlJc w:val="left"/>
      <w:pPr>
        <w:tabs>
          <w:tab w:val="left" w:pos="284"/>
        </w:tabs>
        <w:ind w:left="340" w:hanging="340"/>
      </w:pPr>
      <w:rPr>
        <w:rFonts w:hint="eastAsia"/>
      </w:rPr>
    </w:lvl>
    <w:lvl w:ilvl="1" w:tentative="0">
      <w:start w:val="1"/>
      <w:numFmt w:val="chineseCountingThousand"/>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30A0F5F"/>
    <w:multiLevelType w:val="singleLevel"/>
    <w:tmpl w:val="430A0F5F"/>
    <w:lvl w:ilvl="0" w:tentative="0">
      <w:start w:val="1"/>
      <w:numFmt w:val="japaneseCounting"/>
      <w:lvlText w:val="%1、"/>
      <w:lvlJc w:val="left"/>
      <w:pPr>
        <w:tabs>
          <w:tab w:val="left" w:pos="630"/>
        </w:tabs>
        <w:ind w:left="630" w:hanging="630"/>
      </w:pPr>
      <w:rPr>
        <w:rFonts w:hint="eastAsia"/>
      </w:rPr>
    </w:lvl>
  </w:abstractNum>
  <w:abstractNum w:abstractNumId="3">
    <w:nsid w:val="4EB07CB9"/>
    <w:multiLevelType w:val="multilevel"/>
    <w:tmpl w:val="4EB07CB9"/>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6F16C4"/>
    <w:multiLevelType w:val="multilevel"/>
    <w:tmpl w:val="536F16C4"/>
    <w:lvl w:ilvl="0" w:tentative="0">
      <w:start w:val="1"/>
      <w:numFmt w:val="decimal"/>
      <w:lvlText w:val="%1."/>
      <w:lvlJc w:val="left"/>
      <w:pPr>
        <w:tabs>
          <w:tab w:val="left" w:pos="284"/>
        </w:tabs>
        <w:ind w:left="340" w:hanging="3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BB5C7E"/>
    <w:multiLevelType w:val="multilevel"/>
    <w:tmpl w:val="6DBB5C7E"/>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D8"/>
    <w:rsid w:val="000008FE"/>
    <w:rsid w:val="0000110C"/>
    <w:rsid w:val="000014B6"/>
    <w:rsid w:val="000028D5"/>
    <w:rsid w:val="00002E35"/>
    <w:rsid w:val="0000325C"/>
    <w:rsid w:val="0000419B"/>
    <w:rsid w:val="000041CB"/>
    <w:rsid w:val="0000437D"/>
    <w:rsid w:val="00004890"/>
    <w:rsid w:val="00005535"/>
    <w:rsid w:val="000059E0"/>
    <w:rsid w:val="00006262"/>
    <w:rsid w:val="00010998"/>
    <w:rsid w:val="00010BC2"/>
    <w:rsid w:val="00010E5A"/>
    <w:rsid w:val="000118CB"/>
    <w:rsid w:val="00012098"/>
    <w:rsid w:val="0001233A"/>
    <w:rsid w:val="000143A8"/>
    <w:rsid w:val="00014B67"/>
    <w:rsid w:val="00014EE4"/>
    <w:rsid w:val="00016892"/>
    <w:rsid w:val="0001752C"/>
    <w:rsid w:val="0001766B"/>
    <w:rsid w:val="00020FC9"/>
    <w:rsid w:val="0002124F"/>
    <w:rsid w:val="00021AA2"/>
    <w:rsid w:val="00021E78"/>
    <w:rsid w:val="00021F15"/>
    <w:rsid w:val="000252AF"/>
    <w:rsid w:val="00025730"/>
    <w:rsid w:val="00025D55"/>
    <w:rsid w:val="00027D04"/>
    <w:rsid w:val="00030108"/>
    <w:rsid w:val="00031264"/>
    <w:rsid w:val="000318C3"/>
    <w:rsid w:val="00031A81"/>
    <w:rsid w:val="000331EF"/>
    <w:rsid w:val="00033C5B"/>
    <w:rsid w:val="00034061"/>
    <w:rsid w:val="00035631"/>
    <w:rsid w:val="00035B70"/>
    <w:rsid w:val="000370C9"/>
    <w:rsid w:val="000371D1"/>
    <w:rsid w:val="000415AF"/>
    <w:rsid w:val="000418B3"/>
    <w:rsid w:val="00041B93"/>
    <w:rsid w:val="00041C23"/>
    <w:rsid w:val="00041DE6"/>
    <w:rsid w:val="00042B5B"/>
    <w:rsid w:val="00044109"/>
    <w:rsid w:val="00044BB0"/>
    <w:rsid w:val="00046A92"/>
    <w:rsid w:val="00047047"/>
    <w:rsid w:val="00047D4F"/>
    <w:rsid w:val="000506D3"/>
    <w:rsid w:val="0005306B"/>
    <w:rsid w:val="000539B2"/>
    <w:rsid w:val="00054B36"/>
    <w:rsid w:val="00054BFD"/>
    <w:rsid w:val="00055511"/>
    <w:rsid w:val="000563CE"/>
    <w:rsid w:val="00056A7E"/>
    <w:rsid w:val="0005720C"/>
    <w:rsid w:val="00057C0A"/>
    <w:rsid w:val="00060339"/>
    <w:rsid w:val="000604D7"/>
    <w:rsid w:val="000636CE"/>
    <w:rsid w:val="00064146"/>
    <w:rsid w:val="00064CEB"/>
    <w:rsid w:val="000650FB"/>
    <w:rsid w:val="0006660E"/>
    <w:rsid w:val="00066961"/>
    <w:rsid w:val="00066FF2"/>
    <w:rsid w:val="00067526"/>
    <w:rsid w:val="00067FCC"/>
    <w:rsid w:val="0007039A"/>
    <w:rsid w:val="000708B1"/>
    <w:rsid w:val="00070B0F"/>
    <w:rsid w:val="00070C82"/>
    <w:rsid w:val="00072D84"/>
    <w:rsid w:val="00073CFA"/>
    <w:rsid w:val="0007550E"/>
    <w:rsid w:val="000801AD"/>
    <w:rsid w:val="00080550"/>
    <w:rsid w:val="0008056D"/>
    <w:rsid w:val="00083821"/>
    <w:rsid w:val="00083940"/>
    <w:rsid w:val="00083D09"/>
    <w:rsid w:val="00085652"/>
    <w:rsid w:val="00090634"/>
    <w:rsid w:val="00090F27"/>
    <w:rsid w:val="0009109F"/>
    <w:rsid w:val="000921E6"/>
    <w:rsid w:val="00092642"/>
    <w:rsid w:val="00093ED4"/>
    <w:rsid w:val="0009421F"/>
    <w:rsid w:val="00094834"/>
    <w:rsid w:val="00095A4E"/>
    <w:rsid w:val="00095AC1"/>
    <w:rsid w:val="0009680B"/>
    <w:rsid w:val="0009698D"/>
    <w:rsid w:val="000A057F"/>
    <w:rsid w:val="000A0964"/>
    <w:rsid w:val="000A298B"/>
    <w:rsid w:val="000A3055"/>
    <w:rsid w:val="000A32D9"/>
    <w:rsid w:val="000A5776"/>
    <w:rsid w:val="000A5936"/>
    <w:rsid w:val="000A5DBA"/>
    <w:rsid w:val="000A615E"/>
    <w:rsid w:val="000B0827"/>
    <w:rsid w:val="000B1372"/>
    <w:rsid w:val="000B1BB7"/>
    <w:rsid w:val="000B28B3"/>
    <w:rsid w:val="000B3087"/>
    <w:rsid w:val="000B3106"/>
    <w:rsid w:val="000B44E9"/>
    <w:rsid w:val="000B4D33"/>
    <w:rsid w:val="000B588F"/>
    <w:rsid w:val="000B5910"/>
    <w:rsid w:val="000B5C48"/>
    <w:rsid w:val="000B62B8"/>
    <w:rsid w:val="000B62BF"/>
    <w:rsid w:val="000C1835"/>
    <w:rsid w:val="000C2F01"/>
    <w:rsid w:val="000C3978"/>
    <w:rsid w:val="000C5026"/>
    <w:rsid w:val="000C554A"/>
    <w:rsid w:val="000C5574"/>
    <w:rsid w:val="000C5C75"/>
    <w:rsid w:val="000C75B9"/>
    <w:rsid w:val="000C7648"/>
    <w:rsid w:val="000D020E"/>
    <w:rsid w:val="000D1F02"/>
    <w:rsid w:val="000D249E"/>
    <w:rsid w:val="000D4316"/>
    <w:rsid w:val="000D469A"/>
    <w:rsid w:val="000D753A"/>
    <w:rsid w:val="000E0745"/>
    <w:rsid w:val="000E1DA8"/>
    <w:rsid w:val="000E1F04"/>
    <w:rsid w:val="000E31A8"/>
    <w:rsid w:val="000E4E4A"/>
    <w:rsid w:val="000F03E2"/>
    <w:rsid w:val="000F1806"/>
    <w:rsid w:val="000F1A7F"/>
    <w:rsid w:val="000F2406"/>
    <w:rsid w:val="000F2619"/>
    <w:rsid w:val="000F2FEB"/>
    <w:rsid w:val="000F33B3"/>
    <w:rsid w:val="000F3B9B"/>
    <w:rsid w:val="000F43AC"/>
    <w:rsid w:val="000F5045"/>
    <w:rsid w:val="000F5208"/>
    <w:rsid w:val="000F5727"/>
    <w:rsid w:val="000F57DB"/>
    <w:rsid w:val="000F5AAA"/>
    <w:rsid w:val="000F7E43"/>
    <w:rsid w:val="00100ACC"/>
    <w:rsid w:val="00102D8E"/>
    <w:rsid w:val="00102F35"/>
    <w:rsid w:val="00105E85"/>
    <w:rsid w:val="00105F1E"/>
    <w:rsid w:val="00110051"/>
    <w:rsid w:val="00110BCA"/>
    <w:rsid w:val="0011158C"/>
    <w:rsid w:val="00111F9D"/>
    <w:rsid w:val="00112557"/>
    <w:rsid w:val="00112725"/>
    <w:rsid w:val="0011521A"/>
    <w:rsid w:val="00115BA8"/>
    <w:rsid w:val="00116762"/>
    <w:rsid w:val="00116FCC"/>
    <w:rsid w:val="0011774B"/>
    <w:rsid w:val="00120A0A"/>
    <w:rsid w:val="00120C84"/>
    <w:rsid w:val="00123B8E"/>
    <w:rsid w:val="001264F1"/>
    <w:rsid w:val="0012656F"/>
    <w:rsid w:val="001279D3"/>
    <w:rsid w:val="00127BBE"/>
    <w:rsid w:val="0013095C"/>
    <w:rsid w:val="001313C0"/>
    <w:rsid w:val="00131731"/>
    <w:rsid w:val="001342CA"/>
    <w:rsid w:val="00135DD9"/>
    <w:rsid w:val="00143BDE"/>
    <w:rsid w:val="001441C3"/>
    <w:rsid w:val="00145788"/>
    <w:rsid w:val="00145BF5"/>
    <w:rsid w:val="001478C7"/>
    <w:rsid w:val="00147ED5"/>
    <w:rsid w:val="0015119F"/>
    <w:rsid w:val="00152173"/>
    <w:rsid w:val="00153CAD"/>
    <w:rsid w:val="00155253"/>
    <w:rsid w:val="001552EE"/>
    <w:rsid w:val="00155E69"/>
    <w:rsid w:val="0015633A"/>
    <w:rsid w:val="0015637E"/>
    <w:rsid w:val="001564F7"/>
    <w:rsid w:val="0015785E"/>
    <w:rsid w:val="00160E02"/>
    <w:rsid w:val="001610A0"/>
    <w:rsid w:val="00162145"/>
    <w:rsid w:val="00163C2E"/>
    <w:rsid w:val="00164756"/>
    <w:rsid w:val="00165F89"/>
    <w:rsid w:val="00166562"/>
    <w:rsid w:val="001665E6"/>
    <w:rsid w:val="00166BCB"/>
    <w:rsid w:val="00166D70"/>
    <w:rsid w:val="00166F6D"/>
    <w:rsid w:val="00167BC0"/>
    <w:rsid w:val="0017183F"/>
    <w:rsid w:val="00171DDC"/>
    <w:rsid w:val="001734F2"/>
    <w:rsid w:val="001749C9"/>
    <w:rsid w:val="00174AEF"/>
    <w:rsid w:val="001750ED"/>
    <w:rsid w:val="00176376"/>
    <w:rsid w:val="00176B03"/>
    <w:rsid w:val="00177194"/>
    <w:rsid w:val="00177406"/>
    <w:rsid w:val="0018158A"/>
    <w:rsid w:val="00183422"/>
    <w:rsid w:val="001835E7"/>
    <w:rsid w:val="00185708"/>
    <w:rsid w:val="00185B33"/>
    <w:rsid w:val="00185D60"/>
    <w:rsid w:val="001864A3"/>
    <w:rsid w:val="00187F78"/>
    <w:rsid w:val="00190F9D"/>
    <w:rsid w:val="00191775"/>
    <w:rsid w:val="00195078"/>
    <w:rsid w:val="00196263"/>
    <w:rsid w:val="00196E2E"/>
    <w:rsid w:val="001A155B"/>
    <w:rsid w:val="001A2E66"/>
    <w:rsid w:val="001A4928"/>
    <w:rsid w:val="001A4F36"/>
    <w:rsid w:val="001A55F3"/>
    <w:rsid w:val="001B0A37"/>
    <w:rsid w:val="001B0F85"/>
    <w:rsid w:val="001B2492"/>
    <w:rsid w:val="001B33FD"/>
    <w:rsid w:val="001B5B06"/>
    <w:rsid w:val="001B6A61"/>
    <w:rsid w:val="001B6DC8"/>
    <w:rsid w:val="001B748C"/>
    <w:rsid w:val="001B7846"/>
    <w:rsid w:val="001C07F6"/>
    <w:rsid w:val="001C08BD"/>
    <w:rsid w:val="001C12BD"/>
    <w:rsid w:val="001C1F0D"/>
    <w:rsid w:val="001C41BA"/>
    <w:rsid w:val="001C5F89"/>
    <w:rsid w:val="001C68C6"/>
    <w:rsid w:val="001C74D4"/>
    <w:rsid w:val="001C7779"/>
    <w:rsid w:val="001C7C4C"/>
    <w:rsid w:val="001D2511"/>
    <w:rsid w:val="001D2C35"/>
    <w:rsid w:val="001D4147"/>
    <w:rsid w:val="001D533D"/>
    <w:rsid w:val="001D5CEE"/>
    <w:rsid w:val="001D762A"/>
    <w:rsid w:val="001D775C"/>
    <w:rsid w:val="001E091C"/>
    <w:rsid w:val="001E2238"/>
    <w:rsid w:val="001E2256"/>
    <w:rsid w:val="001E3FFD"/>
    <w:rsid w:val="001E4523"/>
    <w:rsid w:val="001E66B3"/>
    <w:rsid w:val="001E7BF6"/>
    <w:rsid w:val="001E7F9C"/>
    <w:rsid w:val="001F04DC"/>
    <w:rsid w:val="001F2BDF"/>
    <w:rsid w:val="001F2EFB"/>
    <w:rsid w:val="002004BA"/>
    <w:rsid w:val="0020053F"/>
    <w:rsid w:val="00200846"/>
    <w:rsid w:val="00200C75"/>
    <w:rsid w:val="00200E05"/>
    <w:rsid w:val="00201028"/>
    <w:rsid w:val="00203184"/>
    <w:rsid w:val="00203B43"/>
    <w:rsid w:val="002051A6"/>
    <w:rsid w:val="0020558C"/>
    <w:rsid w:val="00205F30"/>
    <w:rsid w:val="002062A5"/>
    <w:rsid w:val="00207A51"/>
    <w:rsid w:val="00207AAF"/>
    <w:rsid w:val="002104F4"/>
    <w:rsid w:val="00210BE3"/>
    <w:rsid w:val="00211006"/>
    <w:rsid w:val="00211AE9"/>
    <w:rsid w:val="00211DC0"/>
    <w:rsid w:val="00212229"/>
    <w:rsid w:val="002142A2"/>
    <w:rsid w:val="00214CF3"/>
    <w:rsid w:val="00214F2A"/>
    <w:rsid w:val="00214FED"/>
    <w:rsid w:val="002151A1"/>
    <w:rsid w:val="00215E34"/>
    <w:rsid w:val="00217E10"/>
    <w:rsid w:val="002205CF"/>
    <w:rsid w:val="002207A8"/>
    <w:rsid w:val="00220E3B"/>
    <w:rsid w:val="002238F1"/>
    <w:rsid w:val="00223B4C"/>
    <w:rsid w:val="00224A07"/>
    <w:rsid w:val="00225160"/>
    <w:rsid w:val="0022601D"/>
    <w:rsid w:val="00226E54"/>
    <w:rsid w:val="00227889"/>
    <w:rsid w:val="00232159"/>
    <w:rsid w:val="002340CF"/>
    <w:rsid w:val="0023605D"/>
    <w:rsid w:val="00236BE7"/>
    <w:rsid w:val="002374DC"/>
    <w:rsid w:val="00237A14"/>
    <w:rsid w:val="002405C9"/>
    <w:rsid w:val="002409B7"/>
    <w:rsid w:val="0024151F"/>
    <w:rsid w:val="0024410B"/>
    <w:rsid w:val="00244B55"/>
    <w:rsid w:val="002474D6"/>
    <w:rsid w:val="00247F6C"/>
    <w:rsid w:val="002506AF"/>
    <w:rsid w:val="002514F4"/>
    <w:rsid w:val="002516F2"/>
    <w:rsid w:val="00255707"/>
    <w:rsid w:val="00255A12"/>
    <w:rsid w:val="00256CC4"/>
    <w:rsid w:val="00257939"/>
    <w:rsid w:val="0026008C"/>
    <w:rsid w:val="00261A12"/>
    <w:rsid w:val="00262264"/>
    <w:rsid w:val="00262FFB"/>
    <w:rsid w:val="002643DE"/>
    <w:rsid w:val="0026446C"/>
    <w:rsid w:val="00265B31"/>
    <w:rsid w:val="00265BCF"/>
    <w:rsid w:val="00265EA9"/>
    <w:rsid w:val="00265F9F"/>
    <w:rsid w:val="002665D3"/>
    <w:rsid w:val="00266DC6"/>
    <w:rsid w:val="00267605"/>
    <w:rsid w:val="00267B46"/>
    <w:rsid w:val="00270487"/>
    <w:rsid w:val="00270752"/>
    <w:rsid w:val="00270A71"/>
    <w:rsid w:val="00272B69"/>
    <w:rsid w:val="0027392D"/>
    <w:rsid w:val="00274405"/>
    <w:rsid w:val="00274F35"/>
    <w:rsid w:val="00275D12"/>
    <w:rsid w:val="00275E71"/>
    <w:rsid w:val="00275FA8"/>
    <w:rsid w:val="0027746F"/>
    <w:rsid w:val="00277639"/>
    <w:rsid w:val="00277A55"/>
    <w:rsid w:val="00277C6E"/>
    <w:rsid w:val="00277FA1"/>
    <w:rsid w:val="00277FCD"/>
    <w:rsid w:val="002809D1"/>
    <w:rsid w:val="00281287"/>
    <w:rsid w:val="00281AE7"/>
    <w:rsid w:val="0028203E"/>
    <w:rsid w:val="002822E7"/>
    <w:rsid w:val="00282A7D"/>
    <w:rsid w:val="00282BE9"/>
    <w:rsid w:val="002855F3"/>
    <w:rsid w:val="00285ECD"/>
    <w:rsid w:val="002865BC"/>
    <w:rsid w:val="00287B33"/>
    <w:rsid w:val="002904B0"/>
    <w:rsid w:val="00290FA6"/>
    <w:rsid w:val="00291121"/>
    <w:rsid w:val="00291DBC"/>
    <w:rsid w:val="002922B1"/>
    <w:rsid w:val="00292C95"/>
    <w:rsid w:val="00292FC1"/>
    <w:rsid w:val="00293827"/>
    <w:rsid w:val="002964C2"/>
    <w:rsid w:val="00296E78"/>
    <w:rsid w:val="002A13E5"/>
    <w:rsid w:val="002A1497"/>
    <w:rsid w:val="002A1A97"/>
    <w:rsid w:val="002A2B58"/>
    <w:rsid w:val="002A2CC3"/>
    <w:rsid w:val="002A4FAF"/>
    <w:rsid w:val="002A5823"/>
    <w:rsid w:val="002A6114"/>
    <w:rsid w:val="002A7244"/>
    <w:rsid w:val="002B081E"/>
    <w:rsid w:val="002B090C"/>
    <w:rsid w:val="002B0DCC"/>
    <w:rsid w:val="002B1F57"/>
    <w:rsid w:val="002B316E"/>
    <w:rsid w:val="002B3C0E"/>
    <w:rsid w:val="002B3CF4"/>
    <w:rsid w:val="002B5073"/>
    <w:rsid w:val="002B5DE5"/>
    <w:rsid w:val="002B63D7"/>
    <w:rsid w:val="002B78FA"/>
    <w:rsid w:val="002B7FF2"/>
    <w:rsid w:val="002C0EC0"/>
    <w:rsid w:val="002C1421"/>
    <w:rsid w:val="002C1867"/>
    <w:rsid w:val="002C364E"/>
    <w:rsid w:val="002C3AB5"/>
    <w:rsid w:val="002C54E1"/>
    <w:rsid w:val="002C5C76"/>
    <w:rsid w:val="002C6564"/>
    <w:rsid w:val="002C682D"/>
    <w:rsid w:val="002C74C0"/>
    <w:rsid w:val="002D0520"/>
    <w:rsid w:val="002D08CF"/>
    <w:rsid w:val="002D1F76"/>
    <w:rsid w:val="002D371D"/>
    <w:rsid w:val="002D3884"/>
    <w:rsid w:val="002D38C6"/>
    <w:rsid w:val="002D3E2F"/>
    <w:rsid w:val="002D4788"/>
    <w:rsid w:val="002D700C"/>
    <w:rsid w:val="002D71DC"/>
    <w:rsid w:val="002D7633"/>
    <w:rsid w:val="002D7A0E"/>
    <w:rsid w:val="002D7D83"/>
    <w:rsid w:val="002E075D"/>
    <w:rsid w:val="002E17C1"/>
    <w:rsid w:val="002E2390"/>
    <w:rsid w:val="002E6BFE"/>
    <w:rsid w:val="002E6D1B"/>
    <w:rsid w:val="002E7A7E"/>
    <w:rsid w:val="002E7D1C"/>
    <w:rsid w:val="002F4CA5"/>
    <w:rsid w:val="002F4EF2"/>
    <w:rsid w:val="002F5C95"/>
    <w:rsid w:val="002F60CD"/>
    <w:rsid w:val="002F6E51"/>
    <w:rsid w:val="00301AB8"/>
    <w:rsid w:val="00301C05"/>
    <w:rsid w:val="0030225B"/>
    <w:rsid w:val="003027EB"/>
    <w:rsid w:val="00304D75"/>
    <w:rsid w:val="00305209"/>
    <w:rsid w:val="00305863"/>
    <w:rsid w:val="003079ED"/>
    <w:rsid w:val="00310672"/>
    <w:rsid w:val="00310C45"/>
    <w:rsid w:val="0031119F"/>
    <w:rsid w:val="00312CFC"/>
    <w:rsid w:val="00313A47"/>
    <w:rsid w:val="00315A15"/>
    <w:rsid w:val="00316297"/>
    <w:rsid w:val="003204F4"/>
    <w:rsid w:val="00322F11"/>
    <w:rsid w:val="00323C27"/>
    <w:rsid w:val="0032454F"/>
    <w:rsid w:val="00324AB9"/>
    <w:rsid w:val="00324E05"/>
    <w:rsid w:val="00325221"/>
    <w:rsid w:val="00327022"/>
    <w:rsid w:val="00331029"/>
    <w:rsid w:val="0033306C"/>
    <w:rsid w:val="003334DF"/>
    <w:rsid w:val="00334C9A"/>
    <w:rsid w:val="00340396"/>
    <w:rsid w:val="00340D10"/>
    <w:rsid w:val="00342133"/>
    <w:rsid w:val="00345C5A"/>
    <w:rsid w:val="0034677C"/>
    <w:rsid w:val="003471B4"/>
    <w:rsid w:val="003477E4"/>
    <w:rsid w:val="00351689"/>
    <w:rsid w:val="003523AF"/>
    <w:rsid w:val="00353327"/>
    <w:rsid w:val="0035373B"/>
    <w:rsid w:val="003546F4"/>
    <w:rsid w:val="00355F94"/>
    <w:rsid w:val="003564A5"/>
    <w:rsid w:val="00356A10"/>
    <w:rsid w:val="003571F5"/>
    <w:rsid w:val="00357B6B"/>
    <w:rsid w:val="0036020E"/>
    <w:rsid w:val="00360651"/>
    <w:rsid w:val="003622FD"/>
    <w:rsid w:val="00362F03"/>
    <w:rsid w:val="00363866"/>
    <w:rsid w:val="00363A73"/>
    <w:rsid w:val="003641E9"/>
    <w:rsid w:val="003645EA"/>
    <w:rsid w:val="00364A79"/>
    <w:rsid w:val="00364E11"/>
    <w:rsid w:val="00366121"/>
    <w:rsid w:val="0037013E"/>
    <w:rsid w:val="00371D50"/>
    <w:rsid w:val="00371D9A"/>
    <w:rsid w:val="00371DB4"/>
    <w:rsid w:val="00372259"/>
    <w:rsid w:val="00373BC6"/>
    <w:rsid w:val="00375B4C"/>
    <w:rsid w:val="00376A45"/>
    <w:rsid w:val="00376F2F"/>
    <w:rsid w:val="00376FC9"/>
    <w:rsid w:val="00377A0E"/>
    <w:rsid w:val="00377C3D"/>
    <w:rsid w:val="00381342"/>
    <w:rsid w:val="00381917"/>
    <w:rsid w:val="00381D12"/>
    <w:rsid w:val="00386FA7"/>
    <w:rsid w:val="00386FC4"/>
    <w:rsid w:val="00387C53"/>
    <w:rsid w:val="00392D35"/>
    <w:rsid w:val="00396E35"/>
    <w:rsid w:val="003A1A4A"/>
    <w:rsid w:val="003A24A6"/>
    <w:rsid w:val="003A2971"/>
    <w:rsid w:val="003A2B2B"/>
    <w:rsid w:val="003A2ECF"/>
    <w:rsid w:val="003A44A2"/>
    <w:rsid w:val="003A5321"/>
    <w:rsid w:val="003A5D7C"/>
    <w:rsid w:val="003A6767"/>
    <w:rsid w:val="003B1F37"/>
    <w:rsid w:val="003B2AE8"/>
    <w:rsid w:val="003B3A00"/>
    <w:rsid w:val="003B4EB5"/>
    <w:rsid w:val="003B5C68"/>
    <w:rsid w:val="003B5FEF"/>
    <w:rsid w:val="003B6A68"/>
    <w:rsid w:val="003C042B"/>
    <w:rsid w:val="003C27C2"/>
    <w:rsid w:val="003C366B"/>
    <w:rsid w:val="003C44E4"/>
    <w:rsid w:val="003C4EA4"/>
    <w:rsid w:val="003C50BB"/>
    <w:rsid w:val="003C601B"/>
    <w:rsid w:val="003C6C66"/>
    <w:rsid w:val="003C6E26"/>
    <w:rsid w:val="003C700B"/>
    <w:rsid w:val="003C76EA"/>
    <w:rsid w:val="003D04F3"/>
    <w:rsid w:val="003D09B4"/>
    <w:rsid w:val="003D1847"/>
    <w:rsid w:val="003E2090"/>
    <w:rsid w:val="003E2388"/>
    <w:rsid w:val="003E2912"/>
    <w:rsid w:val="003E2A7D"/>
    <w:rsid w:val="003E3A1C"/>
    <w:rsid w:val="003E3E91"/>
    <w:rsid w:val="003E4615"/>
    <w:rsid w:val="003E4842"/>
    <w:rsid w:val="003E51B6"/>
    <w:rsid w:val="003E560F"/>
    <w:rsid w:val="003E6515"/>
    <w:rsid w:val="003E7CDF"/>
    <w:rsid w:val="003F1302"/>
    <w:rsid w:val="003F144D"/>
    <w:rsid w:val="003F1649"/>
    <w:rsid w:val="003F1861"/>
    <w:rsid w:val="003F2166"/>
    <w:rsid w:val="003F50EE"/>
    <w:rsid w:val="003F5382"/>
    <w:rsid w:val="003F5B70"/>
    <w:rsid w:val="003F63AE"/>
    <w:rsid w:val="004016E4"/>
    <w:rsid w:val="0040235A"/>
    <w:rsid w:val="00403B1C"/>
    <w:rsid w:val="00403BD3"/>
    <w:rsid w:val="004054E2"/>
    <w:rsid w:val="00405C9B"/>
    <w:rsid w:val="00406037"/>
    <w:rsid w:val="00406166"/>
    <w:rsid w:val="0040690B"/>
    <w:rsid w:val="00412675"/>
    <w:rsid w:val="00412F5D"/>
    <w:rsid w:val="0041308C"/>
    <w:rsid w:val="00413504"/>
    <w:rsid w:val="004144D9"/>
    <w:rsid w:val="00420D83"/>
    <w:rsid w:val="004238C5"/>
    <w:rsid w:val="004239B8"/>
    <w:rsid w:val="004255CA"/>
    <w:rsid w:val="0042728B"/>
    <w:rsid w:val="004319C4"/>
    <w:rsid w:val="0043287B"/>
    <w:rsid w:val="0043449E"/>
    <w:rsid w:val="00436394"/>
    <w:rsid w:val="00436801"/>
    <w:rsid w:val="00436EF7"/>
    <w:rsid w:val="00437B7C"/>
    <w:rsid w:val="004427BF"/>
    <w:rsid w:val="0044314D"/>
    <w:rsid w:val="004445D6"/>
    <w:rsid w:val="0044581A"/>
    <w:rsid w:val="00445E1B"/>
    <w:rsid w:val="004468AF"/>
    <w:rsid w:val="00447298"/>
    <w:rsid w:val="004473D6"/>
    <w:rsid w:val="004475A1"/>
    <w:rsid w:val="004531C6"/>
    <w:rsid w:val="00453A0D"/>
    <w:rsid w:val="004548AF"/>
    <w:rsid w:val="00454932"/>
    <w:rsid w:val="00454A61"/>
    <w:rsid w:val="00456FE7"/>
    <w:rsid w:val="00461587"/>
    <w:rsid w:val="004619B4"/>
    <w:rsid w:val="00463DFC"/>
    <w:rsid w:val="00464107"/>
    <w:rsid w:val="00464BFE"/>
    <w:rsid w:val="00464F8F"/>
    <w:rsid w:val="00465041"/>
    <w:rsid w:val="004717D7"/>
    <w:rsid w:val="00472562"/>
    <w:rsid w:val="004739F3"/>
    <w:rsid w:val="00474E21"/>
    <w:rsid w:val="00475A8F"/>
    <w:rsid w:val="00476A9A"/>
    <w:rsid w:val="00476ED8"/>
    <w:rsid w:val="004770A7"/>
    <w:rsid w:val="004774AD"/>
    <w:rsid w:val="00477886"/>
    <w:rsid w:val="00480053"/>
    <w:rsid w:val="0048066B"/>
    <w:rsid w:val="00481025"/>
    <w:rsid w:val="00482BC3"/>
    <w:rsid w:val="00482DD6"/>
    <w:rsid w:val="004836F6"/>
    <w:rsid w:val="00484473"/>
    <w:rsid w:val="004860C2"/>
    <w:rsid w:val="00486A72"/>
    <w:rsid w:val="00490C08"/>
    <w:rsid w:val="0049159B"/>
    <w:rsid w:val="004926B7"/>
    <w:rsid w:val="00492A4F"/>
    <w:rsid w:val="00494464"/>
    <w:rsid w:val="0049456F"/>
    <w:rsid w:val="004951A8"/>
    <w:rsid w:val="00495A92"/>
    <w:rsid w:val="00497D8E"/>
    <w:rsid w:val="004A0694"/>
    <w:rsid w:val="004A0951"/>
    <w:rsid w:val="004A0B68"/>
    <w:rsid w:val="004A14D8"/>
    <w:rsid w:val="004A1A51"/>
    <w:rsid w:val="004A2946"/>
    <w:rsid w:val="004A3968"/>
    <w:rsid w:val="004A3DCF"/>
    <w:rsid w:val="004A57C5"/>
    <w:rsid w:val="004A76FF"/>
    <w:rsid w:val="004B097E"/>
    <w:rsid w:val="004B18F3"/>
    <w:rsid w:val="004B2E82"/>
    <w:rsid w:val="004B45A7"/>
    <w:rsid w:val="004B75BB"/>
    <w:rsid w:val="004B76D8"/>
    <w:rsid w:val="004B798E"/>
    <w:rsid w:val="004C01D1"/>
    <w:rsid w:val="004C3999"/>
    <w:rsid w:val="004C4020"/>
    <w:rsid w:val="004C5646"/>
    <w:rsid w:val="004C5C8A"/>
    <w:rsid w:val="004C66E6"/>
    <w:rsid w:val="004C762F"/>
    <w:rsid w:val="004C7C8D"/>
    <w:rsid w:val="004C7CA1"/>
    <w:rsid w:val="004D1956"/>
    <w:rsid w:val="004D199C"/>
    <w:rsid w:val="004D32CA"/>
    <w:rsid w:val="004D335C"/>
    <w:rsid w:val="004D55EB"/>
    <w:rsid w:val="004E096E"/>
    <w:rsid w:val="004E151E"/>
    <w:rsid w:val="004E3422"/>
    <w:rsid w:val="004E36C8"/>
    <w:rsid w:val="004E5C2D"/>
    <w:rsid w:val="004E639D"/>
    <w:rsid w:val="004E7291"/>
    <w:rsid w:val="004F04F9"/>
    <w:rsid w:val="004F1426"/>
    <w:rsid w:val="004F242E"/>
    <w:rsid w:val="004F35B7"/>
    <w:rsid w:val="004F3CCA"/>
    <w:rsid w:val="004F56A5"/>
    <w:rsid w:val="004F5F55"/>
    <w:rsid w:val="004F6263"/>
    <w:rsid w:val="004F6E74"/>
    <w:rsid w:val="004F7472"/>
    <w:rsid w:val="004F752F"/>
    <w:rsid w:val="0050110F"/>
    <w:rsid w:val="00501279"/>
    <w:rsid w:val="005018CF"/>
    <w:rsid w:val="00501D56"/>
    <w:rsid w:val="005023D0"/>
    <w:rsid w:val="005028AD"/>
    <w:rsid w:val="00503305"/>
    <w:rsid w:val="00504215"/>
    <w:rsid w:val="0050525F"/>
    <w:rsid w:val="005059F9"/>
    <w:rsid w:val="00506737"/>
    <w:rsid w:val="005071D9"/>
    <w:rsid w:val="00511B40"/>
    <w:rsid w:val="005123BF"/>
    <w:rsid w:val="00512C42"/>
    <w:rsid w:val="00512E09"/>
    <w:rsid w:val="00512F45"/>
    <w:rsid w:val="005136F6"/>
    <w:rsid w:val="00513956"/>
    <w:rsid w:val="00513C16"/>
    <w:rsid w:val="00514F6C"/>
    <w:rsid w:val="005162CE"/>
    <w:rsid w:val="00516475"/>
    <w:rsid w:val="00516BE4"/>
    <w:rsid w:val="0051750E"/>
    <w:rsid w:val="00517DD5"/>
    <w:rsid w:val="005214D0"/>
    <w:rsid w:val="005226E7"/>
    <w:rsid w:val="00522D54"/>
    <w:rsid w:val="005235D5"/>
    <w:rsid w:val="00523D38"/>
    <w:rsid w:val="00524D17"/>
    <w:rsid w:val="00525D1C"/>
    <w:rsid w:val="0053081D"/>
    <w:rsid w:val="00530AE3"/>
    <w:rsid w:val="00530F0D"/>
    <w:rsid w:val="00532D51"/>
    <w:rsid w:val="00532FF7"/>
    <w:rsid w:val="005345F9"/>
    <w:rsid w:val="00535D7E"/>
    <w:rsid w:val="00537AB8"/>
    <w:rsid w:val="00537CD9"/>
    <w:rsid w:val="00540B79"/>
    <w:rsid w:val="005418D3"/>
    <w:rsid w:val="005432FE"/>
    <w:rsid w:val="005437C3"/>
    <w:rsid w:val="0054448B"/>
    <w:rsid w:val="005452CC"/>
    <w:rsid w:val="00545511"/>
    <w:rsid w:val="00545E41"/>
    <w:rsid w:val="00546C60"/>
    <w:rsid w:val="0055023A"/>
    <w:rsid w:val="00551A47"/>
    <w:rsid w:val="00551BF1"/>
    <w:rsid w:val="00554D72"/>
    <w:rsid w:val="00557AC2"/>
    <w:rsid w:val="00557B61"/>
    <w:rsid w:val="0056043F"/>
    <w:rsid w:val="00560F3D"/>
    <w:rsid w:val="00561C68"/>
    <w:rsid w:val="00561E92"/>
    <w:rsid w:val="00562F83"/>
    <w:rsid w:val="00563184"/>
    <w:rsid w:val="00563696"/>
    <w:rsid w:val="0056473A"/>
    <w:rsid w:val="00565ACA"/>
    <w:rsid w:val="005662D8"/>
    <w:rsid w:val="0056693F"/>
    <w:rsid w:val="00570D5B"/>
    <w:rsid w:val="00571F10"/>
    <w:rsid w:val="00572793"/>
    <w:rsid w:val="00572E94"/>
    <w:rsid w:val="0057304E"/>
    <w:rsid w:val="00574E49"/>
    <w:rsid w:val="005753C1"/>
    <w:rsid w:val="00576FDD"/>
    <w:rsid w:val="005850DF"/>
    <w:rsid w:val="00585723"/>
    <w:rsid w:val="00586FF7"/>
    <w:rsid w:val="00587363"/>
    <w:rsid w:val="00590CA7"/>
    <w:rsid w:val="005917B7"/>
    <w:rsid w:val="00593B19"/>
    <w:rsid w:val="00594754"/>
    <w:rsid w:val="0059491D"/>
    <w:rsid w:val="0059773E"/>
    <w:rsid w:val="005A09C8"/>
    <w:rsid w:val="005A20E7"/>
    <w:rsid w:val="005A320F"/>
    <w:rsid w:val="005A41F1"/>
    <w:rsid w:val="005A5BE6"/>
    <w:rsid w:val="005A7694"/>
    <w:rsid w:val="005B0CD6"/>
    <w:rsid w:val="005B2EE6"/>
    <w:rsid w:val="005B3B48"/>
    <w:rsid w:val="005B6307"/>
    <w:rsid w:val="005B6F63"/>
    <w:rsid w:val="005B70BC"/>
    <w:rsid w:val="005B71AE"/>
    <w:rsid w:val="005C0F3C"/>
    <w:rsid w:val="005C1DDD"/>
    <w:rsid w:val="005C22BB"/>
    <w:rsid w:val="005C4A79"/>
    <w:rsid w:val="005C5AEC"/>
    <w:rsid w:val="005C64EE"/>
    <w:rsid w:val="005C7A43"/>
    <w:rsid w:val="005D35C4"/>
    <w:rsid w:val="005D3623"/>
    <w:rsid w:val="005D3690"/>
    <w:rsid w:val="005D4510"/>
    <w:rsid w:val="005D4C9B"/>
    <w:rsid w:val="005D5C38"/>
    <w:rsid w:val="005E0F25"/>
    <w:rsid w:val="005E2138"/>
    <w:rsid w:val="005E2C12"/>
    <w:rsid w:val="005E355F"/>
    <w:rsid w:val="005E3F56"/>
    <w:rsid w:val="005E41D8"/>
    <w:rsid w:val="005E4AAB"/>
    <w:rsid w:val="005E54ED"/>
    <w:rsid w:val="005E5689"/>
    <w:rsid w:val="005E623E"/>
    <w:rsid w:val="005E62A1"/>
    <w:rsid w:val="005E6E0E"/>
    <w:rsid w:val="005E7310"/>
    <w:rsid w:val="005E74FE"/>
    <w:rsid w:val="005F055C"/>
    <w:rsid w:val="005F10B2"/>
    <w:rsid w:val="005F1AFA"/>
    <w:rsid w:val="005F1E89"/>
    <w:rsid w:val="005F20E8"/>
    <w:rsid w:val="005F2BB6"/>
    <w:rsid w:val="005F347B"/>
    <w:rsid w:val="005F3E89"/>
    <w:rsid w:val="005F4471"/>
    <w:rsid w:val="005F4A35"/>
    <w:rsid w:val="005F5B51"/>
    <w:rsid w:val="005F642B"/>
    <w:rsid w:val="005F6B71"/>
    <w:rsid w:val="005F7209"/>
    <w:rsid w:val="005F72AB"/>
    <w:rsid w:val="005F749D"/>
    <w:rsid w:val="005F7D76"/>
    <w:rsid w:val="005F7D97"/>
    <w:rsid w:val="005F7DC0"/>
    <w:rsid w:val="00600718"/>
    <w:rsid w:val="006007FA"/>
    <w:rsid w:val="00600994"/>
    <w:rsid w:val="00600CC7"/>
    <w:rsid w:val="00601D23"/>
    <w:rsid w:val="006025B2"/>
    <w:rsid w:val="006031CE"/>
    <w:rsid w:val="00603C4D"/>
    <w:rsid w:val="006042F9"/>
    <w:rsid w:val="00604964"/>
    <w:rsid w:val="0060669B"/>
    <w:rsid w:val="00606977"/>
    <w:rsid w:val="00610068"/>
    <w:rsid w:val="00610F63"/>
    <w:rsid w:val="006119F9"/>
    <w:rsid w:val="006121F8"/>
    <w:rsid w:val="006124B2"/>
    <w:rsid w:val="006139A0"/>
    <w:rsid w:val="006167DB"/>
    <w:rsid w:val="0061775C"/>
    <w:rsid w:val="006206A0"/>
    <w:rsid w:val="0062264E"/>
    <w:rsid w:val="00622DFD"/>
    <w:rsid w:val="00622EC7"/>
    <w:rsid w:val="00625048"/>
    <w:rsid w:val="00625752"/>
    <w:rsid w:val="00625904"/>
    <w:rsid w:val="00626E9C"/>
    <w:rsid w:val="0062734B"/>
    <w:rsid w:val="00627FB5"/>
    <w:rsid w:val="00630539"/>
    <w:rsid w:val="006315D1"/>
    <w:rsid w:val="00631FA6"/>
    <w:rsid w:val="006322BC"/>
    <w:rsid w:val="00632787"/>
    <w:rsid w:val="00632EE5"/>
    <w:rsid w:val="00633134"/>
    <w:rsid w:val="00635018"/>
    <w:rsid w:val="00635375"/>
    <w:rsid w:val="00636147"/>
    <w:rsid w:val="00636B1B"/>
    <w:rsid w:val="00637457"/>
    <w:rsid w:val="00640A16"/>
    <w:rsid w:val="00640F52"/>
    <w:rsid w:val="006433F4"/>
    <w:rsid w:val="00643D8F"/>
    <w:rsid w:val="00644304"/>
    <w:rsid w:val="00644A1E"/>
    <w:rsid w:val="00644A88"/>
    <w:rsid w:val="00644D43"/>
    <w:rsid w:val="00644F79"/>
    <w:rsid w:val="00645CB9"/>
    <w:rsid w:val="00645E63"/>
    <w:rsid w:val="00646A24"/>
    <w:rsid w:val="00646B32"/>
    <w:rsid w:val="00647F1A"/>
    <w:rsid w:val="00650DCF"/>
    <w:rsid w:val="00652BCB"/>
    <w:rsid w:val="006538F4"/>
    <w:rsid w:val="00653925"/>
    <w:rsid w:val="006566B8"/>
    <w:rsid w:val="006572A2"/>
    <w:rsid w:val="00660684"/>
    <w:rsid w:val="00660F0F"/>
    <w:rsid w:val="0066253F"/>
    <w:rsid w:val="006644F1"/>
    <w:rsid w:val="00665E10"/>
    <w:rsid w:val="006663F6"/>
    <w:rsid w:val="0066645D"/>
    <w:rsid w:val="00667525"/>
    <w:rsid w:val="00667544"/>
    <w:rsid w:val="00667952"/>
    <w:rsid w:val="00667A35"/>
    <w:rsid w:val="00667B0A"/>
    <w:rsid w:val="006711E8"/>
    <w:rsid w:val="00671217"/>
    <w:rsid w:val="00671688"/>
    <w:rsid w:val="00672310"/>
    <w:rsid w:val="00672944"/>
    <w:rsid w:val="00673853"/>
    <w:rsid w:val="00680EE5"/>
    <w:rsid w:val="00681239"/>
    <w:rsid w:val="00681460"/>
    <w:rsid w:val="006847CC"/>
    <w:rsid w:val="00684849"/>
    <w:rsid w:val="00685085"/>
    <w:rsid w:val="0068559F"/>
    <w:rsid w:val="00685AED"/>
    <w:rsid w:val="006905C9"/>
    <w:rsid w:val="0069098C"/>
    <w:rsid w:val="00691F57"/>
    <w:rsid w:val="006936C2"/>
    <w:rsid w:val="0069402E"/>
    <w:rsid w:val="006963FE"/>
    <w:rsid w:val="00696B31"/>
    <w:rsid w:val="0069716F"/>
    <w:rsid w:val="00697D5E"/>
    <w:rsid w:val="006A0349"/>
    <w:rsid w:val="006A16BB"/>
    <w:rsid w:val="006A1BE8"/>
    <w:rsid w:val="006A3FDD"/>
    <w:rsid w:val="006A5158"/>
    <w:rsid w:val="006A5DF9"/>
    <w:rsid w:val="006A6D17"/>
    <w:rsid w:val="006A6F8A"/>
    <w:rsid w:val="006A75C5"/>
    <w:rsid w:val="006A7EF2"/>
    <w:rsid w:val="006B0210"/>
    <w:rsid w:val="006B1C51"/>
    <w:rsid w:val="006B31DA"/>
    <w:rsid w:val="006B3565"/>
    <w:rsid w:val="006B5801"/>
    <w:rsid w:val="006B7082"/>
    <w:rsid w:val="006B7BD8"/>
    <w:rsid w:val="006C0385"/>
    <w:rsid w:val="006C0460"/>
    <w:rsid w:val="006C1782"/>
    <w:rsid w:val="006C27D7"/>
    <w:rsid w:val="006C2F82"/>
    <w:rsid w:val="006C3F66"/>
    <w:rsid w:val="006C7B58"/>
    <w:rsid w:val="006D0709"/>
    <w:rsid w:val="006D0819"/>
    <w:rsid w:val="006D1115"/>
    <w:rsid w:val="006D13A3"/>
    <w:rsid w:val="006D2C3F"/>
    <w:rsid w:val="006D35D7"/>
    <w:rsid w:val="006D512F"/>
    <w:rsid w:val="006E0693"/>
    <w:rsid w:val="006E07CB"/>
    <w:rsid w:val="006E1057"/>
    <w:rsid w:val="006E17FE"/>
    <w:rsid w:val="006E22E8"/>
    <w:rsid w:val="006E2613"/>
    <w:rsid w:val="006E4BE8"/>
    <w:rsid w:val="006E62EA"/>
    <w:rsid w:val="006E688E"/>
    <w:rsid w:val="006E68E4"/>
    <w:rsid w:val="006E71BD"/>
    <w:rsid w:val="006E765B"/>
    <w:rsid w:val="006F094D"/>
    <w:rsid w:val="006F1F29"/>
    <w:rsid w:val="006F2458"/>
    <w:rsid w:val="006F32B3"/>
    <w:rsid w:val="006F6FD2"/>
    <w:rsid w:val="006F7ED2"/>
    <w:rsid w:val="007001CA"/>
    <w:rsid w:val="0070135E"/>
    <w:rsid w:val="007017B2"/>
    <w:rsid w:val="00701E03"/>
    <w:rsid w:val="00702BC6"/>
    <w:rsid w:val="00702CAA"/>
    <w:rsid w:val="007031A8"/>
    <w:rsid w:val="007031CD"/>
    <w:rsid w:val="00705C06"/>
    <w:rsid w:val="00706320"/>
    <w:rsid w:val="007065A4"/>
    <w:rsid w:val="007070B7"/>
    <w:rsid w:val="007079C2"/>
    <w:rsid w:val="007108C5"/>
    <w:rsid w:val="00712555"/>
    <w:rsid w:val="00712822"/>
    <w:rsid w:val="00714407"/>
    <w:rsid w:val="0071664E"/>
    <w:rsid w:val="007221E2"/>
    <w:rsid w:val="00723286"/>
    <w:rsid w:val="0072339A"/>
    <w:rsid w:val="00724857"/>
    <w:rsid w:val="007278FD"/>
    <w:rsid w:val="00727A82"/>
    <w:rsid w:val="00730005"/>
    <w:rsid w:val="00730637"/>
    <w:rsid w:val="00730698"/>
    <w:rsid w:val="007314C9"/>
    <w:rsid w:val="00733D1E"/>
    <w:rsid w:val="00736CBD"/>
    <w:rsid w:val="00737692"/>
    <w:rsid w:val="0074075A"/>
    <w:rsid w:val="0074266E"/>
    <w:rsid w:val="00743195"/>
    <w:rsid w:val="0074404F"/>
    <w:rsid w:val="007445FF"/>
    <w:rsid w:val="0074460E"/>
    <w:rsid w:val="00745152"/>
    <w:rsid w:val="0074555A"/>
    <w:rsid w:val="0074585F"/>
    <w:rsid w:val="00745DE6"/>
    <w:rsid w:val="007464FB"/>
    <w:rsid w:val="00746C65"/>
    <w:rsid w:val="00746FD9"/>
    <w:rsid w:val="007473A8"/>
    <w:rsid w:val="00750359"/>
    <w:rsid w:val="00750500"/>
    <w:rsid w:val="00751BEF"/>
    <w:rsid w:val="00753247"/>
    <w:rsid w:val="0075427D"/>
    <w:rsid w:val="007542BB"/>
    <w:rsid w:val="00754985"/>
    <w:rsid w:val="0075516D"/>
    <w:rsid w:val="00755438"/>
    <w:rsid w:val="00755615"/>
    <w:rsid w:val="00755B94"/>
    <w:rsid w:val="00757973"/>
    <w:rsid w:val="00760F30"/>
    <w:rsid w:val="00761EAA"/>
    <w:rsid w:val="00762995"/>
    <w:rsid w:val="007631FD"/>
    <w:rsid w:val="00764447"/>
    <w:rsid w:val="007648A5"/>
    <w:rsid w:val="00764FD6"/>
    <w:rsid w:val="0076522C"/>
    <w:rsid w:val="007660C1"/>
    <w:rsid w:val="00766FCF"/>
    <w:rsid w:val="00767AFA"/>
    <w:rsid w:val="00767AFC"/>
    <w:rsid w:val="0077042A"/>
    <w:rsid w:val="007718FD"/>
    <w:rsid w:val="00771CC0"/>
    <w:rsid w:val="00771E8D"/>
    <w:rsid w:val="00772308"/>
    <w:rsid w:val="007732FB"/>
    <w:rsid w:val="0077410B"/>
    <w:rsid w:val="00774D8E"/>
    <w:rsid w:val="007751A1"/>
    <w:rsid w:val="007760C1"/>
    <w:rsid w:val="00776B8A"/>
    <w:rsid w:val="00777234"/>
    <w:rsid w:val="00777D17"/>
    <w:rsid w:val="00780BEF"/>
    <w:rsid w:val="00780ED8"/>
    <w:rsid w:val="00780FDA"/>
    <w:rsid w:val="007812FC"/>
    <w:rsid w:val="007812FD"/>
    <w:rsid w:val="00781417"/>
    <w:rsid w:val="0078203D"/>
    <w:rsid w:val="007824B2"/>
    <w:rsid w:val="0078253C"/>
    <w:rsid w:val="00782549"/>
    <w:rsid w:val="007831F5"/>
    <w:rsid w:val="0078372A"/>
    <w:rsid w:val="00783D78"/>
    <w:rsid w:val="007842BB"/>
    <w:rsid w:val="00784B66"/>
    <w:rsid w:val="00785217"/>
    <w:rsid w:val="0078598B"/>
    <w:rsid w:val="0079100C"/>
    <w:rsid w:val="00791908"/>
    <w:rsid w:val="00792CAF"/>
    <w:rsid w:val="00793068"/>
    <w:rsid w:val="0079331C"/>
    <w:rsid w:val="00793CD1"/>
    <w:rsid w:val="00793DEA"/>
    <w:rsid w:val="00795590"/>
    <w:rsid w:val="00795870"/>
    <w:rsid w:val="0079646C"/>
    <w:rsid w:val="00796B0D"/>
    <w:rsid w:val="007A01F6"/>
    <w:rsid w:val="007A139D"/>
    <w:rsid w:val="007A15E0"/>
    <w:rsid w:val="007A3236"/>
    <w:rsid w:val="007A3CCB"/>
    <w:rsid w:val="007A4351"/>
    <w:rsid w:val="007A449E"/>
    <w:rsid w:val="007B10D4"/>
    <w:rsid w:val="007B1BA5"/>
    <w:rsid w:val="007B2266"/>
    <w:rsid w:val="007B27AE"/>
    <w:rsid w:val="007B2B51"/>
    <w:rsid w:val="007B3046"/>
    <w:rsid w:val="007B313D"/>
    <w:rsid w:val="007B36AF"/>
    <w:rsid w:val="007B3850"/>
    <w:rsid w:val="007B3DA7"/>
    <w:rsid w:val="007B4361"/>
    <w:rsid w:val="007B7868"/>
    <w:rsid w:val="007C1286"/>
    <w:rsid w:val="007C2A0C"/>
    <w:rsid w:val="007C3D1F"/>
    <w:rsid w:val="007C4480"/>
    <w:rsid w:val="007C47CB"/>
    <w:rsid w:val="007C6FB9"/>
    <w:rsid w:val="007C7A98"/>
    <w:rsid w:val="007C7D05"/>
    <w:rsid w:val="007C7E79"/>
    <w:rsid w:val="007C7F18"/>
    <w:rsid w:val="007D040C"/>
    <w:rsid w:val="007D14F8"/>
    <w:rsid w:val="007D1CAF"/>
    <w:rsid w:val="007D1E1C"/>
    <w:rsid w:val="007D2C34"/>
    <w:rsid w:val="007D32B2"/>
    <w:rsid w:val="007D4945"/>
    <w:rsid w:val="007D5DB3"/>
    <w:rsid w:val="007D6EDC"/>
    <w:rsid w:val="007D7140"/>
    <w:rsid w:val="007D738B"/>
    <w:rsid w:val="007E015D"/>
    <w:rsid w:val="007E152B"/>
    <w:rsid w:val="007E440D"/>
    <w:rsid w:val="007E63B6"/>
    <w:rsid w:val="007E6A7A"/>
    <w:rsid w:val="007F110B"/>
    <w:rsid w:val="007F259D"/>
    <w:rsid w:val="007F32C0"/>
    <w:rsid w:val="007F3B2E"/>
    <w:rsid w:val="007F3CEE"/>
    <w:rsid w:val="007F40A0"/>
    <w:rsid w:val="007F4D76"/>
    <w:rsid w:val="007F5A0C"/>
    <w:rsid w:val="007F5A4F"/>
    <w:rsid w:val="007F61D0"/>
    <w:rsid w:val="007F678A"/>
    <w:rsid w:val="007F6CA8"/>
    <w:rsid w:val="008008F2"/>
    <w:rsid w:val="008015BD"/>
    <w:rsid w:val="0080211D"/>
    <w:rsid w:val="008021B4"/>
    <w:rsid w:val="0080252A"/>
    <w:rsid w:val="008034AA"/>
    <w:rsid w:val="00803D1A"/>
    <w:rsid w:val="008070A0"/>
    <w:rsid w:val="008070E9"/>
    <w:rsid w:val="00810A8F"/>
    <w:rsid w:val="00811223"/>
    <w:rsid w:val="008129D5"/>
    <w:rsid w:val="008146D9"/>
    <w:rsid w:val="00814E18"/>
    <w:rsid w:val="00816247"/>
    <w:rsid w:val="0081651E"/>
    <w:rsid w:val="00816D6F"/>
    <w:rsid w:val="00821AB5"/>
    <w:rsid w:val="00822356"/>
    <w:rsid w:val="00822987"/>
    <w:rsid w:val="00822FAF"/>
    <w:rsid w:val="00823415"/>
    <w:rsid w:val="00823C72"/>
    <w:rsid w:val="008247E8"/>
    <w:rsid w:val="0082531F"/>
    <w:rsid w:val="008259C5"/>
    <w:rsid w:val="00826175"/>
    <w:rsid w:val="0082656D"/>
    <w:rsid w:val="00826BEE"/>
    <w:rsid w:val="00826D60"/>
    <w:rsid w:val="00826F29"/>
    <w:rsid w:val="008271C9"/>
    <w:rsid w:val="00827258"/>
    <w:rsid w:val="008320D2"/>
    <w:rsid w:val="008327E4"/>
    <w:rsid w:val="00832A76"/>
    <w:rsid w:val="00836C5D"/>
    <w:rsid w:val="00836E19"/>
    <w:rsid w:val="008370E7"/>
    <w:rsid w:val="00837DF2"/>
    <w:rsid w:val="00840C6A"/>
    <w:rsid w:val="00843041"/>
    <w:rsid w:val="00844014"/>
    <w:rsid w:val="00844E48"/>
    <w:rsid w:val="00846014"/>
    <w:rsid w:val="00846DAB"/>
    <w:rsid w:val="00847333"/>
    <w:rsid w:val="00847B63"/>
    <w:rsid w:val="00847D6B"/>
    <w:rsid w:val="0085170F"/>
    <w:rsid w:val="008517B9"/>
    <w:rsid w:val="00851F1E"/>
    <w:rsid w:val="00851FC6"/>
    <w:rsid w:val="0085264E"/>
    <w:rsid w:val="00853476"/>
    <w:rsid w:val="0085764A"/>
    <w:rsid w:val="00857F60"/>
    <w:rsid w:val="00860F83"/>
    <w:rsid w:val="00862D7E"/>
    <w:rsid w:val="00863F4F"/>
    <w:rsid w:val="00864AFF"/>
    <w:rsid w:val="00864C42"/>
    <w:rsid w:val="008654C7"/>
    <w:rsid w:val="00866272"/>
    <w:rsid w:val="00870789"/>
    <w:rsid w:val="008714AE"/>
    <w:rsid w:val="008727D3"/>
    <w:rsid w:val="008735E5"/>
    <w:rsid w:val="008738AD"/>
    <w:rsid w:val="00873E41"/>
    <w:rsid w:val="008758FA"/>
    <w:rsid w:val="0087707F"/>
    <w:rsid w:val="00880AF4"/>
    <w:rsid w:val="00880C54"/>
    <w:rsid w:val="0088143D"/>
    <w:rsid w:val="00882D6A"/>
    <w:rsid w:val="0088380D"/>
    <w:rsid w:val="00883892"/>
    <w:rsid w:val="008867E2"/>
    <w:rsid w:val="00891787"/>
    <w:rsid w:val="00891D30"/>
    <w:rsid w:val="008940E7"/>
    <w:rsid w:val="0089655E"/>
    <w:rsid w:val="008965BE"/>
    <w:rsid w:val="00896C04"/>
    <w:rsid w:val="008A18AF"/>
    <w:rsid w:val="008A2A1B"/>
    <w:rsid w:val="008A3496"/>
    <w:rsid w:val="008A3C54"/>
    <w:rsid w:val="008A4AED"/>
    <w:rsid w:val="008A55EB"/>
    <w:rsid w:val="008B080D"/>
    <w:rsid w:val="008B096C"/>
    <w:rsid w:val="008B17FB"/>
    <w:rsid w:val="008B51E2"/>
    <w:rsid w:val="008B707B"/>
    <w:rsid w:val="008C28D7"/>
    <w:rsid w:val="008C5052"/>
    <w:rsid w:val="008C5315"/>
    <w:rsid w:val="008C7574"/>
    <w:rsid w:val="008C77A6"/>
    <w:rsid w:val="008D063E"/>
    <w:rsid w:val="008D0E1C"/>
    <w:rsid w:val="008D20DA"/>
    <w:rsid w:val="008D2630"/>
    <w:rsid w:val="008D34AE"/>
    <w:rsid w:val="008D484B"/>
    <w:rsid w:val="008D623A"/>
    <w:rsid w:val="008E098A"/>
    <w:rsid w:val="008E2DCE"/>
    <w:rsid w:val="008E3F7E"/>
    <w:rsid w:val="008E5227"/>
    <w:rsid w:val="008E6BDD"/>
    <w:rsid w:val="008F02DB"/>
    <w:rsid w:val="008F0A73"/>
    <w:rsid w:val="008F172B"/>
    <w:rsid w:val="008F35A7"/>
    <w:rsid w:val="008F4A82"/>
    <w:rsid w:val="008F563D"/>
    <w:rsid w:val="008F74B5"/>
    <w:rsid w:val="009020C7"/>
    <w:rsid w:val="0090226D"/>
    <w:rsid w:val="00902A5F"/>
    <w:rsid w:val="00903053"/>
    <w:rsid w:val="0090319E"/>
    <w:rsid w:val="00904200"/>
    <w:rsid w:val="00906087"/>
    <w:rsid w:val="00906C05"/>
    <w:rsid w:val="00910C92"/>
    <w:rsid w:val="00914045"/>
    <w:rsid w:val="009142C5"/>
    <w:rsid w:val="00915340"/>
    <w:rsid w:val="00924ECD"/>
    <w:rsid w:val="009256BC"/>
    <w:rsid w:val="00927879"/>
    <w:rsid w:val="00927FFC"/>
    <w:rsid w:val="00930AD4"/>
    <w:rsid w:val="009312F3"/>
    <w:rsid w:val="00931439"/>
    <w:rsid w:val="00932721"/>
    <w:rsid w:val="009341F4"/>
    <w:rsid w:val="00934540"/>
    <w:rsid w:val="0093456A"/>
    <w:rsid w:val="00934BE3"/>
    <w:rsid w:val="00934E1F"/>
    <w:rsid w:val="00934F78"/>
    <w:rsid w:val="009352FE"/>
    <w:rsid w:val="009361E8"/>
    <w:rsid w:val="00936682"/>
    <w:rsid w:val="00937866"/>
    <w:rsid w:val="009378CD"/>
    <w:rsid w:val="009400D1"/>
    <w:rsid w:val="009413BE"/>
    <w:rsid w:val="009423FA"/>
    <w:rsid w:val="009430D5"/>
    <w:rsid w:val="00944168"/>
    <w:rsid w:val="00944328"/>
    <w:rsid w:val="00944538"/>
    <w:rsid w:val="00944681"/>
    <w:rsid w:val="0094692F"/>
    <w:rsid w:val="00946B41"/>
    <w:rsid w:val="00951BFC"/>
    <w:rsid w:val="009532FA"/>
    <w:rsid w:val="00953EF2"/>
    <w:rsid w:val="009540F7"/>
    <w:rsid w:val="00955BC9"/>
    <w:rsid w:val="0095683B"/>
    <w:rsid w:val="00956C73"/>
    <w:rsid w:val="009616B1"/>
    <w:rsid w:val="00961E10"/>
    <w:rsid w:val="00962C4D"/>
    <w:rsid w:val="009633E1"/>
    <w:rsid w:val="00964427"/>
    <w:rsid w:val="0096444A"/>
    <w:rsid w:val="00965FD2"/>
    <w:rsid w:val="0096724F"/>
    <w:rsid w:val="009710D0"/>
    <w:rsid w:val="0097268B"/>
    <w:rsid w:val="00973503"/>
    <w:rsid w:val="009747B1"/>
    <w:rsid w:val="0097537E"/>
    <w:rsid w:val="009756EC"/>
    <w:rsid w:val="009758C8"/>
    <w:rsid w:val="0098072C"/>
    <w:rsid w:val="00981016"/>
    <w:rsid w:val="009828E7"/>
    <w:rsid w:val="00982BCC"/>
    <w:rsid w:val="009836D0"/>
    <w:rsid w:val="00984469"/>
    <w:rsid w:val="0098681D"/>
    <w:rsid w:val="00991406"/>
    <w:rsid w:val="0099184C"/>
    <w:rsid w:val="009918D6"/>
    <w:rsid w:val="00993CCC"/>
    <w:rsid w:val="00994BDB"/>
    <w:rsid w:val="00994F3E"/>
    <w:rsid w:val="00995968"/>
    <w:rsid w:val="00997538"/>
    <w:rsid w:val="009A3A2D"/>
    <w:rsid w:val="009A3BBC"/>
    <w:rsid w:val="009A5B5C"/>
    <w:rsid w:val="009A6ED8"/>
    <w:rsid w:val="009B3144"/>
    <w:rsid w:val="009B35CD"/>
    <w:rsid w:val="009B3602"/>
    <w:rsid w:val="009B3EBF"/>
    <w:rsid w:val="009B6392"/>
    <w:rsid w:val="009B640B"/>
    <w:rsid w:val="009B67F9"/>
    <w:rsid w:val="009B78FF"/>
    <w:rsid w:val="009C03B1"/>
    <w:rsid w:val="009C32D9"/>
    <w:rsid w:val="009C3E1E"/>
    <w:rsid w:val="009C4FC7"/>
    <w:rsid w:val="009C7A2A"/>
    <w:rsid w:val="009D2752"/>
    <w:rsid w:val="009D5C90"/>
    <w:rsid w:val="009D76BE"/>
    <w:rsid w:val="009E0234"/>
    <w:rsid w:val="009E11F9"/>
    <w:rsid w:val="009E121F"/>
    <w:rsid w:val="009E1A14"/>
    <w:rsid w:val="009E1F40"/>
    <w:rsid w:val="009E3043"/>
    <w:rsid w:val="009E4C50"/>
    <w:rsid w:val="009E5575"/>
    <w:rsid w:val="009E55ED"/>
    <w:rsid w:val="009E6041"/>
    <w:rsid w:val="009E6472"/>
    <w:rsid w:val="009E67F1"/>
    <w:rsid w:val="009F03B4"/>
    <w:rsid w:val="009F049A"/>
    <w:rsid w:val="009F0596"/>
    <w:rsid w:val="009F0761"/>
    <w:rsid w:val="009F084D"/>
    <w:rsid w:val="009F0A6C"/>
    <w:rsid w:val="009F0D2D"/>
    <w:rsid w:val="009F100B"/>
    <w:rsid w:val="009F1C32"/>
    <w:rsid w:val="009F1E2B"/>
    <w:rsid w:val="009F2219"/>
    <w:rsid w:val="009F2678"/>
    <w:rsid w:val="009F2BBD"/>
    <w:rsid w:val="009F37CA"/>
    <w:rsid w:val="009F416C"/>
    <w:rsid w:val="009F4BC6"/>
    <w:rsid w:val="009F4C30"/>
    <w:rsid w:val="009F521A"/>
    <w:rsid w:val="009F5ABF"/>
    <w:rsid w:val="009F6424"/>
    <w:rsid w:val="009F7046"/>
    <w:rsid w:val="009F7171"/>
    <w:rsid w:val="009F75AF"/>
    <w:rsid w:val="00A02007"/>
    <w:rsid w:val="00A02CEE"/>
    <w:rsid w:val="00A0328A"/>
    <w:rsid w:val="00A035C2"/>
    <w:rsid w:val="00A037B9"/>
    <w:rsid w:val="00A049A6"/>
    <w:rsid w:val="00A04D94"/>
    <w:rsid w:val="00A07202"/>
    <w:rsid w:val="00A10A78"/>
    <w:rsid w:val="00A10D4C"/>
    <w:rsid w:val="00A11681"/>
    <w:rsid w:val="00A12841"/>
    <w:rsid w:val="00A13A69"/>
    <w:rsid w:val="00A13E07"/>
    <w:rsid w:val="00A14004"/>
    <w:rsid w:val="00A14545"/>
    <w:rsid w:val="00A16DC0"/>
    <w:rsid w:val="00A173AA"/>
    <w:rsid w:val="00A17B09"/>
    <w:rsid w:val="00A2080E"/>
    <w:rsid w:val="00A20930"/>
    <w:rsid w:val="00A22077"/>
    <w:rsid w:val="00A22AB5"/>
    <w:rsid w:val="00A23ACA"/>
    <w:rsid w:val="00A25556"/>
    <w:rsid w:val="00A25668"/>
    <w:rsid w:val="00A26779"/>
    <w:rsid w:val="00A26901"/>
    <w:rsid w:val="00A27523"/>
    <w:rsid w:val="00A300B8"/>
    <w:rsid w:val="00A31E34"/>
    <w:rsid w:val="00A3201E"/>
    <w:rsid w:val="00A35F9D"/>
    <w:rsid w:val="00A3686E"/>
    <w:rsid w:val="00A379A0"/>
    <w:rsid w:val="00A37BFF"/>
    <w:rsid w:val="00A40540"/>
    <w:rsid w:val="00A40CC7"/>
    <w:rsid w:val="00A420F6"/>
    <w:rsid w:val="00A431EC"/>
    <w:rsid w:val="00A464C2"/>
    <w:rsid w:val="00A47E4A"/>
    <w:rsid w:val="00A504FE"/>
    <w:rsid w:val="00A50F9B"/>
    <w:rsid w:val="00A512C7"/>
    <w:rsid w:val="00A51493"/>
    <w:rsid w:val="00A517E3"/>
    <w:rsid w:val="00A51AD4"/>
    <w:rsid w:val="00A527C7"/>
    <w:rsid w:val="00A53839"/>
    <w:rsid w:val="00A53A59"/>
    <w:rsid w:val="00A569EF"/>
    <w:rsid w:val="00A5774C"/>
    <w:rsid w:val="00A60329"/>
    <w:rsid w:val="00A605F0"/>
    <w:rsid w:val="00A61BFB"/>
    <w:rsid w:val="00A622A8"/>
    <w:rsid w:val="00A632AC"/>
    <w:rsid w:val="00A63A31"/>
    <w:rsid w:val="00A650D9"/>
    <w:rsid w:val="00A6765E"/>
    <w:rsid w:val="00A67B68"/>
    <w:rsid w:val="00A72593"/>
    <w:rsid w:val="00A72F9B"/>
    <w:rsid w:val="00A74787"/>
    <w:rsid w:val="00A75467"/>
    <w:rsid w:val="00A754FD"/>
    <w:rsid w:val="00A766D9"/>
    <w:rsid w:val="00A7732C"/>
    <w:rsid w:val="00A80038"/>
    <w:rsid w:val="00A810EF"/>
    <w:rsid w:val="00A81ED5"/>
    <w:rsid w:val="00A855D2"/>
    <w:rsid w:val="00A86575"/>
    <w:rsid w:val="00A869A7"/>
    <w:rsid w:val="00A86F31"/>
    <w:rsid w:val="00A90E22"/>
    <w:rsid w:val="00A91109"/>
    <w:rsid w:val="00A93775"/>
    <w:rsid w:val="00A94783"/>
    <w:rsid w:val="00A94B99"/>
    <w:rsid w:val="00A96121"/>
    <w:rsid w:val="00A9630B"/>
    <w:rsid w:val="00A964E2"/>
    <w:rsid w:val="00A96810"/>
    <w:rsid w:val="00A9742F"/>
    <w:rsid w:val="00AA06F2"/>
    <w:rsid w:val="00AA0B4B"/>
    <w:rsid w:val="00AA20F4"/>
    <w:rsid w:val="00AA2C4F"/>
    <w:rsid w:val="00AA43C5"/>
    <w:rsid w:val="00AA5F1E"/>
    <w:rsid w:val="00AA7CAA"/>
    <w:rsid w:val="00AB0102"/>
    <w:rsid w:val="00AB050E"/>
    <w:rsid w:val="00AB076B"/>
    <w:rsid w:val="00AB0D5A"/>
    <w:rsid w:val="00AB0F55"/>
    <w:rsid w:val="00AB13B1"/>
    <w:rsid w:val="00AB218A"/>
    <w:rsid w:val="00AB2302"/>
    <w:rsid w:val="00AB32F9"/>
    <w:rsid w:val="00AB4265"/>
    <w:rsid w:val="00AB4D6D"/>
    <w:rsid w:val="00AB79F2"/>
    <w:rsid w:val="00AC0006"/>
    <w:rsid w:val="00AC27D5"/>
    <w:rsid w:val="00AC347F"/>
    <w:rsid w:val="00AC45F7"/>
    <w:rsid w:val="00AC4B41"/>
    <w:rsid w:val="00AC65C1"/>
    <w:rsid w:val="00AC6A25"/>
    <w:rsid w:val="00AC73A7"/>
    <w:rsid w:val="00AD16AC"/>
    <w:rsid w:val="00AD240D"/>
    <w:rsid w:val="00AD37A3"/>
    <w:rsid w:val="00AD3CF4"/>
    <w:rsid w:val="00AD4340"/>
    <w:rsid w:val="00AD4482"/>
    <w:rsid w:val="00AD51E9"/>
    <w:rsid w:val="00AD64EE"/>
    <w:rsid w:val="00AD66C0"/>
    <w:rsid w:val="00AD7214"/>
    <w:rsid w:val="00AD760A"/>
    <w:rsid w:val="00AE2167"/>
    <w:rsid w:val="00AE304A"/>
    <w:rsid w:val="00AE390B"/>
    <w:rsid w:val="00AE432D"/>
    <w:rsid w:val="00AE4A34"/>
    <w:rsid w:val="00AE52C5"/>
    <w:rsid w:val="00AE552A"/>
    <w:rsid w:val="00AE5E94"/>
    <w:rsid w:val="00AF08B3"/>
    <w:rsid w:val="00AF1399"/>
    <w:rsid w:val="00AF2981"/>
    <w:rsid w:val="00AF402B"/>
    <w:rsid w:val="00AF4C5B"/>
    <w:rsid w:val="00AF4E23"/>
    <w:rsid w:val="00AF6AA1"/>
    <w:rsid w:val="00B0008D"/>
    <w:rsid w:val="00B00B29"/>
    <w:rsid w:val="00B01C9E"/>
    <w:rsid w:val="00B04283"/>
    <w:rsid w:val="00B0479D"/>
    <w:rsid w:val="00B0574C"/>
    <w:rsid w:val="00B0608B"/>
    <w:rsid w:val="00B07C34"/>
    <w:rsid w:val="00B1057F"/>
    <w:rsid w:val="00B106B1"/>
    <w:rsid w:val="00B1110A"/>
    <w:rsid w:val="00B11F77"/>
    <w:rsid w:val="00B12495"/>
    <w:rsid w:val="00B1263B"/>
    <w:rsid w:val="00B1271A"/>
    <w:rsid w:val="00B127DC"/>
    <w:rsid w:val="00B13220"/>
    <w:rsid w:val="00B13715"/>
    <w:rsid w:val="00B17127"/>
    <w:rsid w:val="00B2370F"/>
    <w:rsid w:val="00B2555E"/>
    <w:rsid w:val="00B257AB"/>
    <w:rsid w:val="00B2795F"/>
    <w:rsid w:val="00B3020A"/>
    <w:rsid w:val="00B30CA1"/>
    <w:rsid w:val="00B30F79"/>
    <w:rsid w:val="00B329CE"/>
    <w:rsid w:val="00B32A4C"/>
    <w:rsid w:val="00B34086"/>
    <w:rsid w:val="00B35C9B"/>
    <w:rsid w:val="00B366DB"/>
    <w:rsid w:val="00B36FBB"/>
    <w:rsid w:val="00B406E2"/>
    <w:rsid w:val="00B40C45"/>
    <w:rsid w:val="00B43FF3"/>
    <w:rsid w:val="00B447C1"/>
    <w:rsid w:val="00B46A79"/>
    <w:rsid w:val="00B47985"/>
    <w:rsid w:val="00B47B7E"/>
    <w:rsid w:val="00B502B3"/>
    <w:rsid w:val="00B50466"/>
    <w:rsid w:val="00B51568"/>
    <w:rsid w:val="00B51BD4"/>
    <w:rsid w:val="00B5271E"/>
    <w:rsid w:val="00B52997"/>
    <w:rsid w:val="00B52C8E"/>
    <w:rsid w:val="00B52D5F"/>
    <w:rsid w:val="00B5413C"/>
    <w:rsid w:val="00B54E68"/>
    <w:rsid w:val="00B5580D"/>
    <w:rsid w:val="00B568EB"/>
    <w:rsid w:val="00B60A1A"/>
    <w:rsid w:val="00B628AB"/>
    <w:rsid w:val="00B62E9B"/>
    <w:rsid w:val="00B62EAA"/>
    <w:rsid w:val="00B635D5"/>
    <w:rsid w:val="00B64E9E"/>
    <w:rsid w:val="00B65717"/>
    <w:rsid w:val="00B67436"/>
    <w:rsid w:val="00B67873"/>
    <w:rsid w:val="00B70D1A"/>
    <w:rsid w:val="00B71DED"/>
    <w:rsid w:val="00B7319A"/>
    <w:rsid w:val="00B736F6"/>
    <w:rsid w:val="00B736FA"/>
    <w:rsid w:val="00B762A0"/>
    <w:rsid w:val="00B76694"/>
    <w:rsid w:val="00B77272"/>
    <w:rsid w:val="00B77D53"/>
    <w:rsid w:val="00B821BC"/>
    <w:rsid w:val="00B835B3"/>
    <w:rsid w:val="00B8421D"/>
    <w:rsid w:val="00B84DF4"/>
    <w:rsid w:val="00B85B0F"/>
    <w:rsid w:val="00B85EF9"/>
    <w:rsid w:val="00B866D0"/>
    <w:rsid w:val="00B86F7D"/>
    <w:rsid w:val="00B87CC0"/>
    <w:rsid w:val="00B92EB2"/>
    <w:rsid w:val="00B93CA1"/>
    <w:rsid w:val="00B9405B"/>
    <w:rsid w:val="00B95C8B"/>
    <w:rsid w:val="00B967DE"/>
    <w:rsid w:val="00B973FE"/>
    <w:rsid w:val="00BA1B01"/>
    <w:rsid w:val="00BA251D"/>
    <w:rsid w:val="00BA67BC"/>
    <w:rsid w:val="00BA7F7C"/>
    <w:rsid w:val="00BB1659"/>
    <w:rsid w:val="00BB3923"/>
    <w:rsid w:val="00BB3FA8"/>
    <w:rsid w:val="00BB4C53"/>
    <w:rsid w:val="00BB58BF"/>
    <w:rsid w:val="00BB641B"/>
    <w:rsid w:val="00BB7012"/>
    <w:rsid w:val="00BC0059"/>
    <w:rsid w:val="00BC03CA"/>
    <w:rsid w:val="00BC0C19"/>
    <w:rsid w:val="00BC377C"/>
    <w:rsid w:val="00BC4269"/>
    <w:rsid w:val="00BC5F73"/>
    <w:rsid w:val="00BC60CF"/>
    <w:rsid w:val="00BC6290"/>
    <w:rsid w:val="00BC6641"/>
    <w:rsid w:val="00BC7807"/>
    <w:rsid w:val="00BD0435"/>
    <w:rsid w:val="00BD11C5"/>
    <w:rsid w:val="00BD1952"/>
    <w:rsid w:val="00BD3E2E"/>
    <w:rsid w:val="00BD4260"/>
    <w:rsid w:val="00BD534C"/>
    <w:rsid w:val="00BD7E99"/>
    <w:rsid w:val="00BD7FE6"/>
    <w:rsid w:val="00BE132B"/>
    <w:rsid w:val="00BE1CFB"/>
    <w:rsid w:val="00BE3842"/>
    <w:rsid w:val="00BE3E81"/>
    <w:rsid w:val="00BE4A1E"/>
    <w:rsid w:val="00BE5B81"/>
    <w:rsid w:val="00BE5D27"/>
    <w:rsid w:val="00BE6B11"/>
    <w:rsid w:val="00BF1C86"/>
    <w:rsid w:val="00BF1EED"/>
    <w:rsid w:val="00BF2B77"/>
    <w:rsid w:val="00BF5B15"/>
    <w:rsid w:val="00BF5D07"/>
    <w:rsid w:val="00BF75A1"/>
    <w:rsid w:val="00C00894"/>
    <w:rsid w:val="00C01354"/>
    <w:rsid w:val="00C01C9A"/>
    <w:rsid w:val="00C02858"/>
    <w:rsid w:val="00C03D72"/>
    <w:rsid w:val="00C04814"/>
    <w:rsid w:val="00C0576E"/>
    <w:rsid w:val="00C0621F"/>
    <w:rsid w:val="00C068CC"/>
    <w:rsid w:val="00C07130"/>
    <w:rsid w:val="00C07E6E"/>
    <w:rsid w:val="00C1044D"/>
    <w:rsid w:val="00C107CC"/>
    <w:rsid w:val="00C124CA"/>
    <w:rsid w:val="00C12BFD"/>
    <w:rsid w:val="00C13D23"/>
    <w:rsid w:val="00C14783"/>
    <w:rsid w:val="00C16645"/>
    <w:rsid w:val="00C16854"/>
    <w:rsid w:val="00C20540"/>
    <w:rsid w:val="00C20C51"/>
    <w:rsid w:val="00C2275E"/>
    <w:rsid w:val="00C25B44"/>
    <w:rsid w:val="00C26E4C"/>
    <w:rsid w:val="00C27D51"/>
    <w:rsid w:val="00C34CB6"/>
    <w:rsid w:val="00C350FC"/>
    <w:rsid w:val="00C353F6"/>
    <w:rsid w:val="00C35F7B"/>
    <w:rsid w:val="00C40399"/>
    <w:rsid w:val="00C4229C"/>
    <w:rsid w:val="00C42462"/>
    <w:rsid w:val="00C45CF8"/>
    <w:rsid w:val="00C46408"/>
    <w:rsid w:val="00C46AE4"/>
    <w:rsid w:val="00C46C59"/>
    <w:rsid w:val="00C4752E"/>
    <w:rsid w:val="00C51208"/>
    <w:rsid w:val="00C5262B"/>
    <w:rsid w:val="00C526E7"/>
    <w:rsid w:val="00C535A3"/>
    <w:rsid w:val="00C53C8C"/>
    <w:rsid w:val="00C54788"/>
    <w:rsid w:val="00C54F63"/>
    <w:rsid w:val="00C559C0"/>
    <w:rsid w:val="00C55D0D"/>
    <w:rsid w:val="00C568FB"/>
    <w:rsid w:val="00C56DF2"/>
    <w:rsid w:val="00C57B63"/>
    <w:rsid w:val="00C607EA"/>
    <w:rsid w:val="00C611FB"/>
    <w:rsid w:val="00C61C0F"/>
    <w:rsid w:val="00C63363"/>
    <w:rsid w:val="00C63B15"/>
    <w:rsid w:val="00C66D7F"/>
    <w:rsid w:val="00C67686"/>
    <w:rsid w:val="00C70A9E"/>
    <w:rsid w:val="00C7158B"/>
    <w:rsid w:val="00C7233B"/>
    <w:rsid w:val="00C735D8"/>
    <w:rsid w:val="00C7540E"/>
    <w:rsid w:val="00C76FF3"/>
    <w:rsid w:val="00C80168"/>
    <w:rsid w:val="00C80D9B"/>
    <w:rsid w:val="00C81458"/>
    <w:rsid w:val="00C81586"/>
    <w:rsid w:val="00C819D8"/>
    <w:rsid w:val="00C81C75"/>
    <w:rsid w:val="00C824B9"/>
    <w:rsid w:val="00C82675"/>
    <w:rsid w:val="00C82B8B"/>
    <w:rsid w:val="00C82C8C"/>
    <w:rsid w:val="00C838B1"/>
    <w:rsid w:val="00C83D2C"/>
    <w:rsid w:val="00C844B9"/>
    <w:rsid w:val="00C86227"/>
    <w:rsid w:val="00C8675B"/>
    <w:rsid w:val="00C86E24"/>
    <w:rsid w:val="00C8723C"/>
    <w:rsid w:val="00C87637"/>
    <w:rsid w:val="00C90E18"/>
    <w:rsid w:val="00C9356C"/>
    <w:rsid w:val="00C94600"/>
    <w:rsid w:val="00C96804"/>
    <w:rsid w:val="00C96887"/>
    <w:rsid w:val="00C96B36"/>
    <w:rsid w:val="00C97024"/>
    <w:rsid w:val="00C976DF"/>
    <w:rsid w:val="00C97DE0"/>
    <w:rsid w:val="00C97ECC"/>
    <w:rsid w:val="00CA3042"/>
    <w:rsid w:val="00CA40B8"/>
    <w:rsid w:val="00CA43D3"/>
    <w:rsid w:val="00CA5644"/>
    <w:rsid w:val="00CA7101"/>
    <w:rsid w:val="00CA7821"/>
    <w:rsid w:val="00CB0E21"/>
    <w:rsid w:val="00CB172F"/>
    <w:rsid w:val="00CB37AD"/>
    <w:rsid w:val="00CB3856"/>
    <w:rsid w:val="00CB44E0"/>
    <w:rsid w:val="00CB702A"/>
    <w:rsid w:val="00CB718B"/>
    <w:rsid w:val="00CC1AF0"/>
    <w:rsid w:val="00CC1B3B"/>
    <w:rsid w:val="00CC232C"/>
    <w:rsid w:val="00CC276A"/>
    <w:rsid w:val="00CC2FFF"/>
    <w:rsid w:val="00CC3349"/>
    <w:rsid w:val="00CC41E6"/>
    <w:rsid w:val="00CC4CE6"/>
    <w:rsid w:val="00CC4DAF"/>
    <w:rsid w:val="00CC510A"/>
    <w:rsid w:val="00CC528F"/>
    <w:rsid w:val="00CC6B9F"/>
    <w:rsid w:val="00CC7B4B"/>
    <w:rsid w:val="00CD1834"/>
    <w:rsid w:val="00CD2054"/>
    <w:rsid w:val="00CD39EA"/>
    <w:rsid w:val="00CD4DBB"/>
    <w:rsid w:val="00CD5BA8"/>
    <w:rsid w:val="00CD6DB2"/>
    <w:rsid w:val="00CD7C62"/>
    <w:rsid w:val="00CE079E"/>
    <w:rsid w:val="00CE1F17"/>
    <w:rsid w:val="00CE3A46"/>
    <w:rsid w:val="00CE3DDA"/>
    <w:rsid w:val="00CE4076"/>
    <w:rsid w:val="00CE5E00"/>
    <w:rsid w:val="00CE6C86"/>
    <w:rsid w:val="00CF1C85"/>
    <w:rsid w:val="00CF48C0"/>
    <w:rsid w:val="00CF50E7"/>
    <w:rsid w:val="00CF5517"/>
    <w:rsid w:val="00CF5A2E"/>
    <w:rsid w:val="00CF7A1F"/>
    <w:rsid w:val="00D00326"/>
    <w:rsid w:val="00D00411"/>
    <w:rsid w:val="00D012B6"/>
    <w:rsid w:val="00D018D9"/>
    <w:rsid w:val="00D02B51"/>
    <w:rsid w:val="00D03494"/>
    <w:rsid w:val="00D034CC"/>
    <w:rsid w:val="00D0477A"/>
    <w:rsid w:val="00D05E24"/>
    <w:rsid w:val="00D0706E"/>
    <w:rsid w:val="00D07110"/>
    <w:rsid w:val="00D130CD"/>
    <w:rsid w:val="00D157C1"/>
    <w:rsid w:val="00D203E1"/>
    <w:rsid w:val="00D20D97"/>
    <w:rsid w:val="00D20FC4"/>
    <w:rsid w:val="00D21B51"/>
    <w:rsid w:val="00D22463"/>
    <w:rsid w:val="00D235C4"/>
    <w:rsid w:val="00D2420C"/>
    <w:rsid w:val="00D244BB"/>
    <w:rsid w:val="00D244F2"/>
    <w:rsid w:val="00D2461B"/>
    <w:rsid w:val="00D24A8D"/>
    <w:rsid w:val="00D24DDF"/>
    <w:rsid w:val="00D26A76"/>
    <w:rsid w:val="00D27DB4"/>
    <w:rsid w:val="00D305CC"/>
    <w:rsid w:val="00D30E0A"/>
    <w:rsid w:val="00D30E25"/>
    <w:rsid w:val="00D31BD8"/>
    <w:rsid w:val="00D321F9"/>
    <w:rsid w:val="00D345F1"/>
    <w:rsid w:val="00D353B4"/>
    <w:rsid w:val="00D35540"/>
    <w:rsid w:val="00D3682D"/>
    <w:rsid w:val="00D369C0"/>
    <w:rsid w:val="00D413B8"/>
    <w:rsid w:val="00D4158B"/>
    <w:rsid w:val="00D4208D"/>
    <w:rsid w:val="00D428F9"/>
    <w:rsid w:val="00D4444A"/>
    <w:rsid w:val="00D44455"/>
    <w:rsid w:val="00D44EB3"/>
    <w:rsid w:val="00D451E6"/>
    <w:rsid w:val="00D455C5"/>
    <w:rsid w:val="00D46F51"/>
    <w:rsid w:val="00D47485"/>
    <w:rsid w:val="00D517A3"/>
    <w:rsid w:val="00D522EE"/>
    <w:rsid w:val="00D525AC"/>
    <w:rsid w:val="00D52918"/>
    <w:rsid w:val="00D52FA9"/>
    <w:rsid w:val="00D537F7"/>
    <w:rsid w:val="00D54616"/>
    <w:rsid w:val="00D5494E"/>
    <w:rsid w:val="00D54B20"/>
    <w:rsid w:val="00D56530"/>
    <w:rsid w:val="00D566AE"/>
    <w:rsid w:val="00D57559"/>
    <w:rsid w:val="00D577BA"/>
    <w:rsid w:val="00D579E4"/>
    <w:rsid w:val="00D60690"/>
    <w:rsid w:val="00D60895"/>
    <w:rsid w:val="00D609D1"/>
    <w:rsid w:val="00D60C45"/>
    <w:rsid w:val="00D60E72"/>
    <w:rsid w:val="00D61654"/>
    <w:rsid w:val="00D62609"/>
    <w:rsid w:val="00D64289"/>
    <w:rsid w:val="00D64400"/>
    <w:rsid w:val="00D64441"/>
    <w:rsid w:val="00D64EE2"/>
    <w:rsid w:val="00D6500F"/>
    <w:rsid w:val="00D65E12"/>
    <w:rsid w:val="00D707D3"/>
    <w:rsid w:val="00D72B51"/>
    <w:rsid w:val="00D730F3"/>
    <w:rsid w:val="00D74D56"/>
    <w:rsid w:val="00D74F93"/>
    <w:rsid w:val="00D75A98"/>
    <w:rsid w:val="00D7613A"/>
    <w:rsid w:val="00D7737C"/>
    <w:rsid w:val="00D80F21"/>
    <w:rsid w:val="00D812F6"/>
    <w:rsid w:val="00D825AA"/>
    <w:rsid w:val="00D84FF2"/>
    <w:rsid w:val="00D85E7E"/>
    <w:rsid w:val="00D87708"/>
    <w:rsid w:val="00D8784A"/>
    <w:rsid w:val="00D87CA3"/>
    <w:rsid w:val="00D91503"/>
    <w:rsid w:val="00D93592"/>
    <w:rsid w:val="00D935AA"/>
    <w:rsid w:val="00D93C27"/>
    <w:rsid w:val="00D94378"/>
    <w:rsid w:val="00D94E29"/>
    <w:rsid w:val="00D9578B"/>
    <w:rsid w:val="00D96B7A"/>
    <w:rsid w:val="00D974A2"/>
    <w:rsid w:val="00DA1E2B"/>
    <w:rsid w:val="00DA311F"/>
    <w:rsid w:val="00DA5090"/>
    <w:rsid w:val="00DA5710"/>
    <w:rsid w:val="00DA6775"/>
    <w:rsid w:val="00DA68C0"/>
    <w:rsid w:val="00DA698B"/>
    <w:rsid w:val="00DA6D70"/>
    <w:rsid w:val="00DA762D"/>
    <w:rsid w:val="00DA77CF"/>
    <w:rsid w:val="00DA7950"/>
    <w:rsid w:val="00DB08BA"/>
    <w:rsid w:val="00DB20A7"/>
    <w:rsid w:val="00DB3EBA"/>
    <w:rsid w:val="00DB43E7"/>
    <w:rsid w:val="00DB4509"/>
    <w:rsid w:val="00DB5010"/>
    <w:rsid w:val="00DB55D0"/>
    <w:rsid w:val="00DB6764"/>
    <w:rsid w:val="00DC11EB"/>
    <w:rsid w:val="00DC171C"/>
    <w:rsid w:val="00DC1D7E"/>
    <w:rsid w:val="00DC1FF3"/>
    <w:rsid w:val="00DC32F9"/>
    <w:rsid w:val="00DC486A"/>
    <w:rsid w:val="00DC53DE"/>
    <w:rsid w:val="00DC6A66"/>
    <w:rsid w:val="00DC767C"/>
    <w:rsid w:val="00DC7F02"/>
    <w:rsid w:val="00DD0C30"/>
    <w:rsid w:val="00DD142C"/>
    <w:rsid w:val="00DD1A3C"/>
    <w:rsid w:val="00DD1A76"/>
    <w:rsid w:val="00DD23EB"/>
    <w:rsid w:val="00DD2825"/>
    <w:rsid w:val="00DD68A0"/>
    <w:rsid w:val="00DD6CF7"/>
    <w:rsid w:val="00DD775A"/>
    <w:rsid w:val="00DE0F3C"/>
    <w:rsid w:val="00DE1448"/>
    <w:rsid w:val="00DE2F91"/>
    <w:rsid w:val="00DE4925"/>
    <w:rsid w:val="00DE5A01"/>
    <w:rsid w:val="00DE7D7B"/>
    <w:rsid w:val="00DF18E8"/>
    <w:rsid w:val="00DF2B3E"/>
    <w:rsid w:val="00DF3470"/>
    <w:rsid w:val="00DF3F1B"/>
    <w:rsid w:val="00DF46B0"/>
    <w:rsid w:val="00DF5972"/>
    <w:rsid w:val="00E02411"/>
    <w:rsid w:val="00E03A5C"/>
    <w:rsid w:val="00E058F4"/>
    <w:rsid w:val="00E06192"/>
    <w:rsid w:val="00E06345"/>
    <w:rsid w:val="00E104C4"/>
    <w:rsid w:val="00E11A01"/>
    <w:rsid w:val="00E143CC"/>
    <w:rsid w:val="00E16622"/>
    <w:rsid w:val="00E202E1"/>
    <w:rsid w:val="00E209DA"/>
    <w:rsid w:val="00E20D8A"/>
    <w:rsid w:val="00E21277"/>
    <w:rsid w:val="00E23305"/>
    <w:rsid w:val="00E25673"/>
    <w:rsid w:val="00E25D5F"/>
    <w:rsid w:val="00E25D7B"/>
    <w:rsid w:val="00E27DF2"/>
    <w:rsid w:val="00E314E4"/>
    <w:rsid w:val="00E3188D"/>
    <w:rsid w:val="00E320B9"/>
    <w:rsid w:val="00E32BB6"/>
    <w:rsid w:val="00E33C6D"/>
    <w:rsid w:val="00E371A2"/>
    <w:rsid w:val="00E37609"/>
    <w:rsid w:val="00E37AF6"/>
    <w:rsid w:val="00E37D37"/>
    <w:rsid w:val="00E37DEC"/>
    <w:rsid w:val="00E40EA8"/>
    <w:rsid w:val="00E41324"/>
    <w:rsid w:val="00E416EE"/>
    <w:rsid w:val="00E4451F"/>
    <w:rsid w:val="00E445A8"/>
    <w:rsid w:val="00E44C62"/>
    <w:rsid w:val="00E45255"/>
    <w:rsid w:val="00E46134"/>
    <w:rsid w:val="00E475B8"/>
    <w:rsid w:val="00E47FF6"/>
    <w:rsid w:val="00E50A79"/>
    <w:rsid w:val="00E50B21"/>
    <w:rsid w:val="00E516AB"/>
    <w:rsid w:val="00E51B0B"/>
    <w:rsid w:val="00E51F80"/>
    <w:rsid w:val="00E52617"/>
    <w:rsid w:val="00E5446C"/>
    <w:rsid w:val="00E549AE"/>
    <w:rsid w:val="00E54C98"/>
    <w:rsid w:val="00E55194"/>
    <w:rsid w:val="00E5736B"/>
    <w:rsid w:val="00E579D1"/>
    <w:rsid w:val="00E57A2E"/>
    <w:rsid w:val="00E57CDF"/>
    <w:rsid w:val="00E6092C"/>
    <w:rsid w:val="00E6251B"/>
    <w:rsid w:val="00E627E7"/>
    <w:rsid w:val="00E63CA3"/>
    <w:rsid w:val="00E64551"/>
    <w:rsid w:val="00E653A4"/>
    <w:rsid w:val="00E65E99"/>
    <w:rsid w:val="00E66B84"/>
    <w:rsid w:val="00E67C10"/>
    <w:rsid w:val="00E7090A"/>
    <w:rsid w:val="00E70B7A"/>
    <w:rsid w:val="00E70FF6"/>
    <w:rsid w:val="00E72823"/>
    <w:rsid w:val="00E72D3C"/>
    <w:rsid w:val="00E7510A"/>
    <w:rsid w:val="00E753FD"/>
    <w:rsid w:val="00E76CD7"/>
    <w:rsid w:val="00E77159"/>
    <w:rsid w:val="00E77527"/>
    <w:rsid w:val="00E808A1"/>
    <w:rsid w:val="00E80CA6"/>
    <w:rsid w:val="00E818E6"/>
    <w:rsid w:val="00E81EAB"/>
    <w:rsid w:val="00E82932"/>
    <w:rsid w:val="00E82EFE"/>
    <w:rsid w:val="00E8358D"/>
    <w:rsid w:val="00E84774"/>
    <w:rsid w:val="00E851DF"/>
    <w:rsid w:val="00E85202"/>
    <w:rsid w:val="00E87159"/>
    <w:rsid w:val="00E87FE6"/>
    <w:rsid w:val="00E906D1"/>
    <w:rsid w:val="00E9085A"/>
    <w:rsid w:val="00E967A3"/>
    <w:rsid w:val="00E9700D"/>
    <w:rsid w:val="00E97D21"/>
    <w:rsid w:val="00EA0148"/>
    <w:rsid w:val="00EA0D12"/>
    <w:rsid w:val="00EA0D20"/>
    <w:rsid w:val="00EA1167"/>
    <w:rsid w:val="00EA2F96"/>
    <w:rsid w:val="00EA384E"/>
    <w:rsid w:val="00EA41EB"/>
    <w:rsid w:val="00EA4267"/>
    <w:rsid w:val="00EA4634"/>
    <w:rsid w:val="00EA4794"/>
    <w:rsid w:val="00EA5AB2"/>
    <w:rsid w:val="00EA6C13"/>
    <w:rsid w:val="00EA7D4D"/>
    <w:rsid w:val="00EB2708"/>
    <w:rsid w:val="00EB3794"/>
    <w:rsid w:val="00EB3A8C"/>
    <w:rsid w:val="00EB3B0D"/>
    <w:rsid w:val="00EB5C47"/>
    <w:rsid w:val="00EB6F67"/>
    <w:rsid w:val="00EC5A54"/>
    <w:rsid w:val="00EC5FC1"/>
    <w:rsid w:val="00EC63E4"/>
    <w:rsid w:val="00EC67FE"/>
    <w:rsid w:val="00EC6A52"/>
    <w:rsid w:val="00EC6E52"/>
    <w:rsid w:val="00EC7A7F"/>
    <w:rsid w:val="00ED0177"/>
    <w:rsid w:val="00ED0BA2"/>
    <w:rsid w:val="00ED0BEF"/>
    <w:rsid w:val="00ED2195"/>
    <w:rsid w:val="00ED2420"/>
    <w:rsid w:val="00ED2EC3"/>
    <w:rsid w:val="00ED3EB9"/>
    <w:rsid w:val="00ED400F"/>
    <w:rsid w:val="00ED47B3"/>
    <w:rsid w:val="00ED4D1D"/>
    <w:rsid w:val="00ED6055"/>
    <w:rsid w:val="00ED73AC"/>
    <w:rsid w:val="00ED7AEB"/>
    <w:rsid w:val="00ED7D8A"/>
    <w:rsid w:val="00EE077C"/>
    <w:rsid w:val="00EE0D4A"/>
    <w:rsid w:val="00EE2458"/>
    <w:rsid w:val="00EE24FC"/>
    <w:rsid w:val="00EE2DE4"/>
    <w:rsid w:val="00EE34BB"/>
    <w:rsid w:val="00EE4429"/>
    <w:rsid w:val="00EE510F"/>
    <w:rsid w:val="00EE6164"/>
    <w:rsid w:val="00EE623A"/>
    <w:rsid w:val="00EE684F"/>
    <w:rsid w:val="00EE6D05"/>
    <w:rsid w:val="00EE7980"/>
    <w:rsid w:val="00EF07C2"/>
    <w:rsid w:val="00EF10E6"/>
    <w:rsid w:val="00EF1EA6"/>
    <w:rsid w:val="00EF24C8"/>
    <w:rsid w:val="00EF3B33"/>
    <w:rsid w:val="00EF6B87"/>
    <w:rsid w:val="00EF7422"/>
    <w:rsid w:val="00F00AD1"/>
    <w:rsid w:val="00F00B73"/>
    <w:rsid w:val="00F00E21"/>
    <w:rsid w:val="00F00EAB"/>
    <w:rsid w:val="00F03CE2"/>
    <w:rsid w:val="00F0442D"/>
    <w:rsid w:val="00F04BF9"/>
    <w:rsid w:val="00F04D53"/>
    <w:rsid w:val="00F05243"/>
    <w:rsid w:val="00F0781F"/>
    <w:rsid w:val="00F10DB4"/>
    <w:rsid w:val="00F11B3A"/>
    <w:rsid w:val="00F11E55"/>
    <w:rsid w:val="00F122F3"/>
    <w:rsid w:val="00F14BA0"/>
    <w:rsid w:val="00F15E46"/>
    <w:rsid w:val="00F16D20"/>
    <w:rsid w:val="00F17A04"/>
    <w:rsid w:val="00F214C1"/>
    <w:rsid w:val="00F232E3"/>
    <w:rsid w:val="00F233F1"/>
    <w:rsid w:val="00F23DB4"/>
    <w:rsid w:val="00F244C4"/>
    <w:rsid w:val="00F27C0F"/>
    <w:rsid w:val="00F3058D"/>
    <w:rsid w:val="00F310C9"/>
    <w:rsid w:val="00F318AD"/>
    <w:rsid w:val="00F31A6D"/>
    <w:rsid w:val="00F31DC8"/>
    <w:rsid w:val="00F358FE"/>
    <w:rsid w:val="00F3739F"/>
    <w:rsid w:val="00F37985"/>
    <w:rsid w:val="00F41186"/>
    <w:rsid w:val="00F4286C"/>
    <w:rsid w:val="00F435ED"/>
    <w:rsid w:val="00F43911"/>
    <w:rsid w:val="00F447FA"/>
    <w:rsid w:val="00F449BD"/>
    <w:rsid w:val="00F473B0"/>
    <w:rsid w:val="00F516A0"/>
    <w:rsid w:val="00F5205F"/>
    <w:rsid w:val="00F52E54"/>
    <w:rsid w:val="00F5346E"/>
    <w:rsid w:val="00F56E1D"/>
    <w:rsid w:val="00F5773D"/>
    <w:rsid w:val="00F6202F"/>
    <w:rsid w:val="00F63FAD"/>
    <w:rsid w:val="00F63FE2"/>
    <w:rsid w:val="00F660CF"/>
    <w:rsid w:val="00F705EE"/>
    <w:rsid w:val="00F70B03"/>
    <w:rsid w:val="00F72402"/>
    <w:rsid w:val="00F7358D"/>
    <w:rsid w:val="00F74D1D"/>
    <w:rsid w:val="00F75ABD"/>
    <w:rsid w:val="00F7667B"/>
    <w:rsid w:val="00F76927"/>
    <w:rsid w:val="00F76969"/>
    <w:rsid w:val="00F815E2"/>
    <w:rsid w:val="00F815FD"/>
    <w:rsid w:val="00F8207C"/>
    <w:rsid w:val="00F8400A"/>
    <w:rsid w:val="00F84E8A"/>
    <w:rsid w:val="00F84E8B"/>
    <w:rsid w:val="00F9096E"/>
    <w:rsid w:val="00F911B0"/>
    <w:rsid w:val="00F9168C"/>
    <w:rsid w:val="00F93F23"/>
    <w:rsid w:val="00F960EB"/>
    <w:rsid w:val="00F975E4"/>
    <w:rsid w:val="00F97728"/>
    <w:rsid w:val="00F97C89"/>
    <w:rsid w:val="00FA0670"/>
    <w:rsid w:val="00FA0C3C"/>
    <w:rsid w:val="00FA23FC"/>
    <w:rsid w:val="00FA2F67"/>
    <w:rsid w:val="00FA3B75"/>
    <w:rsid w:val="00FA4A68"/>
    <w:rsid w:val="00FA5963"/>
    <w:rsid w:val="00FA67EE"/>
    <w:rsid w:val="00FA6A70"/>
    <w:rsid w:val="00FB03D4"/>
    <w:rsid w:val="00FB0470"/>
    <w:rsid w:val="00FB0D34"/>
    <w:rsid w:val="00FB1151"/>
    <w:rsid w:val="00FB13A6"/>
    <w:rsid w:val="00FB35D2"/>
    <w:rsid w:val="00FB47CB"/>
    <w:rsid w:val="00FB4F8F"/>
    <w:rsid w:val="00FB77FB"/>
    <w:rsid w:val="00FC0D88"/>
    <w:rsid w:val="00FC1350"/>
    <w:rsid w:val="00FC1F12"/>
    <w:rsid w:val="00FC22C5"/>
    <w:rsid w:val="00FC3694"/>
    <w:rsid w:val="00FC37E0"/>
    <w:rsid w:val="00FC3C2C"/>
    <w:rsid w:val="00FC43B8"/>
    <w:rsid w:val="00FC5EAA"/>
    <w:rsid w:val="00FC722A"/>
    <w:rsid w:val="00FD0C51"/>
    <w:rsid w:val="00FD0FBE"/>
    <w:rsid w:val="00FD47EF"/>
    <w:rsid w:val="00FD4BF7"/>
    <w:rsid w:val="00FD5180"/>
    <w:rsid w:val="00FD64A8"/>
    <w:rsid w:val="00FD6A72"/>
    <w:rsid w:val="00FD6F82"/>
    <w:rsid w:val="00FE148F"/>
    <w:rsid w:val="00FE1B28"/>
    <w:rsid w:val="00FE2B42"/>
    <w:rsid w:val="00FE39F3"/>
    <w:rsid w:val="00FE3B64"/>
    <w:rsid w:val="00FE44F3"/>
    <w:rsid w:val="00FE659B"/>
    <w:rsid w:val="00FE65C5"/>
    <w:rsid w:val="00FF1379"/>
    <w:rsid w:val="00FF14AF"/>
    <w:rsid w:val="00FF27E9"/>
    <w:rsid w:val="00FF3C47"/>
    <w:rsid w:val="00FF3DDD"/>
    <w:rsid w:val="00FF3F9F"/>
    <w:rsid w:val="00FF5468"/>
    <w:rsid w:val="00FF572E"/>
    <w:rsid w:val="00FF63E3"/>
    <w:rsid w:val="00FF69FB"/>
    <w:rsid w:val="010B02E2"/>
    <w:rsid w:val="01167705"/>
    <w:rsid w:val="012718BE"/>
    <w:rsid w:val="015A369F"/>
    <w:rsid w:val="016C759B"/>
    <w:rsid w:val="016D02ED"/>
    <w:rsid w:val="0198131D"/>
    <w:rsid w:val="01F0064F"/>
    <w:rsid w:val="02036D9B"/>
    <w:rsid w:val="02247E1C"/>
    <w:rsid w:val="02EA36C4"/>
    <w:rsid w:val="03247FEF"/>
    <w:rsid w:val="03252AB3"/>
    <w:rsid w:val="03792467"/>
    <w:rsid w:val="03E95B6C"/>
    <w:rsid w:val="04033B19"/>
    <w:rsid w:val="0423323B"/>
    <w:rsid w:val="044F7601"/>
    <w:rsid w:val="04796F2F"/>
    <w:rsid w:val="04800267"/>
    <w:rsid w:val="04A469F8"/>
    <w:rsid w:val="04E4260B"/>
    <w:rsid w:val="053F690A"/>
    <w:rsid w:val="055074F8"/>
    <w:rsid w:val="05667FA5"/>
    <w:rsid w:val="057F2D1F"/>
    <w:rsid w:val="05900BF0"/>
    <w:rsid w:val="05A0213D"/>
    <w:rsid w:val="065B0423"/>
    <w:rsid w:val="06795B34"/>
    <w:rsid w:val="068B39CB"/>
    <w:rsid w:val="06A76A6F"/>
    <w:rsid w:val="06AA58FB"/>
    <w:rsid w:val="06E07AF0"/>
    <w:rsid w:val="06F77CF0"/>
    <w:rsid w:val="071A2535"/>
    <w:rsid w:val="074F24C9"/>
    <w:rsid w:val="075C31A2"/>
    <w:rsid w:val="0784048C"/>
    <w:rsid w:val="07A42B2B"/>
    <w:rsid w:val="0897167C"/>
    <w:rsid w:val="08E21EF1"/>
    <w:rsid w:val="08E22BD1"/>
    <w:rsid w:val="091050DF"/>
    <w:rsid w:val="09802637"/>
    <w:rsid w:val="098A179F"/>
    <w:rsid w:val="09A32F6A"/>
    <w:rsid w:val="09A61D80"/>
    <w:rsid w:val="0AE729A8"/>
    <w:rsid w:val="0B323298"/>
    <w:rsid w:val="0B557813"/>
    <w:rsid w:val="0B776017"/>
    <w:rsid w:val="0C3F5F0B"/>
    <w:rsid w:val="0C4B6D1D"/>
    <w:rsid w:val="0C5740F6"/>
    <w:rsid w:val="0C7D16B5"/>
    <w:rsid w:val="0C933BE3"/>
    <w:rsid w:val="0C940E42"/>
    <w:rsid w:val="0CBA3508"/>
    <w:rsid w:val="0D224637"/>
    <w:rsid w:val="0D3E57E4"/>
    <w:rsid w:val="0D7753A8"/>
    <w:rsid w:val="0D8C3F14"/>
    <w:rsid w:val="0DBC0904"/>
    <w:rsid w:val="0E011D02"/>
    <w:rsid w:val="0E333F20"/>
    <w:rsid w:val="0E404788"/>
    <w:rsid w:val="0E69107C"/>
    <w:rsid w:val="0EAD7476"/>
    <w:rsid w:val="0EB96F10"/>
    <w:rsid w:val="0EC526BF"/>
    <w:rsid w:val="0ED307BD"/>
    <w:rsid w:val="0EEF0568"/>
    <w:rsid w:val="0F1773F6"/>
    <w:rsid w:val="0F5160D7"/>
    <w:rsid w:val="0FDB6963"/>
    <w:rsid w:val="10324289"/>
    <w:rsid w:val="103D7472"/>
    <w:rsid w:val="104938DB"/>
    <w:rsid w:val="108D33BB"/>
    <w:rsid w:val="10BA1462"/>
    <w:rsid w:val="10BC18F2"/>
    <w:rsid w:val="110E002F"/>
    <w:rsid w:val="113D6FB9"/>
    <w:rsid w:val="115367B0"/>
    <w:rsid w:val="115F3B10"/>
    <w:rsid w:val="116B4409"/>
    <w:rsid w:val="119B2B17"/>
    <w:rsid w:val="11AD395E"/>
    <w:rsid w:val="11C45D02"/>
    <w:rsid w:val="11EB03A4"/>
    <w:rsid w:val="12347707"/>
    <w:rsid w:val="124A1EF2"/>
    <w:rsid w:val="1266723F"/>
    <w:rsid w:val="12B75C36"/>
    <w:rsid w:val="12C93986"/>
    <w:rsid w:val="12D24D6E"/>
    <w:rsid w:val="1309124A"/>
    <w:rsid w:val="1313480D"/>
    <w:rsid w:val="132F4D71"/>
    <w:rsid w:val="137D08D9"/>
    <w:rsid w:val="13DD0A1D"/>
    <w:rsid w:val="13E15DFF"/>
    <w:rsid w:val="1415143C"/>
    <w:rsid w:val="14671836"/>
    <w:rsid w:val="14786DD7"/>
    <w:rsid w:val="148C05A9"/>
    <w:rsid w:val="14B36DE5"/>
    <w:rsid w:val="14C35EDF"/>
    <w:rsid w:val="14C75F6D"/>
    <w:rsid w:val="14CD0A9F"/>
    <w:rsid w:val="14DD75F9"/>
    <w:rsid w:val="15096428"/>
    <w:rsid w:val="151C0D19"/>
    <w:rsid w:val="15492155"/>
    <w:rsid w:val="155116C9"/>
    <w:rsid w:val="15803ACB"/>
    <w:rsid w:val="15B026DA"/>
    <w:rsid w:val="15E92769"/>
    <w:rsid w:val="16345455"/>
    <w:rsid w:val="163F6238"/>
    <w:rsid w:val="16667431"/>
    <w:rsid w:val="1678488E"/>
    <w:rsid w:val="16842ACA"/>
    <w:rsid w:val="16D35A19"/>
    <w:rsid w:val="17392FC2"/>
    <w:rsid w:val="17411B58"/>
    <w:rsid w:val="177837BD"/>
    <w:rsid w:val="178A0488"/>
    <w:rsid w:val="17BF201E"/>
    <w:rsid w:val="181F2365"/>
    <w:rsid w:val="185D5436"/>
    <w:rsid w:val="18B05F83"/>
    <w:rsid w:val="19107660"/>
    <w:rsid w:val="19265003"/>
    <w:rsid w:val="19320563"/>
    <w:rsid w:val="194673B2"/>
    <w:rsid w:val="194A5B00"/>
    <w:rsid w:val="19514E10"/>
    <w:rsid w:val="19811FE4"/>
    <w:rsid w:val="19AF7510"/>
    <w:rsid w:val="19FB1784"/>
    <w:rsid w:val="1A2F242E"/>
    <w:rsid w:val="1A513523"/>
    <w:rsid w:val="1A69282A"/>
    <w:rsid w:val="1A737C2F"/>
    <w:rsid w:val="1A7446F2"/>
    <w:rsid w:val="1A8E7064"/>
    <w:rsid w:val="1AA97E02"/>
    <w:rsid w:val="1AC54386"/>
    <w:rsid w:val="1B0A3EA7"/>
    <w:rsid w:val="1B0C498B"/>
    <w:rsid w:val="1B2300E1"/>
    <w:rsid w:val="1B3A1B0D"/>
    <w:rsid w:val="1B4E222C"/>
    <w:rsid w:val="1BA97DF4"/>
    <w:rsid w:val="1BF973FE"/>
    <w:rsid w:val="1BFC19AA"/>
    <w:rsid w:val="1C1A13B7"/>
    <w:rsid w:val="1C1C4F1A"/>
    <w:rsid w:val="1CB66587"/>
    <w:rsid w:val="1CB72A13"/>
    <w:rsid w:val="1CD00E27"/>
    <w:rsid w:val="1D751AC1"/>
    <w:rsid w:val="1D8010C0"/>
    <w:rsid w:val="1DBB632F"/>
    <w:rsid w:val="1DDB508D"/>
    <w:rsid w:val="1DF814F7"/>
    <w:rsid w:val="1E07043D"/>
    <w:rsid w:val="1E12317C"/>
    <w:rsid w:val="1E470974"/>
    <w:rsid w:val="1E485996"/>
    <w:rsid w:val="1E847D82"/>
    <w:rsid w:val="1E9C5249"/>
    <w:rsid w:val="1EB85A4D"/>
    <w:rsid w:val="1F5ED1E5"/>
    <w:rsid w:val="1F7535A7"/>
    <w:rsid w:val="1F9A3B11"/>
    <w:rsid w:val="1FBAE961"/>
    <w:rsid w:val="1FC65652"/>
    <w:rsid w:val="1FDE14E0"/>
    <w:rsid w:val="1FE36477"/>
    <w:rsid w:val="1FE65197"/>
    <w:rsid w:val="1FE66CD2"/>
    <w:rsid w:val="1FF60900"/>
    <w:rsid w:val="1FFB2C33"/>
    <w:rsid w:val="20557F95"/>
    <w:rsid w:val="20731874"/>
    <w:rsid w:val="20872656"/>
    <w:rsid w:val="208E1908"/>
    <w:rsid w:val="20975E5C"/>
    <w:rsid w:val="20B22667"/>
    <w:rsid w:val="20D77F9A"/>
    <w:rsid w:val="20E00D9A"/>
    <w:rsid w:val="213733C1"/>
    <w:rsid w:val="21490947"/>
    <w:rsid w:val="21695254"/>
    <w:rsid w:val="216E5506"/>
    <w:rsid w:val="218060EE"/>
    <w:rsid w:val="218C79A1"/>
    <w:rsid w:val="218E7961"/>
    <w:rsid w:val="219408DD"/>
    <w:rsid w:val="21A81556"/>
    <w:rsid w:val="21F714A6"/>
    <w:rsid w:val="220E12AC"/>
    <w:rsid w:val="22387FD1"/>
    <w:rsid w:val="2252165E"/>
    <w:rsid w:val="22B574EC"/>
    <w:rsid w:val="22E74DE8"/>
    <w:rsid w:val="234437CE"/>
    <w:rsid w:val="23516A87"/>
    <w:rsid w:val="23660535"/>
    <w:rsid w:val="23CE1E81"/>
    <w:rsid w:val="24112A5D"/>
    <w:rsid w:val="2438468A"/>
    <w:rsid w:val="24642D60"/>
    <w:rsid w:val="247B1CC0"/>
    <w:rsid w:val="24BB5664"/>
    <w:rsid w:val="24F66750"/>
    <w:rsid w:val="250819C8"/>
    <w:rsid w:val="254224E2"/>
    <w:rsid w:val="25CE7136"/>
    <w:rsid w:val="262C0A97"/>
    <w:rsid w:val="26836EB0"/>
    <w:rsid w:val="271D07CB"/>
    <w:rsid w:val="27561D1C"/>
    <w:rsid w:val="276956A2"/>
    <w:rsid w:val="27EA7E3B"/>
    <w:rsid w:val="28115DB2"/>
    <w:rsid w:val="282A3D49"/>
    <w:rsid w:val="285860F1"/>
    <w:rsid w:val="28AF1470"/>
    <w:rsid w:val="28CF35C9"/>
    <w:rsid w:val="28E71EA4"/>
    <w:rsid w:val="291D7E85"/>
    <w:rsid w:val="2928148F"/>
    <w:rsid w:val="295F2C20"/>
    <w:rsid w:val="297E0A67"/>
    <w:rsid w:val="2997668F"/>
    <w:rsid w:val="29B79084"/>
    <w:rsid w:val="29F60B61"/>
    <w:rsid w:val="2A2D0AA5"/>
    <w:rsid w:val="2A5832BE"/>
    <w:rsid w:val="2A936AA7"/>
    <w:rsid w:val="2A9D48F3"/>
    <w:rsid w:val="2AB86136"/>
    <w:rsid w:val="2AD13E5D"/>
    <w:rsid w:val="2B0362CD"/>
    <w:rsid w:val="2B0455D4"/>
    <w:rsid w:val="2B204F2C"/>
    <w:rsid w:val="2B255771"/>
    <w:rsid w:val="2B577DCE"/>
    <w:rsid w:val="2B7FD5D8"/>
    <w:rsid w:val="2B832B57"/>
    <w:rsid w:val="2BD471EF"/>
    <w:rsid w:val="2BD90285"/>
    <w:rsid w:val="2BE581F7"/>
    <w:rsid w:val="2BFFBE25"/>
    <w:rsid w:val="2C1A1504"/>
    <w:rsid w:val="2C385A43"/>
    <w:rsid w:val="2C3C182B"/>
    <w:rsid w:val="2C5127D6"/>
    <w:rsid w:val="2C5AE8EA"/>
    <w:rsid w:val="2CBE2135"/>
    <w:rsid w:val="2CC00370"/>
    <w:rsid w:val="2CEF7D48"/>
    <w:rsid w:val="2D1263DB"/>
    <w:rsid w:val="2D4B1078"/>
    <w:rsid w:val="2D4E155C"/>
    <w:rsid w:val="2D736EEB"/>
    <w:rsid w:val="2D882B35"/>
    <w:rsid w:val="2D8E608B"/>
    <w:rsid w:val="2E6E6BF8"/>
    <w:rsid w:val="2E82440B"/>
    <w:rsid w:val="2E9F3E78"/>
    <w:rsid w:val="2EC019DF"/>
    <w:rsid w:val="2EC543F9"/>
    <w:rsid w:val="2EE307AB"/>
    <w:rsid w:val="2EFB8B7F"/>
    <w:rsid w:val="2F1F0BE6"/>
    <w:rsid w:val="2F2C27EB"/>
    <w:rsid w:val="2F3C5967"/>
    <w:rsid w:val="2FAD706A"/>
    <w:rsid w:val="2FDD2874"/>
    <w:rsid w:val="2FDE1ABF"/>
    <w:rsid w:val="2FFB2951"/>
    <w:rsid w:val="301626C3"/>
    <w:rsid w:val="301837C7"/>
    <w:rsid w:val="304F545F"/>
    <w:rsid w:val="30994711"/>
    <w:rsid w:val="31081104"/>
    <w:rsid w:val="310A2440"/>
    <w:rsid w:val="310E10A9"/>
    <w:rsid w:val="313325AB"/>
    <w:rsid w:val="316F7E6A"/>
    <w:rsid w:val="31DA6A47"/>
    <w:rsid w:val="31E830CF"/>
    <w:rsid w:val="31F1212F"/>
    <w:rsid w:val="31F65E0A"/>
    <w:rsid w:val="32551C64"/>
    <w:rsid w:val="32652315"/>
    <w:rsid w:val="32A40DEC"/>
    <w:rsid w:val="32EC7A24"/>
    <w:rsid w:val="330C6BBF"/>
    <w:rsid w:val="33147C5D"/>
    <w:rsid w:val="33165329"/>
    <w:rsid w:val="336F1744"/>
    <w:rsid w:val="339473BE"/>
    <w:rsid w:val="3395214A"/>
    <w:rsid w:val="33DF123B"/>
    <w:rsid w:val="33EA41C9"/>
    <w:rsid w:val="33F07BAF"/>
    <w:rsid w:val="340A7BF2"/>
    <w:rsid w:val="34203F41"/>
    <w:rsid w:val="345118CE"/>
    <w:rsid w:val="3451531F"/>
    <w:rsid w:val="34D04D83"/>
    <w:rsid w:val="35123C1E"/>
    <w:rsid w:val="351C7AE9"/>
    <w:rsid w:val="35362BF4"/>
    <w:rsid w:val="35941742"/>
    <w:rsid w:val="35A947D5"/>
    <w:rsid w:val="35B26FCE"/>
    <w:rsid w:val="35B35466"/>
    <w:rsid w:val="35DA6575"/>
    <w:rsid w:val="35EF5D8A"/>
    <w:rsid w:val="3639532C"/>
    <w:rsid w:val="367D2D2D"/>
    <w:rsid w:val="36A87C63"/>
    <w:rsid w:val="36AB098B"/>
    <w:rsid w:val="36CC41F8"/>
    <w:rsid w:val="36E06897"/>
    <w:rsid w:val="36E26745"/>
    <w:rsid w:val="36FE755E"/>
    <w:rsid w:val="373F96A7"/>
    <w:rsid w:val="37530EF5"/>
    <w:rsid w:val="375A4FA4"/>
    <w:rsid w:val="378A71E7"/>
    <w:rsid w:val="37AF5FE7"/>
    <w:rsid w:val="37B7359A"/>
    <w:rsid w:val="37CBD081"/>
    <w:rsid w:val="37F76885"/>
    <w:rsid w:val="37FCD938"/>
    <w:rsid w:val="37FF906B"/>
    <w:rsid w:val="380E5B41"/>
    <w:rsid w:val="380F575A"/>
    <w:rsid w:val="38134D87"/>
    <w:rsid w:val="3888768E"/>
    <w:rsid w:val="38E27794"/>
    <w:rsid w:val="38F17BDB"/>
    <w:rsid w:val="38F74498"/>
    <w:rsid w:val="3924397D"/>
    <w:rsid w:val="395B350B"/>
    <w:rsid w:val="39692839"/>
    <w:rsid w:val="398674DA"/>
    <w:rsid w:val="399856D9"/>
    <w:rsid w:val="39AE13FA"/>
    <w:rsid w:val="39C208B3"/>
    <w:rsid w:val="39DF2816"/>
    <w:rsid w:val="3A130410"/>
    <w:rsid w:val="3A1A1BAE"/>
    <w:rsid w:val="3A1E2878"/>
    <w:rsid w:val="3A255955"/>
    <w:rsid w:val="3A3074DC"/>
    <w:rsid w:val="3A5E26BB"/>
    <w:rsid w:val="3A6B08C1"/>
    <w:rsid w:val="3AC81D02"/>
    <w:rsid w:val="3ACF2FC3"/>
    <w:rsid w:val="3AD41F50"/>
    <w:rsid w:val="3AEC75A7"/>
    <w:rsid w:val="3B207919"/>
    <w:rsid w:val="3B68000D"/>
    <w:rsid w:val="3B6F3295"/>
    <w:rsid w:val="3B8E3B9D"/>
    <w:rsid w:val="3BC322EB"/>
    <w:rsid w:val="3BC56214"/>
    <w:rsid w:val="3BCB7F41"/>
    <w:rsid w:val="3BD3DF58"/>
    <w:rsid w:val="3BD9A4BA"/>
    <w:rsid w:val="3C1426FB"/>
    <w:rsid w:val="3C505F4D"/>
    <w:rsid w:val="3C5B532C"/>
    <w:rsid w:val="3C84136C"/>
    <w:rsid w:val="3D136199"/>
    <w:rsid w:val="3D2FEF1D"/>
    <w:rsid w:val="3D5C3C4A"/>
    <w:rsid w:val="3D6178E3"/>
    <w:rsid w:val="3D813178"/>
    <w:rsid w:val="3D8F44A3"/>
    <w:rsid w:val="3D9B0249"/>
    <w:rsid w:val="3DA57230"/>
    <w:rsid w:val="3DB51D1C"/>
    <w:rsid w:val="3DC55A08"/>
    <w:rsid w:val="3DCC3964"/>
    <w:rsid w:val="3DCD78A3"/>
    <w:rsid w:val="3DEEE591"/>
    <w:rsid w:val="3DF20B5C"/>
    <w:rsid w:val="3E00369B"/>
    <w:rsid w:val="3E055C19"/>
    <w:rsid w:val="3E167309"/>
    <w:rsid w:val="3E3FAD48"/>
    <w:rsid w:val="3E9C0ECC"/>
    <w:rsid w:val="3EAC6DD8"/>
    <w:rsid w:val="3EBB2966"/>
    <w:rsid w:val="3EBF3F0F"/>
    <w:rsid w:val="3ECB82E2"/>
    <w:rsid w:val="3ED63AD5"/>
    <w:rsid w:val="3EEB1A5E"/>
    <w:rsid w:val="3EF70610"/>
    <w:rsid w:val="3EFBAEDD"/>
    <w:rsid w:val="3F1C1FE6"/>
    <w:rsid w:val="3F31583F"/>
    <w:rsid w:val="3F3741EE"/>
    <w:rsid w:val="3F794C3F"/>
    <w:rsid w:val="3F7E9E88"/>
    <w:rsid w:val="3F801C4C"/>
    <w:rsid w:val="3F953D8D"/>
    <w:rsid w:val="3FAF4A0E"/>
    <w:rsid w:val="3FC1E588"/>
    <w:rsid w:val="3FD52D2A"/>
    <w:rsid w:val="3FD72BBB"/>
    <w:rsid w:val="3FFF0A79"/>
    <w:rsid w:val="3FFF8A90"/>
    <w:rsid w:val="40075C6C"/>
    <w:rsid w:val="400E645F"/>
    <w:rsid w:val="40202CA4"/>
    <w:rsid w:val="402A0367"/>
    <w:rsid w:val="40540114"/>
    <w:rsid w:val="40F67686"/>
    <w:rsid w:val="40FB3D83"/>
    <w:rsid w:val="410C50D9"/>
    <w:rsid w:val="410F25F3"/>
    <w:rsid w:val="41175CA7"/>
    <w:rsid w:val="41485281"/>
    <w:rsid w:val="41AD5662"/>
    <w:rsid w:val="41BF4B0C"/>
    <w:rsid w:val="41F23840"/>
    <w:rsid w:val="423C2CA5"/>
    <w:rsid w:val="428A1E5C"/>
    <w:rsid w:val="42A96E3A"/>
    <w:rsid w:val="42E712C6"/>
    <w:rsid w:val="42F47ED2"/>
    <w:rsid w:val="42FE07A0"/>
    <w:rsid w:val="434B5642"/>
    <w:rsid w:val="4373322F"/>
    <w:rsid w:val="4376451B"/>
    <w:rsid w:val="438F7264"/>
    <w:rsid w:val="43D06158"/>
    <w:rsid w:val="43FC7AE3"/>
    <w:rsid w:val="440509F9"/>
    <w:rsid w:val="44143135"/>
    <w:rsid w:val="4416698B"/>
    <w:rsid w:val="4428712E"/>
    <w:rsid w:val="44600B0D"/>
    <w:rsid w:val="44815F8D"/>
    <w:rsid w:val="44C837FD"/>
    <w:rsid w:val="452E0301"/>
    <w:rsid w:val="45521583"/>
    <w:rsid w:val="45585DF7"/>
    <w:rsid w:val="4581114F"/>
    <w:rsid w:val="45A635DD"/>
    <w:rsid w:val="45AF7063"/>
    <w:rsid w:val="45CE695F"/>
    <w:rsid w:val="45ECDBD8"/>
    <w:rsid w:val="4655407D"/>
    <w:rsid w:val="465B24E7"/>
    <w:rsid w:val="467E3F16"/>
    <w:rsid w:val="468D1008"/>
    <w:rsid w:val="46B87A1E"/>
    <w:rsid w:val="46DF4913"/>
    <w:rsid w:val="46F62361"/>
    <w:rsid w:val="46FF142A"/>
    <w:rsid w:val="47416F77"/>
    <w:rsid w:val="47875CBF"/>
    <w:rsid w:val="47A37A88"/>
    <w:rsid w:val="47B1784C"/>
    <w:rsid w:val="47D541C0"/>
    <w:rsid w:val="47DD022E"/>
    <w:rsid w:val="47F54A43"/>
    <w:rsid w:val="484A0222"/>
    <w:rsid w:val="486836AB"/>
    <w:rsid w:val="4884050E"/>
    <w:rsid w:val="489C6AC7"/>
    <w:rsid w:val="489F586C"/>
    <w:rsid w:val="48C66478"/>
    <w:rsid w:val="48D5726B"/>
    <w:rsid w:val="49124DB9"/>
    <w:rsid w:val="494645F8"/>
    <w:rsid w:val="49861CB0"/>
    <w:rsid w:val="49F7C719"/>
    <w:rsid w:val="4A5A103B"/>
    <w:rsid w:val="4A85709C"/>
    <w:rsid w:val="4ACD7775"/>
    <w:rsid w:val="4AD52589"/>
    <w:rsid w:val="4AEE061E"/>
    <w:rsid w:val="4AF43C84"/>
    <w:rsid w:val="4B3C3DED"/>
    <w:rsid w:val="4B4F0492"/>
    <w:rsid w:val="4B7E1021"/>
    <w:rsid w:val="4B8F35EE"/>
    <w:rsid w:val="4B9C09DF"/>
    <w:rsid w:val="4BBF2848"/>
    <w:rsid w:val="4BCB1CF3"/>
    <w:rsid w:val="4BE72966"/>
    <w:rsid w:val="4C090C0A"/>
    <w:rsid w:val="4C2F697C"/>
    <w:rsid w:val="4C603BEB"/>
    <w:rsid w:val="4C9D620C"/>
    <w:rsid w:val="4C9E00FC"/>
    <w:rsid w:val="4CB942F7"/>
    <w:rsid w:val="4CC57B62"/>
    <w:rsid w:val="4D395F5B"/>
    <w:rsid w:val="4D6B5657"/>
    <w:rsid w:val="4D7A1C7A"/>
    <w:rsid w:val="4DD25809"/>
    <w:rsid w:val="4DF7A280"/>
    <w:rsid w:val="4E035EB8"/>
    <w:rsid w:val="4E23009C"/>
    <w:rsid w:val="4E481A1B"/>
    <w:rsid w:val="4E871D99"/>
    <w:rsid w:val="4EAF1554"/>
    <w:rsid w:val="4EF219BE"/>
    <w:rsid w:val="4EF93524"/>
    <w:rsid w:val="4F092535"/>
    <w:rsid w:val="4F1E28D6"/>
    <w:rsid w:val="4F233AEE"/>
    <w:rsid w:val="4F3A73DB"/>
    <w:rsid w:val="4F5C2B3C"/>
    <w:rsid w:val="4F67EFB8"/>
    <w:rsid w:val="4F955589"/>
    <w:rsid w:val="4F9D64ED"/>
    <w:rsid w:val="4F9F774C"/>
    <w:rsid w:val="4FA433F8"/>
    <w:rsid w:val="4FAE1C23"/>
    <w:rsid w:val="4FBC39EF"/>
    <w:rsid w:val="4FEB73BB"/>
    <w:rsid w:val="50170FDC"/>
    <w:rsid w:val="50375856"/>
    <w:rsid w:val="50411FC4"/>
    <w:rsid w:val="5079472A"/>
    <w:rsid w:val="50A4631D"/>
    <w:rsid w:val="50ED7BFF"/>
    <w:rsid w:val="51241BBB"/>
    <w:rsid w:val="51284A9F"/>
    <w:rsid w:val="51563CA0"/>
    <w:rsid w:val="5160068F"/>
    <w:rsid w:val="517F1D0D"/>
    <w:rsid w:val="51C6405A"/>
    <w:rsid w:val="51ED6C87"/>
    <w:rsid w:val="520D0A7A"/>
    <w:rsid w:val="521D45C8"/>
    <w:rsid w:val="5260446B"/>
    <w:rsid w:val="527A1ECD"/>
    <w:rsid w:val="52826AB0"/>
    <w:rsid w:val="52AF6C6E"/>
    <w:rsid w:val="52D93655"/>
    <w:rsid w:val="53486D25"/>
    <w:rsid w:val="535B728C"/>
    <w:rsid w:val="53AF2484"/>
    <w:rsid w:val="53BE2F2E"/>
    <w:rsid w:val="53CDF79C"/>
    <w:rsid w:val="53E76DA1"/>
    <w:rsid w:val="53EA5191"/>
    <w:rsid w:val="5425311E"/>
    <w:rsid w:val="549B4447"/>
    <w:rsid w:val="54F34D1D"/>
    <w:rsid w:val="54F50E2B"/>
    <w:rsid w:val="550C6F36"/>
    <w:rsid w:val="554C0043"/>
    <w:rsid w:val="556B3ED1"/>
    <w:rsid w:val="55983BE7"/>
    <w:rsid w:val="55BC071E"/>
    <w:rsid w:val="561D2117"/>
    <w:rsid w:val="562A57A7"/>
    <w:rsid w:val="563B56CA"/>
    <w:rsid w:val="56536B90"/>
    <w:rsid w:val="567316F3"/>
    <w:rsid w:val="56D50CE3"/>
    <w:rsid w:val="56E026BA"/>
    <w:rsid w:val="56E1587B"/>
    <w:rsid w:val="57352946"/>
    <w:rsid w:val="57405EE8"/>
    <w:rsid w:val="57770C9F"/>
    <w:rsid w:val="57847BB0"/>
    <w:rsid w:val="578621F2"/>
    <w:rsid w:val="579E3EFD"/>
    <w:rsid w:val="57A714B4"/>
    <w:rsid w:val="57BEA782"/>
    <w:rsid w:val="57CE6BED"/>
    <w:rsid w:val="57CFE72E"/>
    <w:rsid w:val="57EF0CC4"/>
    <w:rsid w:val="57F27A4C"/>
    <w:rsid w:val="580160BF"/>
    <w:rsid w:val="585241A4"/>
    <w:rsid w:val="585F3054"/>
    <w:rsid w:val="5887160D"/>
    <w:rsid w:val="589637FD"/>
    <w:rsid w:val="58C75A74"/>
    <w:rsid w:val="58DB34D0"/>
    <w:rsid w:val="58DD7CFA"/>
    <w:rsid w:val="590E539D"/>
    <w:rsid w:val="593728CF"/>
    <w:rsid w:val="594A0A0A"/>
    <w:rsid w:val="597E5FD5"/>
    <w:rsid w:val="59C03C38"/>
    <w:rsid w:val="59E31CC6"/>
    <w:rsid w:val="59EE7FDD"/>
    <w:rsid w:val="59F359C5"/>
    <w:rsid w:val="59FDA170"/>
    <w:rsid w:val="59FF0188"/>
    <w:rsid w:val="5A1272B6"/>
    <w:rsid w:val="5A7F8CA6"/>
    <w:rsid w:val="5AE9071F"/>
    <w:rsid w:val="5B105104"/>
    <w:rsid w:val="5B40080F"/>
    <w:rsid w:val="5B4F1FBF"/>
    <w:rsid w:val="5B5F0C0E"/>
    <w:rsid w:val="5BAC314B"/>
    <w:rsid w:val="5BBF30E3"/>
    <w:rsid w:val="5BD0F27B"/>
    <w:rsid w:val="5BDF38B2"/>
    <w:rsid w:val="5BFF5D52"/>
    <w:rsid w:val="5C0F44ED"/>
    <w:rsid w:val="5C607C33"/>
    <w:rsid w:val="5C7C5B85"/>
    <w:rsid w:val="5C9EECC7"/>
    <w:rsid w:val="5CC51293"/>
    <w:rsid w:val="5CF7C32A"/>
    <w:rsid w:val="5CFB2D24"/>
    <w:rsid w:val="5D167FC0"/>
    <w:rsid w:val="5D44188E"/>
    <w:rsid w:val="5D610BC2"/>
    <w:rsid w:val="5D806543"/>
    <w:rsid w:val="5D8A2BE3"/>
    <w:rsid w:val="5DA7C96B"/>
    <w:rsid w:val="5DBA1A17"/>
    <w:rsid w:val="5DDBEF85"/>
    <w:rsid w:val="5DF4669E"/>
    <w:rsid w:val="5E1C0F25"/>
    <w:rsid w:val="5E2A0C3A"/>
    <w:rsid w:val="5E3B6AA3"/>
    <w:rsid w:val="5E5112F2"/>
    <w:rsid w:val="5E867B96"/>
    <w:rsid w:val="5E8D7F3F"/>
    <w:rsid w:val="5EDD84FD"/>
    <w:rsid w:val="5EFEEF5E"/>
    <w:rsid w:val="5EFF1C02"/>
    <w:rsid w:val="5F1E5490"/>
    <w:rsid w:val="5F2E1973"/>
    <w:rsid w:val="5F2F9A53"/>
    <w:rsid w:val="5F3763F1"/>
    <w:rsid w:val="5F5731CA"/>
    <w:rsid w:val="5F7BA2A1"/>
    <w:rsid w:val="5F851D72"/>
    <w:rsid w:val="5F9671D2"/>
    <w:rsid w:val="5FA93A31"/>
    <w:rsid w:val="5FBB8AF1"/>
    <w:rsid w:val="5FBFFD71"/>
    <w:rsid w:val="5FCB444F"/>
    <w:rsid w:val="5FDF0820"/>
    <w:rsid w:val="5FF24511"/>
    <w:rsid w:val="5FFA8B8E"/>
    <w:rsid w:val="5FFC8A54"/>
    <w:rsid w:val="600D2169"/>
    <w:rsid w:val="604239D2"/>
    <w:rsid w:val="604B75A2"/>
    <w:rsid w:val="605D2113"/>
    <w:rsid w:val="60600DFC"/>
    <w:rsid w:val="606A4CAC"/>
    <w:rsid w:val="60935784"/>
    <w:rsid w:val="60AB1E38"/>
    <w:rsid w:val="60B54296"/>
    <w:rsid w:val="60B5527F"/>
    <w:rsid w:val="60C66BE7"/>
    <w:rsid w:val="60E7098E"/>
    <w:rsid w:val="60F33387"/>
    <w:rsid w:val="61100E84"/>
    <w:rsid w:val="612A18C0"/>
    <w:rsid w:val="617D7AA4"/>
    <w:rsid w:val="618141C2"/>
    <w:rsid w:val="61AA1C56"/>
    <w:rsid w:val="61CB9471"/>
    <w:rsid w:val="625A0DF6"/>
    <w:rsid w:val="627347D9"/>
    <w:rsid w:val="62760C24"/>
    <w:rsid w:val="62FF5572"/>
    <w:rsid w:val="6356674F"/>
    <w:rsid w:val="63970699"/>
    <w:rsid w:val="63B31FBE"/>
    <w:rsid w:val="63C74A9D"/>
    <w:rsid w:val="63FF0760"/>
    <w:rsid w:val="64260C94"/>
    <w:rsid w:val="642D3AF2"/>
    <w:rsid w:val="64446557"/>
    <w:rsid w:val="6487674D"/>
    <w:rsid w:val="64963A94"/>
    <w:rsid w:val="64D92643"/>
    <w:rsid w:val="651D44F8"/>
    <w:rsid w:val="65835462"/>
    <w:rsid w:val="658F230B"/>
    <w:rsid w:val="65B427CF"/>
    <w:rsid w:val="65D85470"/>
    <w:rsid w:val="66083F6F"/>
    <w:rsid w:val="663C6027"/>
    <w:rsid w:val="665007C2"/>
    <w:rsid w:val="667C2C44"/>
    <w:rsid w:val="66B531E7"/>
    <w:rsid w:val="66C60A1C"/>
    <w:rsid w:val="6704178B"/>
    <w:rsid w:val="67354C52"/>
    <w:rsid w:val="67570B25"/>
    <w:rsid w:val="678205E9"/>
    <w:rsid w:val="678D5521"/>
    <w:rsid w:val="67975FAA"/>
    <w:rsid w:val="67B42940"/>
    <w:rsid w:val="67B90140"/>
    <w:rsid w:val="67BFB865"/>
    <w:rsid w:val="67BFD0BF"/>
    <w:rsid w:val="67D94D6D"/>
    <w:rsid w:val="67DF78E2"/>
    <w:rsid w:val="67EADC01"/>
    <w:rsid w:val="67F721E3"/>
    <w:rsid w:val="681537B6"/>
    <w:rsid w:val="683F0303"/>
    <w:rsid w:val="687CFEE7"/>
    <w:rsid w:val="688F7B92"/>
    <w:rsid w:val="68A15EA8"/>
    <w:rsid w:val="68BE404D"/>
    <w:rsid w:val="68C06EBD"/>
    <w:rsid w:val="68C9493D"/>
    <w:rsid w:val="68DE2824"/>
    <w:rsid w:val="68F5126C"/>
    <w:rsid w:val="69280EE2"/>
    <w:rsid w:val="6968027B"/>
    <w:rsid w:val="696B06C0"/>
    <w:rsid w:val="6970732A"/>
    <w:rsid w:val="6984346F"/>
    <w:rsid w:val="69D10152"/>
    <w:rsid w:val="69DD655D"/>
    <w:rsid w:val="69FF09D6"/>
    <w:rsid w:val="69FFA663"/>
    <w:rsid w:val="6A287E82"/>
    <w:rsid w:val="6A6041D8"/>
    <w:rsid w:val="6AA52336"/>
    <w:rsid w:val="6AAB1F66"/>
    <w:rsid w:val="6ABC78F2"/>
    <w:rsid w:val="6AF75487"/>
    <w:rsid w:val="6AFC314D"/>
    <w:rsid w:val="6B0C5714"/>
    <w:rsid w:val="6B74349C"/>
    <w:rsid w:val="6B7F7B23"/>
    <w:rsid w:val="6BB46B9F"/>
    <w:rsid w:val="6BBF5978"/>
    <w:rsid w:val="6BC71A94"/>
    <w:rsid w:val="6BE807A1"/>
    <w:rsid w:val="6BFE680B"/>
    <w:rsid w:val="6C082F78"/>
    <w:rsid w:val="6C0917C9"/>
    <w:rsid w:val="6C3A69EF"/>
    <w:rsid w:val="6C50797C"/>
    <w:rsid w:val="6CCC4242"/>
    <w:rsid w:val="6CF4157B"/>
    <w:rsid w:val="6D0FE6D8"/>
    <w:rsid w:val="6D410F99"/>
    <w:rsid w:val="6D597141"/>
    <w:rsid w:val="6D5D2829"/>
    <w:rsid w:val="6D7B5120"/>
    <w:rsid w:val="6D9A7639"/>
    <w:rsid w:val="6DA04FA0"/>
    <w:rsid w:val="6DECA710"/>
    <w:rsid w:val="6DFC4DB3"/>
    <w:rsid w:val="6E0505F5"/>
    <w:rsid w:val="6E251B7B"/>
    <w:rsid w:val="6E2E71C5"/>
    <w:rsid w:val="6E303885"/>
    <w:rsid w:val="6E310CD0"/>
    <w:rsid w:val="6E451928"/>
    <w:rsid w:val="6E5A6147"/>
    <w:rsid w:val="6E6DADCD"/>
    <w:rsid w:val="6E720238"/>
    <w:rsid w:val="6EB54CDD"/>
    <w:rsid w:val="6EBB572F"/>
    <w:rsid w:val="6EC24B9A"/>
    <w:rsid w:val="6ED736CF"/>
    <w:rsid w:val="6EEF4B98"/>
    <w:rsid w:val="6EF2722A"/>
    <w:rsid w:val="6EFF87B5"/>
    <w:rsid w:val="6EFF959B"/>
    <w:rsid w:val="6EFFBD49"/>
    <w:rsid w:val="6F0C4AB0"/>
    <w:rsid w:val="6F1FC97A"/>
    <w:rsid w:val="6F336EC5"/>
    <w:rsid w:val="6F5F28F0"/>
    <w:rsid w:val="6F675FB4"/>
    <w:rsid w:val="6F8A7FC5"/>
    <w:rsid w:val="6FA54E0D"/>
    <w:rsid w:val="6FC90B02"/>
    <w:rsid w:val="6FD36FE1"/>
    <w:rsid w:val="6FD40789"/>
    <w:rsid w:val="6FD79E78"/>
    <w:rsid w:val="6FDF4B11"/>
    <w:rsid w:val="6FEBA048"/>
    <w:rsid w:val="6FEBC2A5"/>
    <w:rsid w:val="6FEBD659"/>
    <w:rsid w:val="6FF20703"/>
    <w:rsid w:val="6FFE3FFC"/>
    <w:rsid w:val="6FFF7AAF"/>
    <w:rsid w:val="6FFF9264"/>
    <w:rsid w:val="6FFF9DEB"/>
    <w:rsid w:val="700F5F27"/>
    <w:rsid w:val="702204DD"/>
    <w:rsid w:val="70377C2D"/>
    <w:rsid w:val="70444C03"/>
    <w:rsid w:val="705C7D94"/>
    <w:rsid w:val="708C338A"/>
    <w:rsid w:val="709D4A32"/>
    <w:rsid w:val="710176B3"/>
    <w:rsid w:val="713760CA"/>
    <w:rsid w:val="715770F9"/>
    <w:rsid w:val="715D0070"/>
    <w:rsid w:val="71687E00"/>
    <w:rsid w:val="717F4502"/>
    <w:rsid w:val="71B48A8F"/>
    <w:rsid w:val="71DE0967"/>
    <w:rsid w:val="71E60AC3"/>
    <w:rsid w:val="71ED0CF5"/>
    <w:rsid w:val="71EE6EAC"/>
    <w:rsid w:val="720D3B39"/>
    <w:rsid w:val="72327FDD"/>
    <w:rsid w:val="727A12C6"/>
    <w:rsid w:val="72A228AC"/>
    <w:rsid w:val="72A553E7"/>
    <w:rsid w:val="72BF556B"/>
    <w:rsid w:val="72DD1618"/>
    <w:rsid w:val="72E86690"/>
    <w:rsid w:val="72F25DEE"/>
    <w:rsid w:val="73077877"/>
    <w:rsid w:val="73247660"/>
    <w:rsid w:val="733C4247"/>
    <w:rsid w:val="735B74B2"/>
    <w:rsid w:val="736060CD"/>
    <w:rsid w:val="73782BA9"/>
    <w:rsid w:val="73A480F9"/>
    <w:rsid w:val="73CE30A0"/>
    <w:rsid w:val="73F90E16"/>
    <w:rsid w:val="73FBE849"/>
    <w:rsid w:val="73FF1332"/>
    <w:rsid w:val="74045115"/>
    <w:rsid w:val="746D5C29"/>
    <w:rsid w:val="747009D4"/>
    <w:rsid w:val="74A011DC"/>
    <w:rsid w:val="74B13D75"/>
    <w:rsid w:val="7517166B"/>
    <w:rsid w:val="751E21EB"/>
    <w:rsid w:val="752E6EEB"/>
    <w:rsid w:val="75683BC6"/>
    <w:rsid w:val="7575628A"/>
    <w:rsid w:val="757E07A6"/>
    <w:rsid w:val="75965D9E"/>
    <w:rsid w:val="75BE59B8"/>
    <w:rsid w:val="75FA25B2"/>
    <w:rsid w:val="75FDA45E"/>
    <w:rsid w:val="75FE05FC"/>
    <w:rsid w:val="761451ED"/>
    <w:rsid w:val="761C1213"/>
    <w:rsid w:val="764752D8"/>
    <w:rsid w:val="767F9612"/>
    <w:rsid w:val="76936097"/>
    <w:rsid w:val="76B41CFB"/>
    <w:rsid w:val="76D91319"/>
    <w:rsid w:val="76EF3850"/>
    <w:rsid w:val="76FA3469"/>
    <w:rsid w:val="76FC3314"/>
    <w:rsid w:val="773C3360"/>
    <w:rsid w:val="773E9939"/>
    <w:rsid w:val="773F47E9"/>
    <w:rsid w:val="77564DCA"/>
    <w:rsid w:val="775A7192"/>
    <w:rsid w:val="776317DE"/>
    <w:rsid w:val="7777345F"/>
    <w:rsid w:val="777F0C9B"/>
    <w:rsid w:val="778D6975"/>
    <w:rsid w:val="77991AC6"/>
    <w:rsid w:val="77A346C3"/>
    <w:rsid w:val="77AB51B7"/>
    <w:rsid w:val="77BE5669"/>
    <w:rsid w:val="77DE2BDE"/>
    <w:rsid w:val="77EF28E6"/>
    <w:rsid w:val="77EF301A"/>
    <w:rsid w:val="77EF42AB"/>
    <w:rsid w:val="77EF977D"/>
    <w:rsid w:val="77FB5BBD"/>
    <w:rsid w:val="77FF74C7"/>
    <w:rsid w:val="77FF9C46"/>
    <w:rsid w:val="77FFC44D"/>
    <w:rsid w:val="781E012E"/>
    <w:rsid w:val="78454650"/>
    <w:rsid w:val="784A7148"/>
    <w:rsid w:val="784D722B"/>
    <w:rsid w:val="784F1F95"/>
    <w:rsid w:val="786D3AB9"/>
    <w:rsid w:val="787E695A"/>
    <w:rsid w:val="79071D09"/>
    <w:rsid w:val="79127868"/>
    <w:rsid w:val="79211E97"/>
    <w:rsid w:val="793D661B"/>
    <w:rsid w:val="795004A3"/>
    <w:rsid w:val="79500FBD"/>
    <w:rsid w:val="797D7055"/>
    <w:rsid w:val="79856B56"/>
    <w:rsid w:val="79985697"/>
    <w:rsid w:val="799F9B57"/>
    <w:rsid w:val="79BF72EF"/>
    <w:rsid w:val="79C638FB"/>
    <w:rsid w:val="79DD4BEA"/>
    <w:rsid w:val="79DE9D98"/>
    <w:rsid w:val="79ED887C"/>
    <w:rsid w:val="7A06024B"/>
    <w:rsid w:val="7A27827E"/>
    <w:rsid w:val="7A284076"/>
    <w:rsid w:val="7A80651A"/>
    <w:rsid w:val="7A9B7C03"/>
    <w:rsid w:val="7AB35916"/>
    <w:rsid w:val="7AB665AA"/>
    <w:rsid w:val="7ABB0CB7"/>
    <w:rsid w:val="7ACC2337"/>
    <w:rsid w:val="7AD36D88"/>
    <w:rsid w:val="7AFB10FE"/>
    <w:rsid w:val="7AFE000A"/>
    <w:rsid w:val="7B1839FE"/>
    <w:rsid w:val="7B2EB0C4"/>
    <w:rsid w:val="7B322E7E"/>
    <w:rsid w:val="7B551054"/>
    <w:rsid w:val="7B57D02B"/>
    <w:rsid w:val="7B5BF46E"/>
    <w:rsid w:val="7B5F1FF3"/>
    <w:rsid w:val="7B9316C7"/>
    <w:rsid w:val="7BAA6ACE"/>
    <w:rsid w:val="7BB37436"/>
    <w:rsid w:val="7BB7432C"/>
    <w:rsid w:val="7BBC0867"/>
    <w:rsid w:val="7BBFE720"/>
    <w:rsid w:val="7BCF4C23"/>
    <w:rsid w:val="7BDC1426"/>
    <w:rsid w:val="7BDD58E9"/>
    <w:rsid w:val="7BDF37D4"/>
    <w:rsid w:val="7BF3DC80"/>
    <w:rsid w:val="7BF9DA1D"/>
    <w:rsid w:val="7BFB181B"/>
    <w:rsid w:val="7BFBD8AE"/>
    <w:rsid w:val="7BFD8962"/>
    <w:rsid w:val="7BFE0386"/>
    <w:rsid w:val="7BFE9E0B"/>
    <w:rsid w:val="7BFF04C0"/>
    <w:rsid w:val="7BFFF740"/>
    <w:rsid w:val="7C43233B"/>
    <w:rsid w:val="7C542084"/>
    <w:rsid w:val="7C5FA095"/>
    <w:rsid w:val="7C750F7A"/>
    <w:rsid w:val="7C771DC4"/>
    <w:rsid w:val="7C7803A3"/>
    <w:rsid w:val="7C943C42"/>
    <w:rsid w:val="7CAD22DC"/>
    <w:rsid w:val="7D1ED75C"/>
    <w:rsid w:val="7D2AC93E"/>
    <w:rsid w:val="7D2B67FE"/>
    <w:rsid w:val="7D37FDF3"/>
    <w:rsid w:val="7D591DDE"/>
    <w:rsid w:val="7D596FCB"/>
    <w:rsid w:val="7D5B7030"/>
    <w:rsid w:val="7D5CDC8E"/>
    <w:rsid w:val="7D6D6A39"/>
    <w:rsid w:val="7DBF21F9"/>
    <w:rsid w:val="7DBF4BC3"/>
    <w:rsid w:val="7DDD667D"/>
    <w:rsid w:val="7DEF32DC"/>
    <w:rsid w:val="7DFD9990"/>
    <w:rsid w:val="7DFF53B1"/>
    <w:rsid w:val="7DFFE12F"/>
    <w:rsid w:val="7E1D4C8F"/>
    <w:rsid w:val="7E3ADFD3"/>
    <w:rsid w:val="7E3FA4A9"/>
    <w:rsid w:val="7E4F7DC6"/>
    <w:rsid w:val="7E6F3D3B"/>
    <w:rsid w:val="7E7D3CAF"/>
    <w:rsid w:val="7E7EE8A2"/>
    <w:rsid w:val="7EBCC4D2"/>
    <w:rsid w:val="7EC56A7C"/>
    <w:rsid w:val="7EE713E1"/>
    <w:rsid w:val="7EF31A35"/>
    <w:rsid w:val="7EF4FDF8"/>
    <w:rsid w:val="7EFFD1F5"/>
    <w:rsid w:val="7F0574D4"/>
    <w:rsid w:val="7F0D8CBD"/>
    <w:rsid w:val="7F2C1CB1"/>
    <w:rsid w:val="7F2EF834"/>
    <w:rsid w:val="7F370FB1"/>
    <w:rsid w:val="7F3D6406"/>
    <w:rsid w:val="7F425A60"/>
    <w:rsid w:val="7F4FB92A"/>
    <w:rsid w:val="7F75A513"/>
    <w:rsid w:val="7F75E5A4"/>
    <w:rsid w:val="7F7DF472"/>
    <w:rsid w:val="7F7E62DA"/>
    <w:rsid w:val="7F7EF02C"/>
    <w:rsid w:val="7F7FDF5B"/>
    <w:rsid w:val="7F8BF0A8"/>
    <w:rsid w:val="7F994818"/>
    <w:rsid w:val="7F9E0479"/>
    <w:rsid w:val="7F9E23D8"/>
    <w:rsid w:val="7F9FE926"/>
    <w:rsid w:val="7FA7B176"/>
    <w:rsid w:val="7FAEFDA8"/>
    <w:rsid w:val="7FAF4855"/>
    <w:rsid w:val="7FBD8DF2"/>
    <w:rsid w:val="7FCE084D"/>
    <w:rsid w:val="7FD0169E"/>
    <w:rsid w:val="7FD3BE00"/>
    <w:rsid w:val="7FD55197"/>
    <w:rsid w:val="7FDE3688"/>
    <w:rsid w:val="7FDE4D0F"/>
    <w:rsid w:val="7FDF3CC0"/>
    <w:rsid w:val="7FE2255A"/>
    <w:rsid w:val="7FED716A"/>
    <w:rsid w:val="7FF9288F"/>
    <w:rsid w:val="7FFB4758"/>
    <w:rsid w:val="7FFD6543"/>
    <w:rsid w:val="7FFDC37A"/>
    <w:rsid w:val="7FFE1763"/>
    <w:rsid w:val="7FFE4EA8"/>
    <w:rsid w:val="7FFEE1CC"/>
    <w:rsid w:val="7FFF171F"/>
    <w:rsid w:val="7FFF59FE"/>
    <w:rsid w:val="7FFF926F"/>
    <w:rsid w:val="7FFFE6A4"/>
    <w:rsid w:val="837E0663"/>
    <w:rsid w:val="87EFDAEE"/>
    <w:rsid w:val="8DFF3682"/>
    <w:rsid w:val="8EBE0173"/>
    <w:rsid w:val="97871F92"/>
    <w:rsid w:val="97FFEB85"/>
    <w:rsid w:val="9B7F3A45"/>
    <w:rsid w:val="9BA3B263"/>
    <w:rsid w:val="9BB91C9B"/>
    <w:rsid w:val="9BFF655A"/>
    <w:rsid w:val="9CEE6739"/>
    <w:rsid w:val="9CFFEA76"/>
    <w:rsid w:val="9EDFD83B"/>
    <w:rsid w:val="9F3A1CD8"/>
    <w:rsid w:val="9FDF7258"/>
    <w:rsid w:val="A1F320FD"/>
    <w:rsid w:val="A2FB9961"/>
    <w:rsid w:val="A3FF32FD"/>
    <w:rsid w:val="A7773054"/>
    <w:rsid w:val="A7FF21B8"/>
    <w:rsid w:val="A9FE12D9"/>
    <w:rsid w:val="ADEF5CFD"/>
    <w:rsid w:val="ADFED376"/>
    <w:rsid w:val="AF74F861"/>
    <w:rsid w:val="AFDEDC58"/>
    <w:rsid w:val="AFFA604C"/>
    <w:rsid w:val="B1F7411B"/>
    <w:rsid w:val="B39507B3"/>
    <w:rsid w:val="B5BB5CD2"/>
    <w:rsid w:val="B5FF03F3"/>
    <w:rsid w:val="B69AC922"/>
    <w:rsid w:val="B6F7996F"/>
    <w:rsid w:val="B77CAE5E"/>
    <w:rsid w:val="B7EF0EED"/>
    <w:rsid w:val="B9FB8BB0"/>
    <w:rsid w:val="B9FE9625"/>
    <w:rsid w:val="BA7D12B6"/>
    <w:rsid w:val="BA7D3047"/>
    <w:rsid w:val="BAAF5DE6"/>
    <w:rsid w:val="BAEC1B0A"/>
    <w:rsid w:val="BB7FCEA9"/>
    <w:rsid w:val="BBCF1BBC"/>
    <w:rsid w:val="BBDF16C1"/>
    <w:rsid w:val="BBFD3537"/>
    <w:rsid w:val="BBFF9072"/>
    <w:rsid w:val="BBFFAE7C"/>
    <w:rsid w:val="BCFF1812"/>
    <w:rsid w:val="BCFFD3F2"/>
    <w:rsid w:val="BD7B47E4"/>
    <w:rsid w:val="BDBE0767"/>
    <w:rsid w:val="BDF1E05A"/>
    <w:rsid w:val="BDFB1041"/>
    <w:rsid w:val="BDFE84B3"/>
    <w:rsid w:val="BDFEDF01"/>
    <w:rsid w:val="BE3D44EB"/>
    <w:rsid w:val="BF3B568A"/>
    <w:rsid w:val="BF61BC1A"/>
    <w:rsid w:val="BF6F6685"/>
    <w:rsid w:val="BF7B5074"/>
    <w:rsid w:val="BFBD36B5"/>
    <w:rsid w:val="BFCA9DD8"/>
    <w:rsid w:val="BFCB2A19"/>
    <w:rsid w:val="BFD9580E"/>
    <w:rsid w:val="BFDF0F24"/>
    <w:rsid w:val="BFEF99B0"/>
    <w:rsid w:val="BFF1F569"/>
    <w:rsid w:val="BFF82832"/>
    <w:rsid w:val="BFFB81C6"/>
    <w:rsid w:val="BFFBB665"/>
    <w:rsid w:val="BFFEE316"/>
    <w:rsid w:val="C6DF1163"/>
    <w:rsid w:val="C734A566"/>
    <w:rsid w:val="C73E10D8"/>
    <w:rsid w:val="CACD4957"/>
    <w:rsid w:val="CDB742F8"/>
    <w:rsid w:val="CEEFE0B7"/>
    <w:rsid w:val="CF7F9498"/>
    <w:rsid w:val="CFBD7820"/>
    <w:rsid w:val="CFEEB0E6"/>
    <w:rsid w:val="CFF57C0B"/>
    <w:rsid w:val="CFF63188"/>
    <w:rsid w:val="CFFE855D"/>
    <w:rsid w:val="D33FD1FD"/>
    <w:rsid w:val="D3FDE3DA"/>
    <w:rsid w:val="D4BFBAAB"/>
    <w:rsid w:val="D5F37A99"/>
    <w:rsid w:val="D6A73AB8"/>
    <w:rsid w:val="D6A7FE6B"/>
    <w:rsid w:val="D6FC36D7"/>
    <w:rsid w:val="D6FE6319"/>
    <w:rsid w:val="D74BC3ED"/>
    <w:rsid w:val="D7EEB4DF"/>
    <w:rsid w:val="D7FE2CE0"/>
    <w:rsid w:val="D9C6C76F"/>
    <w:rsid w:val="D9EF857C"/>
    <w:rsid w:val="DADE7A21"/>
    <w:rsid w:val="DBBBCF65"/>
    <w:rsid w:val="DBE5E9D3"/>
    <w:rsid w:val="DBFE7782"/>
    <w:rsid w:val="DDD4549E"/>
    <w:rsid w:val="DDFAB74D"/>
    <w:rsid w:val="DDFF0342"/>
    <w:rsid w:val="DE4FCE48"/>
    <w:rsid w:val="DEBB9CE3"/>
    <w:rsid w:val="DEE92597"/>
    <w:rsid w:val="DEF3D14C"/>
    <w:rsid w:val="DEFEA4AC"/>
    <w:rsid w:val="DF7AF3CE"/>
    <w:rsid w:val="DF9BF17F"/>
    <w:rsid w:val="DFBE6F52"/>
    <w:rsid w:val="DFD7B8FD"/>
    <w:rsid w:val="DFEFF731"/>
    <w:rsid w:val="DFFB9EF0"/>
    <w:rsid w:val="DFFBA79B"/>
    <w:rsid w:val="DFFD3794"/>
    <w:rsid w:val="DFFF04FB"/>
    <w:rsid w:val="E1FED5D7"/>
    <w:rsid w:val="E2AFEC02"/>
    <w:rsid w:val="E2F3CBA0"/>
    <w:rsid w:val="E39BB45B"/>
    <w:rsid w:val="E3FF8B1D"/>
    <w:rsid w:val="E47BBF8D"/>
    <w:rsid w:val="E53E1032"/>
    <w:rsid w:val="E6EB2D08"/>
    <w:rsid w:val="E74F55B5"/>
    <w:rsid w:val="E7BB0A3F"/>
    <w:rsid w:val="E7EF7DBA"/>
    <w:rsid w:val="E7F7D529"/>
    <w:rsid w:val="E83BA89D"/>
    <w:rsid w:val="EA76F162"/>
    <w:rsid w:val="EAFB1368"/>
    <w:rsid w:val="EBBCA489"/>
    <w:rsid w:val="EBBD02E0"/>
    <w:rsid w:val="EBED9920"/>
    <w:rsid w:val="EBEF6C54"/>
    <w:rsid w:val="EBF581D9"/>
    <w:rsid w:val="ECED38A1"/>
    <w:rsid w:val="ED3D35AB"/>
    <w:rsid w:val="EDB7CE4B"/>
    <w:rsid w:val="EDD526B6"/>
    <w:rsid w:val="EDD7DDED"/>
    <w:rsid w:val="EDDCFA81"/>
    <w:rsid w:val="EDDFA3CF"/>
    <w:rsid w:val="EDEC7DA0"/>
    <w:rsid w:val="EDFF0009"/>
    <w:rsid w:val="EE574045"/>
    <w:rsid w:val="EE6B94E6"/>
    <w:rsid w:val="EE75257F"/>
    <w:rsid w:val="EE7F5859"/>
    <w:rsid w:val="EE7F5A49"/>
    <w:rsid w:val="EEDC2F21"/>
    <w:rsid w:val="EEFADC3E"/>
    <w:rsid w:val="EEFF1036"/>
    <w:rsid w:val="EF3EC72C"/>
    <w:rsid w:val="EF678344"/>
    <w:rsid w:val="EF6E50F9"/>
    <w:rsid w:val="EF746F96"/>
    <w:rsid w:val="EF7730B2"/>
    <w:rsid w:val="EF79021C"/>
    <w:rsid w:val="EF7F8D32"/>
    <w:rsid w:val="EFBB0198"/>
    <w:rsid w:val="EFBD6ECB"/>
    <w:rsid w:val="EFBDABCC"/>
    <w:rsid w:val="EFBF686E"/>
    <w:rsid w:val="EFD64501"/>
    <w:rsid w:val="EFD7C025"/>
    <w:rsid w:val="EFDEEEB1"/>
    <w:rsid w:val="EFDFB923"/>
    <w:rsid w:val="EFED1E27"/>
    <w:rsid w:val="EFEDAE69"/>
    <w:rsid w:val="EFEDEEE0"/>
    <w:rsid w:val="EFFB1493"/>
    <w:rsid w:val="EFFBDF96"/>
    <w:rsid w:val="F15B22E7"/>
    <w:rsid w:val="F19FDE7A"/>
    <w:rsid w:val="F1BE2C92"/>
    <w:rsid w:val="F2BBF778"/>
    <w:rsid w:val="F2FB5EE7"/>
    <w:rsid w:val="F3FE5D09"/>
    <w:rsid w:val="F3FEC6C6"/>
    <w:rsid w:val="F46D9250"/>
    <w:rsid w:val="F57AFA9F"/>
    <w:rsid w:val="F63BFF0E"/>
    <w:rsid w:val="F66B315B"/>
    <w:rsid w:val="F6B7C120"/>
    <w:rsid w:val="F6EF0E9B"/>
    <w:rsid w:val="F7974C0A"/>
    <w:rsid w:val="F7BE9844"/>
    <w:rsid w:val="F7BEB337"/>
    <w:rsid w:val="F7D71F93"/>
    <w:rsid w:val="F7DB0E66"/>
    <w:rsid w:val="F7DFC584"/>
    <w:rsid w:val="F7E3E27D"/>
    <w:rsid w:val="F7FEAFA1"/>
    <w:rsid w:val="F8EFFF6E"/>
    <w:rsid w:val="F8FFB05E"/>
    <w:rsid w:val="F9BFBCC9"/>
    <w:rsid w:val="F9DF465B"/>
    <w:rsid w:val="F9F8E3EB"/>
    <w:rsid w:val="F9FAB0E7"/>
    <w:rsid w:val="F9FEBC99"/>
    <w:rsid w:val="F9FF89A4"/>
    <w:rsid w:val="FA7A1240"/>
    <w:rsid w:val="FABC1785"/>
    <w:rsid w:val="FADACAAD"/>
    <w:rsid w:val="FADD1269"/>
    <w:rsid w:val="FAEACB08"/>
    <w:rsid w:val="FAFDDE2F"/>
    <w:rsid w:val="FAFE576E"/>
    <w:rsid w:val="FB67BAC8"/>
    <w:rsid w:val="FB9EC70D"/>
    <w:rsid w:val="FBAAE27F"/>
    <w:rsid w:val="FBAFB445"/>
    <w:rsid w:val="FBBE07C7"/>
    <w:rsid w:val="FBDB672A"/>
    <w:rsid w:val="FBF7B277"/>
    <w:rsid w:val="FBFF1D49"/>
    <w:rsid w:val="FBFFC7A1"/>
    <w:rsid w:val="FC3745E1"/>
    <w:rsid w:val="FD0E63D0"/>
    <w:rsid w:val="FD225AC2"/>
    <w:rsid w:val="FD3F2E22"/>
    <w:rsid w:val="FD7B3706"/>
    <w:rsid w:val="FD8F4109"/>
    <w:rsid w:val="FDAF6A91"/>
    <w:rsid w:val="FDBF488F"/>
    <w:rsid w:val="FDC728E0"/>
    <w:rsid w:val="FDCE22C0"/>
    <w:rsid w:val="FDF5E1DF"/>
    <w:rsid w:val="FDF868F3"/>
    <w:rsid w:val="FDFC176A"/>
    <w:rsid w:val="FDFD1080"/>
    <w:rsid w:val="FDFF2ECE"/>
    <w:rsid w:val="FDFF7AF2"/>
    <w:rsid w:val="FDFF88EB"/>
    <w:rsid w:val="FE2D9627"/>
    <w:rsid w:val="FE3D8C61"/>
    <w:rsid w:val="FE7D1A8C"/>
    <w:rsid w:val="FEBDFA31"/>
    <w:rsid w:val="FEBF7D69"/>
    <w:rsid w:val="FECAC8BD"/>
    <w:rsid w:val="FEDF6932"/>
    <w:rsid w:val="FEDF7405"/>
    <w:rsid w:val="FEFB186C"/>
    <w:rsid w:val="FEFF5509"/>
    <w:rsid w:val="FEFF69BA"/>
    <w:rsid w:val="FEFFC25C"/>
    <w:rsid w:val="FF275B08"/>
    <w:rsid w:val="FF27E190"/>
    <w:rsid w:val="FF36C397"/>
    <w:rsid w:val="FF686683"/>
    <w:rsid w:val="FF6B2C86"/>
    <w:rsid w:val="FF6D0FC7"/>
    <w:rsid w:val="FF794775"/>
    <w:rsid w:val="FF8CABC9"/>
    <w:rsid w:val="FF936743"/>
    <w:rsid w:val="FF94146D"/>
    <w:rsid w:val="FF9579DD"/>
    <w:rsid w:val="FF9F6A64"/>
    <w:rsid w:val="FFBA2903"/>
    <w:rsid w:val="FFBF76C3"/>
    <w:rsid w:val="FFBFCA17"/>
    <w:rsid w:val="FFBFCAD5"/>
    <w:rsid w:val="FFCF5118"/>
    <w:rsid w:val="FFD45F27"/>
    <w:rsid w:val="FFD70709"/>
    <w:rsid w:val="FFDCFB1C"/>
    <w:rsid w:val="FFDFFEF1"/>
    <w:rsid w:val="FFE685A5"/>
    <w:rsid w:val="FFEB3932"/>
    <w:rsid w:val="FFED21FD"/>
    <w:rsid w:val="FFEF9B94"/>
    <w:rsid w:val="FFEFA314"/>
    <w:rsid w:val="FFEFD6A2"/>
    <w:rsid w:val="FFEFE92F"/>
    <w:rsid w:val="FFF3B82A"/>
    <w:rsid w:val="FFF93B36"/>
    <w:rsid w:val="FFFBF3F7"/>
    <w:rsid w:val="FFFBF5D9"/>
    <w:rsid w:val="FFFCD8C2"/>
    <w:rsid w:val="FFFDD3AE"/>
    <w:rsid w:val="FFFE0412"/>
    <w:rsid w:val="FFFF32BB"/>
    <w:rsid w:val="FFFF3D53"/>
    <w:rsid w:val="FFFF506B"/>
    <w:rsid w:val="FFFF528F"/>
    <w:rsid w:val="FFFF7F7C"/>
    <w:rsid w:val="FFFF85C1"/>
    <w:rsid w:val="FFFFBFB5"/>
    <w:rsid w:val="FFFFCDF6"/>
    <w:rsid w:val="FFFFF3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widowControl/>
      <w:tabs>
        <w:tab w:val="left" w:pos="432"/>
      </w:tabs>
      <w:ind w:left="432" w:hanging="432"/>
      <w:jc w:val="center"/>
      <w:outlineLvl w:val="0"/>
    </w:pPr>
    <w:rPr>
      <w:rFonts w:ascii="黑体" w:eastAsia="黑体"/>
      <w:kern w:val="0"/>
      <w:sz w:val="32"/>
      <w:szCs w:val="20"/>
    </w:rPr>
  </w:style>
  <w:style w:type="paragraph" w:styleId="3">
    <w:name w:val="heading 2"/>
    <w:basedOn w:val="1"/>
    <w:next w:val="4"/>
    <w:link w:val="52"/>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link w:val="54"/>
    <w:qFormat/>
    <w:uiPriority w:val="0"/>
    <w:pPr>
      <w:keepNext/>
      <w:keepLines/>
      <w:spacing w:line="360" w:lineRule="auto"/>
      <w:outlineLvl w:val="2"/>
    </w:pPr>
    <w:rPr>
      <w:b/>
      <w:bCs/>
      <w:sz w:val="24"/>
      <w:szCs w:val="32"/>
    </w:rPr>
  </w:style>
  <w:style w:type="paragraph" w:styleId="6">
    <w:name w:val="heading 4"/>
    <w:basedOn w:val="1"/>
    <w:next w:val="1"/>
    <w:link w:val="55"/>
    <w:qFormat/>
    <w:uiPriority w:val="0"/>
    <w:pPr>
      <w:keepNext/>
      <w:keepLines/>
      <w:spacing w:line="360" w:lineRule="auto"/>
      <w:outlineLvl w:val="3"/>
    </w:pPr>
    <w:rPr>
      <w:rFonts w:ascii="Arial" w:hAnsi="Arial"/>
      <w:b/>
      <w:bCs/>
      <w:szCs w:val="28"/>
    </w:rPr>
  </w:style>
  <w:style w:type="paragraph" w:styleId="7">
    <w:name w:val="heading 5"/>
    <w:basedOn w:val="1"/>
    <w:next w:val="1"/>
    <w:link w:val="56"/>
    <w:qFormat/>
    <w:uiPriority w:val="0"/>
    <w:pPr>
      <w:keepNext/>
      <w:keepLines/>
      <w:widowControl/>
      <w:spacing w:before="120" w:after="120" w:line="360" w:lineRule="auto"/>
      <w:ind w:firstLine="499"/>
      <w:jc w:val="left"/>
      <w:outlineLvl w:val="4"/>
    </w:pPr>
    <w:rPr>
      <w:rFonts w:ascii="Arial" w:hAnsi="Arial"/>
      <w:b/>
      <w:kern w:val="0"/>
      <w:sz w:val="24"/>
      <w:szCs w:val="20"/>
    </w:rPr>
  </w:style>
  <w:style w:type="paragraph" w:styleId="8">
    <w:name w:val="heading 6"/>
    <w:basedOn w:val="1"/>
    <w:next w:val="1"/>
    <w:link w:val="57"/>
    <w:qFormat/>
    <w:uiPriority w:val="0"/>
    <w:pPr>
      <w:keepNext/>
      <w:keepLines/>
      <w:widowControl/>
      <w:tabs>
        <w:tab w:val="left" w:pos="1440"/>
      </w:tabs>
      <w:spacing w:before="240" w:after="64" w:line="320" w:lineRule="auto"/>
      <w:ind w:left="1152" w:hanging="1152"/>
      <w:jc w:val="left"/>
      <w:outlineLvl w:val="5"/>
    </w:pPr>
    <w:rPr>
      <w:rFonts w:ascii="Arial" w:hAnsi="Arial" w:eastAsia="Tahoma"/>
      <w:b/>
      <w:bCs/>
      <w:kern w:val="0"/>
      <w:sz w:val="24"/>
    </w:rPr>
  </w:style>
  <w:style w:type="paragraph" w:styleId="9">
    <w:name w:val="heading 7"/>
    <w:basedOn w:val="1"/>
    <w:next w:val="1"/>
    <w:link w:val="5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59"/>
    <w:qFormat/>
    <w:uiPriority w:val="0"/>
    <w:pPr>
      <w:keepNext/>
      <w:keepLines/>
      <w:widowControl/>
      <w:tabs>
        <w:tab w:val="left" w:pos="1440"/>
      </w:tabs>
      <w:spacing w:before="240" w:after="64" w:line="320" w:lineRule="auto"/>
      <w:ind w:left="1440" w:hanging="1440"/>
      <w:jc w:val="left"/>
      <w:outlineLvl w:val="7"/>
    </w:pPr>
    <w:rPr>
      <w:rFonts w:ascii="Arial" w:hAnsi="Arial" w:eastAsia="Tahoma"/>
      <w:kern w:val="0"/>
      <w:sz w:val="24"/>
    </w:rPr>
  </w:style>
  <w:style w:type="paragraph" w:styleId="11">
    <w:name w:val="heading 9"/>
    <w:basedOn w:val="1"/>
    <w:next w:val="1"/>
    <w:link w:val="60"/>
    <w:qFormat/>
    <w:uiPriority w:val="0"/>
    <w:pPr>
      <w:keepNext/>
      <w:keepLines/>
      <w:widowControl/>
      <w:tabs>
        <w:tab w:val="left" w:pos="1584"/>
      </w:tabs>
      <w:spacing w:before="240" w:after="64" w:line="320" w:lineRule="auto"/>
      <w:ind w:left="1584" w:hanging="1584"/>
      <w:jc w:val="left"/>
      <w:outlineLvl w:val="8"/>
    </w:pPr>
    <w:rPr>
      <w:rFonts w:ascii="Arial" w:hAnsi="Arial" w:eastAsia="Tahoma"/>
      <w:kern w:val="0"/>
      <w:szCs w:val="21"/>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4">
    <w:name w:val="Normal Indent"/>
    <w:basedOn w:val="1"/>
    <w:link w:val="53"/>
    <w:qFormat/>
    <w:uiPriority w:val="0"/>
    <w:pPr>
      <w:widowControl/>
      <w:ind w:firstLine="420"/>
      <w:jc w:val="left"/>
    </w:pPr>
    <w:rPr>
      <w:rFonts w:ascii="@smartSimSun" w:hAnsi="@smartSimSun" w:eastAsia="@smartSimSun"/>
      <w:kern w:val="0"/>
      <w:sz w:val="20"/>
      <w:szCs w:val="20"/>
    </w:rPr>
  </w:style>
  <w:style w:type="paragraph" w:styleId="12">
    <w:name w:val="toc 7"/>
    <w:basedOn w:val="1"/>
    <w:next w:val="1"/>
    <w:qFormat/>
    <w:uiPriority w:val="0"/>
    <w:pPr>
      <w:ind w:left="2520" w:leftChars="1200"/>
    </w:pPr>
    <w:rPr>
      <w:rFonts w:ascii="Calibri" w:hAnsi="Calibr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style>
  <w:style w:type="paragraph" w:styleId="15">
    <w:name w:val="annotation text"/>
    <w:basedOn w:val="1"/>
    <w:link w:val="62"/>
    <w:qFormat/>
    <w:uiPriority w:val="0"/>
    <w:pPr>
      <w:autoSpaceDE w:val="0"/>
      <w:autoSpaceDN w:val="0"/>
      <w:adjustRightInd w:val="0"/>
      <w:spacing w:after="200" w:line="276" w:lineRule="auto"/>
      <w:jc w:val="left"/>
    </w:pPr>
    <w:rPr>
      <w:rFonts w:ascii="Arial" w:hAnsi="Arial" w:cs="Arial"/>
      <w:kern w:val="0"/>
      <w:sz w:val="24"/>
      <w:lang w:val="de-DE"/>
    </w:rPr>
  </w:style>
  <w:style w:type="paragraph" w:styleId="16">
    <w:name w:val="Body Text"/>
    <w:basedOn w:val="1"/>
    <w:link w:val="63"/>
    <w:qFormat/>
    <w:uiPriority w:val="0"/>
    <w:pPr>
      <w:spacing w:line="0" w:lineRule="atLeast"/>
    </w:pPr>
    <w:rPr>
      <w:sz w:val="30"/>
      <w:szCs w:val="20"/>
    </w:rPr>
  </w:style>
  <w:style w:type="paragraph" w:styleId="17">
    <w:name w:val="Body Text Indent"/>
    <w:basedOn w:val="1"/>
    <w:qFormat/>
    <w:uiPriority w:val="0"/>
    <w:pPr>
      <w:widowControl/>
      <w:overflowPunct w:val="0"/>
      <w:autoSpaceDE w:val="0"/>
      <w:autoSpaceDN w:val="0"/>
      <w:adjustRightInd w:val="0"/>
      <w:spacing w:line="360" w:lineRule="auto"/>
      <w:ind w:firstLine="540"/>
      <w:textAlignment w:val="baseline"/>
    </w:pPr>
    <w:rPr>
      <w:rFonts w:ascii="Tahoma" w:hAnsi="宋体" w:eastAsia="@smartSimSun" w:cs="@smartSimSun"/>
      <w:spacing w:val="12"/>
      <w:kern w:val="0"/>
      <w:sz w:val="24"/>
      <w:szCs w:val="20"/>
    </w:r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rPr>
      <w:rFonts w:ascii="Calibri" w:hAnsi="Calibri"/>
      <w:szCs w:val="22"/>
    </w:rPr>
  </w:style>
  <w:style w:type="paragraph" w:styleId="22">
    <w:name w:val="Plain Text"/>
    <w:basedOn w:val="1"/>
    <w:qFormat/>
    <w:uiPriority w:val="0"/>
    <w:rPr>
      <w:rFonts w:ascii="Tahoma" w:hAnsi="宋体" w:eastAsia="@smartSimSun" w:cs="@smartSimSun"/>
      <w:szCs w:val="20"/>
    </w:rPr>
  </w:style>
  <w:style w:type="paragraph" w:styleId="23">
    <w:name w:val="toc 8"/>
    <w:basedOn w:val="1"/>
    <w:next w:val="1"/>
    <w:qFormat/>
    <w:uiPriority w:val="0"/>
    <w:pPr>
      <w:ind w:left="2940" w:leftChars="1400"/>
    </w:pPr>
    <w:rPr>
      <w:rFonts w:ascii="Calibri" w:hAnsi="Calibri"/>
      <w:szCs w:val="22"/>
    </w:rPr>
  </w:style>
  <w:style w:type="paragraph" w:styleId="24">
    <w:name w:val="Date"/>
    <w:basedOn w:val="1"/>
    <w:next w:val="1"/>
    <w:link w:val="64"/>
    <w:qFormat/>
    <w:uiPriority w:val="0"/>
    <w:pPr>
      <w:ind w:left="100" w:leftChars="2500"/>
    </w:pPr>
  </w:style>
  <w:style w:type="paragraph" w:styleId="25">
    <w:name w:val="Body Text Indent 2"/>
    <w:basedOn w:val="1"/>
    <w:qFormat/>
    <w:uiPriority w:val="0"/>
    <w:pPr>
      <w:widowControl/>
      <w:overflowPunct w:val="0"/>
      <w:autoSpaceDE w:val="0"/>
      <w:autoSpaceDN w:val="0"/>
      <w:adjustRightInd w:val="0"/>
      <w:spacing w:line="360" w:lineRule="auto"/>
      <w:ind w:firstLine="555"/>
      <w:textAlignment w:val="baseline"/>
    </w:pPr>
    <w:rPr>
      <w:rFonts w:ascii="Arial" w:hAnsi="MS Sans Serif"/>
      <w:spacing w:val="12"/>
      <w:kern w:val="0"/>
      <w:sz w:val="24"/>
      <w:szCs w:val="20"/>
    </w:rPr>
  </w:style>
  <w:style w:type="paragraph" w:styleId="26">
    <w:name w:val="Balloon Text"/>
    <w:basedOn w:val="1"/>
    <w:link w:val="65"/>
    <w:qFormat/>
    <w:uiPriority w:val="0"/>
    <w:rPr>
      <w:sz w:val="18"/>
      <w:szCs w:val="18"/>
    </w:rPr>
  </w:style>
  <w:style w:type="paragraph" w:styleId="27">
    <w:name w:val="footer"/>
    <w:basedOn w:val="1"/>
    <w:link w:val="66"/>
    <w:qFormat/>
    <w:uiPriority w:val="0"/>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widowControl/>
      <w:spacing w:before="120" w:after="120"/>
      <w:jc w:val="left"/>
    </w:pPr>
    <w:rPr>
      <w:b/>
      <w:bCs/>
      <w:caps/>
      <w:kern w:val="0"/>
      <w:sz w:val="24"/>
    </w:rPr>
  </w:style>
  <w:style w:type="paragraph" w:styleId="30">
    <w:name w:val="toc 4"/>
    <w:basedOn w:val="1"/>
    <w:next w:val="1"/>
    <w:qFormat/>
    <w:uiPriority w:val="0"/>
    <w:pPr>
      <w:ind w:left="1260" w:leftChars="600"/>
    </w:pPr>
  </w:style>
  <w:style w:type="paragraph" w:styleId="31">
    <w:name w:val="Subtitle"/>
    <w:basedOn w:val="1"/>
    <w:next w:val="1"/>
    <w:link w:val="68"/>
    <w:qFormat/>
    <w:uiPriority w:val="0"/>
    <w:pPr>
      <w:spacing w:before="240" w:after="60" w:line="312" w:lineRule="auto"/>
      <w:jc w:val="center"/>
      <w:outlineLvl w:val="1"/>
    </w:pPr>
    <w:rPr>
      <w:rFonts w:ascii="Cambria" w:hAnsi="Cambria" w:eastAsia="Times New Roman"/>
      <w:b/>
      <w:bCs/>
      <w:kern w:val="28"/>
      <w:sz w:val="32"/>
      <w:szCs w:val="32"/>
    </w:rPr>
  </w:style>
  <w:style w:type="paragraph" w:styleId="32">
    <w:name w:val="footnote text"/>
    <w:basedOn w:val="1"/>
    <w:link w:val="69"/>
    <w:semiHidden/>
    <w:qFormat/>
    <w:uiPriority w:val="0"/>
    <w:pPr>
      <w:adjustRightInd w:val="0"/>
      <w:spacing w:line="312" w:lineRule="atLeast"/>
      <w:jc w:val="left"/>
      <w:textAlignment w:val="baseline"/>
    </w:pPr>
    <w:rPr>
      <w:kern w:val="0"/>
      <w:sz w:val="18"/>
      <w:szCs w:val="20"/>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widowControl/>
      <w:overflowPunct w:val="0"/>
      <w:autoSpaceDE w:val="0"/>
      <w:autoSpaceDN w:val="0"/>
      <w:adjustRightInd w:val="0"/>
      <w:spacing w:line="360" w:lineRule="auto"/>
      <w:ind w:firstLine="540"/>
      <w:textAlignment w:val="baseline"/>
    </w:pPr>
    <w:rPr>
      <w:rFonts w:ascii="Arial" w:hAnsi="MS Sans Serif"/>
      <w:color w:val="000000"/>
      <w:kern w:val="0"/>
      <w:sz w:val="24"/>
      <w:szCs w:val="2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38">
    <w:name w:val="Title"/>
    <w:basedOn w:val="1"/>
    <w:next w:val="1"/>
    <w:link w:val="70"/>
    <w:qFormat/>
    <w:uiPriority w:val="0"/>
    <w:pPr>
      <w:spacing w:before="240" w:after="60"/>
      <w:jc w:val="center"/>
      <w:outlineLvl w:val="0"/>
    </w:pPr>
    <w:rPr>
      <w:rFonts w:ascii="Cambria" w:hAnsi="Cambria" w:eastAsia="Times New Roman"/>
      <w:b/>
      <w:bCs/>
      <w:sz w:val="32"/>
      <w:szCs w:val="32"/>
    </w:rPr>
  </w:style>
  <w:style w:type="paragraph" w:styleId="39">
    <w:name w:val="annotation subject"/>
    <w:basedOn w:val="15"/>
    <w:next w:val="15"/>
    <w:link w:val="71"/>
    <w:qFormat/>
    <w:uiPriority w:val="0"/>
    <w:rPr>
      <w:rFonts w:cs="Times New Roman"/>
      <w:b/>
      <w:bCs/>
    </w:rPr>
  </w:style>
  <w:style w:type="paragraph" w:styleId="40">
    <w:name w:val="Body Text First Indent"/>
    <w:basedOn w:val="16"/>
    <w:link w:val="72"/>
    <w:qFormat/>
    <w:uiPriority w:val="0"/>
    <w:pPr>
      <w:spacing w:after="120" w:line="240" w:lineRule="auto"/>
      <w:ind w:firstLine="420" w:firstLineChars="100"/>
    </w:pPr>
    <w:rPr>
      <w:sz w:val="21"/>
      <w:szCs w:val="24"/>
      <w:lang w:val="en-US" w:eastAsia="zh-CN"/>
    </w:rPr>
  </w:style>
  <w:style w:type="paragraph" w:styleId="41">
    <w:name w:val="Body Text First Indent 2"/>
    <w:basedOn w:val="17"/>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qFormat/>
    <w:uiPriority w:val="0"/>
    <w:rPr>
      <w:color w:val="800080"/>
      <w:u w:val="single"/>
    </w:rPr>
  </w:style>
  <w:style w:type="character" w:styleId="48">
    <w:name w:val="Emphasis"/>
    <w:qFormat/>
    <w:uiPriority w:val="0"/>
    <w:rPr>
      <w:i/>
      <w:iCs/>
    </w:rPr>
  </w:style>
  <w:style w:type="character" w:styleId="49">
    <w:name w:val="Hyperlink"/>
    <w:unhideWhenUsed/>
    <w:qFormat/>
    <w:uiPriority w:val="0"/>
    <w:rPr>
      <w:color w:val="428BCA"/>
      <w:u w:val="single"/>
      <w:shd w:val="clear" w:color="auto" w:fill="auto"/>
    </w:rPr>
  </w:style>
  <w:style w:type="character" w:styleId="50">
    <w:name w:val="annotation reference"/>
    <w:qFormat/>
    <w:uiPriority w:val="0"/>
    <w:rPr>
      <w:rFonts w:cs="Times New Roman"/>
      <w:sz w:val="21"/>
      <w:szCs w:val="21"/>
    </w:rPr>
  </w:style>
  <w:style w:type="character" w:customStyle="1" w:styleId="51">
    <w:name w:val="标题 1 Char"/>
    <w:link w:val="2"/>
    <w:qFormat/>
    <w:uiPriority w:val="0"/>
    <w:rPr>
      <w:rFonts w:ascii="黑体" w:eastAsia="黑体"/>
      <w:sz w:val="32"/>
      <w:lang w:bidi="ar-SA"/>
    </w:rPr>
  </w:style>
  <w:style w:type="character" w:customStyle="1" w:styleId="52">
    <w:name w:val="标题 2 Char"/>
    <w:link w:val="3"/>
    <w:qFormat/>
    <w:uiPriority w:val="0"/>
    <w:rPr>
      <w:rFonts w:ascii="Arial" w:hAnsi="Arial" w:eastAsia="宋体"/>
      <w:b/>
      <w:sz w:val="44"/>
      <w:lang w:bidi="ar-SA"/>
    </w:rPr>
  </w:style>
  <w:style w:type="character" w:customStyle="1" w:styleId="53">
    <w:name w:val="正文缩进 Char"/>
    <w:link w:val="4"/>
    <w:qFormat/>
    <w:uiPriority w:val="0"/>
    <w:rPr>
      <w:rFonts w:ascii="@smartSimSun" w:hAnsi="@smartSimSun" w:eastAsia="@smartSimSun"/>
      <w:lang w:bidi="ar-SA"/>
    </w:rPr>
  </w:style>
  <w:style w:type="character" w:customStyle="1" w:styleId="54">
    <w:name w:val="标题 3 Char"/>
    <w:link w:val="5"/>
    <w:qFormat/>
    <w:uiPriority w:val="0"/>
    <w:rPr>
      <w:rFonts w:eastAsia="宋体"/>
      <w:b/>
      <w:bCs/>
      <w:kern w:val="2"/>
      <w:sz w:val="24"/>
      <w:szCs w:val="32"/>
      <w:lang w:bidi="ar-SA"/>
    </w:rPr>
  </w:style>
  <w:style w:type="character" w:customStyle="1" w:styleId="55">
    <w:name w:val="标题 4 Char"/>
    <w:link w:val="6"/>
    <w:qFormat/>
    <w:uiPriority w:val="0"/>
    <w:rPr>
      <w:rFonts w:ascii="Arial" w:hAnsi="Arial" w:eastAsia="宋体"/>
      <w:b/>
      <w:bCs/>
      <w:kern w:val="2"/>
      <w:sz w:val="21"/>
      <w:szCs w:val="28"/>
      <w:lang w:bidi="ar-SA"/>
    </w:rPr>
  </w:style>
  <w:style w:type="character" w:customStyle="1" w:styleId="56">
    <w:name w:val="标题 5 Char"/>
    <w:link w:val="7"/>
    <w:qFormat/>
    <w:uiPriority w:val="0"/>
    <w:rPr>
      <w:rFonts w:ascii="Arial" w:hAnsi="Arial" w:eastAsia="宋体"/>
      <w:b/>
      <w:sz w:val="24"/>
      <w:lang w:bidi="ar-SA"/>
    </w:rPr>
  </w:style>
  <w:style w:type="character" w:customStyle="1" w:styleId="57">
    <w:name w:val="标题 6 Char"/>
    <w:link w:val="8"/>
    <w:qFormat/>
    <w:uiPriority w:val="0"/>
    <w:rPr>
      <w:rFonts w:ascii="Arial" w:hAnsi="Arial" w:eastAsia="Tahoma"/>
      <w:b/>
      <w:bCs/>
      <w:sz w:val="24"/>
      <w:szCs w:val="24"/>
      <w:lang w:bidi="ar-SA"/>
    </w:rPr>
  </w:style>
  <w:style w:type="character" w:customStyle="1" w:styleId="58">
    <w:name w:val="标题 7 Char"/>
    <w:link w:val="9"/>
    <w:qFormat/>
    <w:uiPriority w:val="0"/>
    <w:rPr>
      <w:rFonts w:eastAsia="宋体"/>
      <w:b/>
      <w:bCs/>
      <w:sz w:val="24"/>
      <w:szCs w:val="24"/>
      <w:lang w:bidi="ar-SA"/>
    </w:rPr>
  </w:style>
  <w:style w:type="character" w:customStyle="1" w:styleId="59">
    <w:name w:val="标题 8 Char"/>
    <w:link w:val="10"/>
    <w:qFormat/>
    <w:uiPriority w:val="0"/>
    <w:rPr>
      <w:rFonts w:ascii="Arial" w:hAnsi="Arial" w:eastAsia="Tahoma"/>
      <w:sz w:val="24"/>
      <w:szCs w:val="24"/>
      <w:lang w:bidi="ar-SA"/>
    </w:rPr>
  </w:style>
  <w:style w:type="character" w:customStyle="1" w:styleId="60">
    <w:name w:val="标题 9 Char"/>
    <w:link w:val="11"/>
    <w:qFormat/>
    <w:uiPriority w:val="0"/>
    <w:rPr>
      <w:rFonts w:ascii="Arial" w:hAnsi="Arial" w:eastAsia="Tahoma"/>
      <w:sz w:val="21"/>
      <w:szCs w:val="21"/>
      <w:lang w:bidi="ar-SA"/>
    </w:rPr>
  </w:style>
  <w:style w:type="character" w:customStyle="1" w:styleId="61">
    <w:name w:val="文档结构图 Char"/>
    <w:link w:val="14"/>
    <w:qFormat/>
    <w:uiPriority w:val="0"/>
    <w:rPr>
      <w:rFonts w:eastAsia="宋体"/>
      <w:kern w:val="2"/>
      <w:sz w:val="21"/>
      <w:szCs w:val="24"/>
      <w:lang w:bidi="ar-SA"/>
    </w:rPr>
  </w:style>
  <w:style w:type="character" w:customStyle="1" w:styleId="62">
    <w:name w:val="批注文字 Char"/>
    <w:link w:val="15"/>
    <w:qFormat/>
    <w:uiPriority w:val="0"/>
    <w:rPr>
      <w:rFonts w:ascii="Arial" w:hAnsi="Arial" w:eastAsia="宋体" w:cs="Arial"/>
      <w:sz w:val="24"/>
      <w:szCs w:val="24"/>
      <w:lang w:val="de-DE" w:eastAsia="zh-CN" w:bidi="ar-SA"/>
    </w:rPr>
  </w:style>
  <w:style w:type="character" w:customStyle="1" w:styleId="63">
    <w:name w:val="正文文本 Char"/>
    <w:link w:val="16"/>
    <w:qFormat/>
    <w:uiPriority w:val="0"/>
    <w:rPr>
      <w:rFonts w:eastAsia="宋体"/>
      <w:kern w:val="2"/>
      <w:sz w:val="30"/>
      <w:lang w:bidi="ar-SA"/>
    </w:rPr>
  </w:style>
  <w:style w:type="character" w:customStyle="1" w:styleId="64">
    <w:name w:val="日期 Char"/>
    <w:link w:val="24"/>
    <w:qFormat/>
    <w:uiPriority w:val="0"/>
    <w:rPr>
      <w:rFonts w:eastAsia="宋体"/>
      <w:kern w:val="2"/>
      <w:sz w:val="21"/>
      <w:szCs w:val="24"/>
      <w:lang w:bidi="ar-SA"/>
    </w:rPr>
  </w:style>
  <w:style w:type="character" w:customStyle="1" w:styleId="65">
    <w:name w:val="批注框文本 Char"/>
    <w:link w:val="26"/>
    <w:qFormat/>
    <w:uiPriority w:val="0"/>
    <w:rPr>
      <w:rFonts w:eastAsia="宋体"/>
      <w:kern w:val="2"/>
      <w:sz w:val="18"/>
      <w:szCs w:val="18"/>
      <w:lang w:val="en-US" w:eastAsia="zh-CN" w:bidi="ar-SA"/>
    </w:rPr>
  </w:style>
  <w:style w:type="character" w:customStyle="1" w:styleId="66">
    <w:name w:val="页脚 Char"/>
    <w:link w:val="27"/>
    <w:qFormat/>
    <w:uiPriority w:val="0"/>
    <w:rPr>
      <w:rFonts w:eastAsia="宋体"/>
      <w:kern w:val="2"/>
      <w:sz w:val="18"/>
      <w:szCs w:val="18"/>
      <w:lang w:val="en-US" w:eastAsia="zh-CN" w:bidi="ar-SA"/>
    </w:rPr>
  </w:style>
  <w:style w:type="character" w:customStyle="1" w:styleId="67">
    <w:name w:val="页眉 Char"/>
    <w:link w:val="28"/>
    <w:qFormat/>
    <w:uiPriority w:val="0"/>
    <w:rPr>
      <w:rFonts w:eastAsia="宋体"/>
      <w:kern w:val="2"/>
      <w:sz w:val="18"/>
      <w:szCs w:val="18"/>
      <w:lang w:val="en-US" w:eastAsia="zh-CN" w:bidi="ar-SA"/>
    </w:rPr>
  </w:style>
  <w:style w:type="character" w:customStyle="1" w:styleId="68">
    <w:name w:val="副标题 Char"/>
    <w:link w:val="31"/>
    <w:qFormat/>
    <w:uiPriority w:val="0"/>
    <w:rPr>
      <w:rFonts w:ascii="Cambria" w:hAnsi="Cambria"/>
      <w:b/>
      <w:bCs/>
      <w:kern w:val="28"/>
      <w:sz w:val="32"/>
      <w:szCs w:val="32"/>
      <w:lang w:bidi="ar-SA"/>
    </w:rPr>
  </w:style>
  <w:style w:type="character" w:customStyle="1" w:styleId="69">
    <w:name w:val="脚注文本 Char"/>
    <w:link w:val="32"/>
    <w:qFormat/>
    <w:uiPriority w:val="0"/>
    <w:rPr>
      <w:rFonts w:eastAsia="宋体"/>
      <w:sz w:val="18"/>
      <w:lang w:val="en-US" w:eastAsia="zh-CN" w:bidi="ar-SA"/>
    </w:rPr>
  </w:style>
  <w:style w:type="character" w:customStyle="1" w:styleId="70">
    <w:name w:val="标题 Char"/>
    <w:link w:val="38"/>
    <w:qFormat/>
    <w:uiPriority w:val="0"/>
    <w:rPr>
      <w:rFonts w:ascii="Cambria" w:hAnsi="Cambria"/>
      <w:b/>
      <w:bCs/>
      <w:kern w:val="2"/>
      <w:sz w:val="32"/>
      <w:szCs w:val="32"/>
      <w:lang w:bidi="ar-SA"/>
    </w:rPr>
  </w:style>
  <w:style w:type="character" w:customStyle="1" w:styleId="71">
    <w:name w:val="批注主题 Char"/>
    <w:link w:val="39"/>
    <w:qFormat/>
    <w:uiPriority w:val="0"/>
    <w:rPr>
      <w:rFonts w:ascii="Arial" w:hAnsi="Arial" w:eastAsia="宋体"/>
      <w:b/>
      <w:bCs/>
      <w:sz w:val="24"/>
      <w:szCs w:val="24"/>
      <w:lang w:val="de-DE" w:bidi="ar-SA"/>
    </w:rPr>
  </w:style>
  <w:style w:type="character" w:customStyle="1" w:styleId="72">
    <w:name w:val="正文首行缩进 Char"/>
    <w:link w:val="40"/>
    <w:qFormat/>
    <w:uiPriority w:val="0"/>
    <w:rPr>
      <w:rFonts w:eastAsia="宋体"/>
      <w:kern w:val="2"/>
      <w:sz w:val="21"/>
      <w:szCs w:val="24"/>
      <w:lang w:val="en-US" w:eastAsia="zh-CN" w:bidi="ar-SA"/>
    </w:rPr>
  </w:style>
  <w:style w:type="character" w:customStyle="1" w:styleId="73">
    <w:name w:val="_Style 72"/>
    <w:qFormat/>
    <w:uiPriority w:val="0"/>
    <w:rPr>
      <w:i/>
      <w:iCs/>
      <w:color w:val="808080"/>
    </w:rPr>
  </w:style>
  <w:style w:type="character" w:customStyle="1" w:styleId="74">
    <w:name w:val="font01"/>
    <w:qFormat/>
    <w:uiPriority w:val="0"/>
    <w:rPr>
      <w:rFonts w:hint="eastAsia" w:ascii="宋体" w:hAnsi="宋体" w:eastAsia="宋体"/>
      <w:color w:val="000000"/>
      <w:sz w:val="22"/>
      <w:szCs w:val="22"/>
      <w:u w:val="none"/>
    </w:rPr>
  </w:style>
  <w:style w:type="character" w:customStyle="1" w:styleId="75">
    <w:name w:val="_Style 74"/>
    <w:qFormat/>
    <w:uiPriority w:val="0"/>
    <w:rPr>
      <w:b/>
      <w:bCs/>
      <w:smallCaps/>
      <w:color w:val="C0504D"/>
      <w:spacing w:val="5"/>
      <w:u w:val="single"/>
    </w:rPr>
  </w:style>
  <w:style w:type="character" w:customStyle="1" w:styleId="76">
    <w:name w:val="textcontents"/>
    <w:qFormat/>
    <w:uiPriority w:val="0"/>
    <w:rPr>
      <w:rFonts w:cs="Times New Roman"/>
    </w:rPr>
  </w:style>
  <w:style w:type="character" w:customStyle="1" w:styleId="77">
    <w:name w:val="Para head"/>
    <w:qFormat/>
    <w:uiPriority w:val="0"/>
    <w:rPr>
      <w:rFonts w:ascii="Arial" w:hAnsi="Arial" w:eastAsia="Times New Roman"/>
      <w:sz w:val="20"/>
    </w:rPr>
  </w:style>
  <w:style w:type="character" w:customStyle="1" w:styleId="78">
    <w:name w:val="正文文本缩进 Char"/>
    <w:qFormat/>
    <w:uiPriority w:val="0"/>
    <w:rPr>
      <w:rFonts w:ascii="Arial" w:hAnsi="MS Sans Serif" w:eastAsia="Arial"/>
      <w:spacing w:val="12"/>
      <w:sz w:val="24"/>
      <w:lang w:val="en-US" w:eastAsia="zh-CN" w:bidi="ar-SA"/>
    </w:rPr>
  </w:style>
  <w:style w:type="character" w:customStyle="1" w:styleId="79">
    <w:name w:val="标题 Char1"/>
    <w:qFormat/>
    <w:uiPriority w:val="0"/>
    <w:rPr>
      <w:rFonts w:ascii="Cambria" w:hAnsi="Cambria" w:cs="Times New Roman"/>
      <w:b/>
      <w:bCs/>
      <w:kern w:val="2"/>
      <w:sz w:val="32"/>
      <w:szCs w:val="32"/>
    </w:rPr>
  </w:style>
  <w:style w:type="character" w:customStyle="1" w:styleId="80">
    <w:name w:val="_Style 79"/>
    <w:qFormat/>
    <w:uiPriority w:val="0"/>
    <w:rPr>
      <w:b/>
      <w:bCs/>
      <w:i/>
      <w:iCs/>
      <w:color w:val="4F81BD"/>
    </w:rPr>
  </w:style>
  <w:style w:type="character" w:customStyle="1" w:styleId="81">
    <w:name w:val="_Style 80"/>
    <w:qFormat/>
    <w:uiPriority w:val="0"/>
    <w:rPr>
      <w:smallCaps/>
      <w:color w:val="C0504D"/>
      <w:u w:val="single"/>
    </w:rPr>
  </w:style>
  <w:style w:type="character" w:customStyle="1" w:styleId="82">
    <w:name w:val="正文文本 Char1"/>
    <w:qFormat/>
    <w:uiPriority w:val="0"/>
    <w:rPr>
      <w:kern w:val="2"/>
      <w:sz w:val="21"/>
      <w:szCs w:val="22"/>
    </w:rPr>
  </w:style>
  <w:style w:type="character" w:customStyle="1" w:styleId="83">
    <w:name w:val="明显引用 Char"/>
    <w:link w:val="84"/>
    <w:qFormat/>
    <w:uiPriority w:val="0"/>
    <w:rPr>
      <w:b/>
      <w:bCs/>
      <w:i/>
      <w:iCs/>
      <w:color w:val="4F81BD"/>
      <w:kern w:val="2"/>
      <w:sz w:val="21"/>
      <w:szCs w:val="22"/>
      <w:lang w:bidi="ar-SA"/>
    </w:rPr>
  </w:style>
  <w:style w:type="paragraph" w:styleId="84">
    <w:name w:val="Intense Quote"/>
    <w:basedOn w:val="1"/>
    <w:next w:val="1"/>
    <w:link w:val="83"/>
    <w:qFormat/>
    <w:uiPriority w:val="0"/>
    <w:pPr>
      <w:pBdr>
        <w:bottom w:val="single" w:color="4F81BD" w:sz="4" w:space="4"/>
      </w:pBdr>
      <w:spacing w:before="200" w:after="280"/>
      <w:ind w:left="936" w:right="936"/>
    </w:pPr>
    <w:rPr>
      <w:rFonts w:eastAsia="Times New Roman"/>
      <w:b/>
      <w:bCs/>
      <w:i/>
      <w:iCs/>
      <w:color w:val="4F81BD"/>
      <w:szCs w:val="22"/>
    </w:rPr>
  </w:style>
  <w:style w:type="character" w:customStyle="1" w:styleId="85">
    <w:name w:val="标题5 Char Char"/>
    <w:link w:val="86"/>
    <w:qFormat/>
    <w:uiPriority w:val="0"/>
    <w:rPr>
      <w:rFonts w:ascii="Arial" w:hAnsi="Arial"/>
      <w:b/>
      <w:bCs/>
      <w:sz w:val="24"/>
      <w:szCs w:val="32"/>
      <w:lang w:bidi="ar-SA"/>
    </w:rPr>
  </w:style>
  <w:style w:type="paragraph" w:customStyle="1" w:styleId="86">
    <w:name w:val="标题5"/>
    <w:basedOn w:val="5"/>
    <w:link w:val="85"/>
    <w:qFormat/>
    <w:uiPriority w:val="0"/>
    <w:pPr>
      <w:spacing w:before="260" w:after="260" w:line="413" w:lineRule="auto"/>
    </w:pPr>
    <w:rPr>
      <w:rFonts w:ascii="Arial" w:hAnsi="Arial" w:eastAsia="Times New Roman"/>
      <w:kern w:val="0"/>
    </w:rPr>
  </w:style>
  <w:style w:type="character" w:customStyle="1" w:styleId="87">
    <w:name w:val="引用 Char1"/>
    <w:qFormat/>
    <w:uiPriority w:val="0"/>
    <w:rPr>
      <w:i/>
      <w:iCs/>
      <w:color w:val="000000"/>
      <w:kern w:val="2"/>
      <w:sz w:val="21"/>
      <w:szCs w:val="24"/>
    </w:rPr>
  </w:style>
  <w:style w:type="character" w:customStyle="1" w:styleId="88">
    <w:name w:val="font11"/>
    <w:qFormat/>
    <w:uiPriority w:val="0"/>
    <w:rPr>
      <w:rFonts w:hint="eastAsia" w:ascii="宋体" w:hAnsi="宋体" w:eastAsia="宋体"/>
      <w:color w:val="FF0000"/>
      <w:sz w:val="22"/>
      <w:szCs w:val="22"/>
      <w:u w:val="none"/>
    </w:rPr>
  </w:style>
  <w:style w:type="character" w:customStyle="1" w:styleId="89">
    <w:name w:val="日期 Char1"/>
    <w:qFormat/>
    <w:uiPriority w:val="0"/>
    <w:rPr>
      <w:kern w:val="2"/>
      <w:sz w:val="21"/>
      <w:szCs w:val="22"/>
    </w:rPr>
  </w:style>
  <w:style w:type="character" w:customStyle="1" w:styleId="90">
    <w:name w:val="明显引用 Char1"/>
    <w:qFormat/>
    <w:uiPriority w:val="0"/>
    <w:rPr>
      <w:b/>
      <w:bCs/>
      <w:i/>
      <w:iCs/>
      <w:color w:val="4F81BD"/>
      <w:kern w:val="2"/>
      <w:sz w:val="21"/>
      <w:szCs w:val="24"/>
    </w:rPr>
  </w:style>
  <w:style w:type="character" w:customStyle="1" w:styleId="91">
    <w:name w:val="副标题 Char1"/>
    <w:qFormat/>
    <w:uiPriority w:val="0"/>
    <w:rPr>
      <w:rFonts w:ascii="Cambria" w:hAnsi="Cambria" w:cs="Times New Roman"/>
      <w:b/>
      <w:bCs/>
      <w:kern w:val="28"/>
      <w:sz w:val="32"/>
      <w:szCs w:val="32"/>
    </w:rPr>
  </w:style>
  <w:style w:type="character" w:customStyle="1" w:styleId="92">
    <w:name w:val="批注框文本 Char1"/>
    <w:qFormat/>
    <w:uiPriority w:val="0"/>
    <w:rPr>
      <w:kern w:val="2"/>
      <w:sz w:val="18"/>
      <w:szCs w:val="18"/>
    </w:rPr>
  </w:style>
  <w:style w:type="character" w:customStyle="1" w:styleId="93">
    <w:name w:val="纯文本 Char"/>
    <w:qFormat/>
    <w:uiPriority w:val="0"/>
    <w:rPr>
      <w:rFonts w:ascii="Arial" w:hAnsi="Courier New" w:eastAsia="Arial"/>
      <w:kern w:val="2"/>
      <w:sz w:val="21"/>
      <w:lang w:val="en-US" w:eastAsia="zh-CN" w:bidi="ar-SA"/>
    </w:rPr>
  </w:style>
  <w:style w:type="character" w:customStyle="1" w:styleId="94">
    <w:name w:val="引用 Char"/>
    <w:link w:val="95"/>
    <w:qFormat/>
    <w:uiPriority w:val="0"/>
    <w:rPr>
      <w:i/>
      <w:iCs/>
      <w:color w:val="000000"/>
      <w:kern w:val="2"/>
      <w:sz w:val="21"/>
      <w:szCs w:val="22"/>
      <w:lang w:bidi="ar-SA"/>
    </w:rPr>
  </w:style>
  <w:style w:type="paragraph" w:styleId="95">
    <w:name w:val="Quote"/>
    <w:basedOn w:val="1"/>
    <w:next w:val="1"/>
    <w:link w:val="94"/>
    <w:qFormat/>
    <w:uiPriority w:val="0"/>
    <w:rPr>
      <w:rFonts w:eastAsia="Times New Roman"/>
      <w:i/>
      <w:iCs/>
      <w:color w:val="000000"/>
      <w:szCs w:val="22"/>
    </w:rPr>
  </w:style>
  <w:style w:type="character" w:customStyle="1" w:styleId="96">
    <w:name w:val="文档结构图 Char1"/>
    <w:qFormat/>
    <w:uiPriority w:val="0"/>
    <w:rPr>
      <w:rFonts w:ascii="宋体"/>
      <w:kern w:val="2"/>
      <w:sz w:val="18"/>
      <w:szCs w:val="18"/>
    </w:rPr>
  </w:style>
  <w:style w:type="character" w:customStyle="1" w:styleId="97">
    <w:name w:val="_Style 96"/>
    <w:qFormat/>
    <w:uiPriority w:val="0"/>
    <w:rPr>
      <w:b/>
      <w:bCs/>
      <w:smallCaps/>
      <w:spacing w:val="5"/>
    </w:rPr>
  </w:style>
  <w:style w:type="character" w:customStyle="1" w:styleId="98">
    <w:name w:val="批注文字 Char Char"/>
    <w:qFormat/>
    <w:uiPriority w:val="0"/>
    <w:rPr>
      <w:rFonts w:ascii="宋体" w:hAnsi="Times New Roman" w:eastAsia="宋体" w:cs="Times New Roman"/>
      <w:sz w:val="28"/>
      <w:szCs w:val="20"/>
    </w:rPr>
  </w:style>
  <w:style w:type="character" w:customStyle="1" w:styleId="99">
    <w:name w:val="批注主题 Char1"/>
    <w:qFormat/>
    <w:uiPriority w:val="0"/>
    <w:rPr>
      <w:b/>
      <w:bCs/>
      <w:kern w:val="2"/>
      <w:sz w:val="21"/>
      <w:szCs w:val="22"/>
    </w:rPr>
  </w:style>
  <w:style w:type="paragraph" w:customStyle="1" w:styleId="100">
    <w:name w:val="Normal"/>
    <w:qFormat/>
    <w:uiPriority w:val="0"/>
    <w:pPr>
      <w:widowControl w:val="0"/>
      <w:adjustRightInd w:val="0"/>
      <w:spacing w:line="312" w:lineRule="atLeast"/>
      <w:jc w:val="both"/>
      <w:textAlignment w:val="baseline"/>
    </w:pPr>
    <w:rPr>
      <w:rFonts w:ascii="Arial" w:hAnsi="Times New Roman" w:eastAsia="宋体" w:cs="Times New Roman"/>
      <w:sz w:val="34"/>
      <w:lang w:val="en-US" w:eastAsia="zh-CN" w:bidi="ar-SA"/>
    </w:rPr>
  </w:style>
  <w:style w:type="paragraph" w:customStyle="1" w:styleId="10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2">
    <w:name w:val="目录文字"/>
    <w:basedOn w:val="1"/>
    <w:qFormat/>
    <w:uiPriority w:val="0"/>
    <w:pPr>
      <w:widowControl/>
      <w:spacing w:line="480" w:lineRule="auto"/>
      <w:jc w:val="left"/>
    </w:pPr>
    <w:rPr>
      <w:rFonts w:ascii="Arial" w:hAnsi="Arial"/>
      <w:kern w:val="0"/>
      <w:sz w:val="24"/>
      <w:szCs w:val="20"/>
    </w:rPr>
  </w:style>
  <w:style w:type="paragraph" w:customStyle="1" w:styleId="103">
    <w:name w:val="Char Char Char Char"/>
    <w:basedOn w:val="1"/>
    <w:qFormat/>
    <w:uiPriority w:val="0"/>
    <w:rPr>
      <w:sz w:val="30"/>
    </w:rPr>
  </w:style>
  <w:style w:type="paragraph" w:customStyle="1" w:styleId="104">
    <w:name w:val="_Style 103"/>
    <w:qFormat/>
    <w:uiPriority w:val="0"/>
    <w:rPr>
      <w:rFonts w:ascii="Times New Roman" w:hAnsi="Times New Roman" w:eastAsia="宋体" w:cs="Times New Roman"/>
      <w:kern w:val="2"/>
      <w:sz w:val="21"/>
      <w:szCs w:val="24"/>
      <w:lang w:val="en-US" w:eastAsia="zh-CN" w:bidi="ar-SA"/>
    </w:rPr>
  </w:style>
  <w:style w:type="paragraph" w:customStyle="1" w:styleId="105">
    <w:name w:val=" Char Char1 Char Char Char Char Char Char Char Char Char Char"/>
    <w:basedOn w:val="1"/>
    <w:qFormat/>
    <w:uiPriority w:val="0"/>
    <w:rPr>
      <w:rFonts w:ascii="Tahoma" w:hAnsi="Tahoma"/>
      <w:sz w:val="24"/>
      <w:szCs w:val="20"/>
    </w:rPr>
  </w:style>
  <w:style w:type="paragraph" w:customStyle="1" w:styleId="10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7">
    <w:name w:val="菲页1"/>
    <w:basedOn w:val="3"/>
    <w:qFormat/>
    <w:uiPriority w:val="0"/>
    <w:rPr>
      <w:rFonts w:ascii="Tahoma"/>
      <w:b w:val="0"/>
      <w:sz w:val="52"/>
    </w:rPr>
  </w:style>
  <w:style w:type="paragraph" w:customStyle="1" w:styleId="10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0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1">
    <w:name w:val="目录"/>
    <w:basedOn w:val="1"/>
    <w:qFormat/>
    <w:uiPriority w:val="0"/>
    <w:pPr>
      <w:widowControl/>
      <w:jc w:val="center"/>
    </w:pPr>
    <w:rPr>
      <w:rFonts w:ascii="Arial"/>
      <w:b/>
      <w:kern w:val="0"/>
      <w:sz w:val="36"/>
      <w:szCs w:val="20"/>
    </w:rPr>
  </w:style>
  <w:style w:type="paragraph" w:customStyle="1" w:styleId="112">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eastAsia="黑体" w:cs="宋体"/>
      <w:b w:val="0"/>
      <w:kern w:val="2"/>
      <w:sz w:val="28"/>
    </w:rPr>
  </w:style>
  <w:style w:type="paragraph" w:customStyle="1" w:styleId="113">
    <w:name w:val="样式 正文缩进 + 首行缩进:  2 字符"/>
    <w:basedOn w:val="4"/>
    <w:qFormat/>
    <w:uiPriority w:val="0"/>
    <w:pPr>
      <w:widowControl w:val="0"/>
      <w:spacing w:before="160" w:after="160" w:line="360" w:lineRule="auto"/>
      <w:ind w:firstLine="480" w:firstLineChars="200"/>
      <w:jc w:val="both"/>
    </w:pPr>
    <w:rPr>
      <w:rFonts w:ascii="宋体" w:hAnsi="Times New Roman" w:eastAsia="宋体"/>
      <w:kern w:val="2"/>
      <w:sz w:val="24"/>
      <w:szCs w:val="24"/>
    </w:rPr>
  </w:style>
  <w:style w:type="paragraph" w:customStyle="1" w:styleId="11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5">
    <w:name w:val="菲页(卷)"/>
    <w:basedOn w:val="2"/>
    <w:next w:val="100"/>
    <w:qFormat/>
    <w:uiPriority w:val="0"/>
    <w:pPr>
      <w:outlineLvl w:val="1"/>
    </w:pPr>
  </w:style>
  <w:style w:type="paragraph" w:customStyle="1" w:styleId="116">
    <w:name w:val="Char Char1 Char Char Char Char Char Char Char Char Char Char"/>
    <w:basedOn w:val="1"/>
    <w:qFormat/>
    <w:uiPriority w:val="0"/>
    <w:rPr>
      <w:rFonts w:ascii="Tahoma" w:hAnsi="Tahoma"/>
      <w:sz w:val="24"/>
      <w:szCs w:val="20"/>
    </w:rPr>
  </w:style>
  <w:style w:type="paragraph" w:customStyle="1" w:styleId="117">
    <w:name w:val="菲页2"/>
    <w:basedOn w:val="5"/>
    <w:qFormat/>
    <w:uiPriority w:val="0"/>
    <w:pPr>
      <w:widowControl/>
      <w:numPr>
        <w:ilvl w:val="2"/>
        <w:numId w:val="0"/>
      </w:numPr>
      <w:tabs>
        <w:tab w:val="left" w:pos="720"/>
      </w:tabs>
      <w:spacing w:before="120" w:after="120"/>
      <w:ind w:left="720" w:hanging="720"/>
      <w:jc w:val="center"/>
    </w:pPr>
    <w:rPr>
      <w:rFonts w:ascii="Tahoma" w:hAnsi="Arial" w:eastAsia="Tahoma"/>
      <w:b w:val="0"/>
      <w:bCs w:val="0"/>
      <w:kern w:val="0"/>
      <w:sz w:val="44"/>
      <w:szCs w:val="20"/>
    </w:rPr>
  </w:style>
  <w:style w:type="paragraph" w:customStyle="1" w:styleId="118">
    <w:name w:val="_Style 117"/>
    <w:basedOn w:val="2"/>
    <w:next w:val="1"/>
    <w:qFormat/>
    <w:uiPriority w:val="0"/>
    <w:pPr>
      <w:keepLines/>
      <w:widowControl w:val="0"/>
      <w:tabs>
        <w:tab w:val="clear" w:pos="432"/>
      </w:tabs>
      <w:spacing w:before="340" w:after="330" w:line="578" w:lineRule="auto"/>
      <w:ind w:left="0" w:firstLine="0"/>
      <w:jc w:val="both"/>
      <w:outlineLvl w:val="9"/>
    </w:pPr>
    <w:rPr>
      <w:rFonts w:ascii="Times New Roman" w:eastAsia="宋体"/>
      <w:b/>
      <w:bCs/>
      <w:kern w:val="44"/>
      <w:sz w:val="44"/>
      <w:szCs w:val="44"/>
    </w:rPr>
  </w:style>
  <w:style w:type="paragraph" w:customStyle="1" w:styleId="119">
    <w:name w:val=" Char Char Char Char Char Char Char Char1 Char"/>
    <w:basedOn w:val="1"/>
    <w:qFormat/>
    <w:uiPriority w:val="0"/>
    <w:rPr>
      <w:rFonts w:ascii="Tahoma" w:hAnsi="Tahoma"/>
      <w:sz w:val="24"/>
      <w:szCs w:val="20"/>
    </w:rPr>
  </w:style>
  <w:style w:type="paragraph" w:customStyle="1" w:styleId="120">
    <w:name w:val="样式1"/>
    <w:basedOn w:val="1"/>
    <w:qFormat/>
    <w:uiPriority w:val="0"/>
    <w:pPr>
      <w:spacing w:before="120" w:after="120" w:line="300" w:lineRule="auto"/>
    </w:pPr>
    <w:rPr>
      <w:rFonts w:ascii="Arial" w:hAnsi="Arial"/>
      <w:b/>
      <w:sz w:val="24"/>
      <w:szCs w:val="20"/>
    </w:rPr>
  </w:style>
  <w:style w:type="paragraph" w:customStyle="1" w:styleId="121">
    <w:name w:val="xl48"/>
    <w:basedOn w:val="1"/>
    <w:qFormat/>
    <w:uiPriority w:val="0"/>
    <w:pPr>
      <w:widowControl/>
      <w:spacing w:before="100" w:beforeAutospacing="1" w:after="100" w:afterAutospacing="1"/>
      <w:jc w:val="center"/>
      <w:textAlignment w:val="center"/>
    </w:pPr>
    <w:rPr>
      <w:b/>
      <w:bCs/>
      <w:kern w:val="0"/>
      <w:sz w:val="32"/>
      <w:szCs w:val="32"/>
    </w:rPr>
  </w:style>
  <w:style w:type="paragraph" w:customStyle="1" w:styleId="122">
    <w:name w:val="Char1 Char Char Char"/>
    <w:basedOn w:val="1"/>
    <w:qFormat/>
    <w:uiPriority w:val="0"/>
    <w:rPr>
      <w:rFonts w:ascii="Tahoma" w:hAnsi="Tahoma"/>
      <w:sz w:val="24"/>
      <w:szCs w:val="20"/>
    </w:rPr>
  </w:style>
  <w:style w:type="paragraph" w:customStyle="1" w:styleId="123">
    <w:name w:val=" Char Char Char"/>
    <w:basedOn w:val="1"/>
    <w:qFormat/>
    <w:uiPriority w:val="0"/>
    <w:rPr>
      <w:rFonts w:ascii="Tahoma" w:hAnsi="Tahoma"/>
      <w:sz w:val="24"/>
      <w:szCs w:val="20"/>
    </w:rPr>
  </w:style>
  <w:style w:type="paragraph" w:customStyle="1" w:styleId="124">
    <w:name w:val="列出段落1"/>
    <w:basedOn w:val="1"/>
    <w:qFormat/>
    <w:uiPriority w:val="0"/>
    <w:pPr>
      <w:ind w:firstLine="420" w:firstLineChars="200"/>
    </w:pPr>
    <w:rPr>
      <w:rFonts w:ascii="Calibri" w:hAnsi="Calibri"/>
      <w:szCs w:val="22"/>
    </w:rPr>
  </w:style>
  <w:style w:type="paragraph" w:customStyle="1" w:styleId="125">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27698</Words>
  <Characters>29166</Characters>
  <Lines>658</Lines>
  <Paragraphs>185</Paragraphs>
  <TotalTime>6</TotalTime>
  <ScaleCrop>false</ScaleCrop>
  <LinksUpToDate>false</LinksUpToDate>
  <CharactersWithSpaces>33155</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2020-02-01T11:58:00Z</dcterms:created>
  <dc:creator>E</dc:creator>
  <cp:lastModifiedBy>greatwall</cp:lastModifiedBy>
  <cp:lastPrinted>2025-09-20T09:45:00Z</cp:lastPrinted>
  <dcterms:modified xsi:type="dcterms:W3CDTF">2025-10-15T15:32:17Z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76255B7ABC0A85223CDACB680F56C73A</vt:lpwstr>
  </property>
</Properties>
</file>