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0D649">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6DA2727C">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06C1D308">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宋体" w:eastAsia="方正小标宋简体"/>
          <w:b/>
          <w:sz w:val="44"/>
          <w:szCs w:val="44"/>
        </w:rPr>
      </w:pPr>
      <w:r>
        <w:rPr>
          <w:rFonts w:hint="eastAsia" w:ascii="方正小标宋简体" w:hAnsi="宋体" w:eastAsia="方正小标宋简体"/>
          <w:b/>
          <w:sz w:val="44"/>
          <w:szCs w:val="44"/>
        </w:rPr>
        <w:t>行政处罚决定书</w:t>
      </w:r>
    </w:p>
    <w:p w14:paraId="3CD1423C">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 w:eastAsia="仿宋_GB2312"/>
          <w:color w:val="000000"/>
          <w:sz w:val="32"/>
          <w:szCs w:val="32"/>
        </w:rPr>
      </w:pPr>
    </w:p>
    <w:p w14:paraId="6BBBBBD5">
      <w:pPr>
        <w:keepNext w:val="0"/>
        <w:keepLines w:val="0"/>
        <w:pageBreakBefore w:val="0"/>
        <w:widowControl w:val="0"/>
        <w:kinsoku/>
        <w:wordWrap/>
        <w:overflowPunct/>
        <w:topLinePunct w:val="0"/>
        <w:autoSpaceDE/>
        <w:autoSpaceDN/>
        <w:bidi w:val="0"/>
        <w:spacing w:line="578" w:lineRule="exact"/>
        <w:jc w:val="left"/>
        <w:textAlignment w:val="auto"/>
        <w:rPr>
          <w:rFonts w:ascii="仿宋_GB2312" w:hAnsi="仿宋" w:eastAsia="仿宋_GB2312"/>
          <w:color w:val="000000"/>
          <w:sz w:val="32"/>
          <w:szCs w:val="32"/>
          <w:highlight w:val="none"/>
        </w:rPr>
      </w:pPr>
      <w:r>
        <w:rPr>
          <w:rFonts w:hint="eastAsia" w:ascii="仿宋" w:hAnsi="仿宋" w:eastAsia="仿宋"/>
          <w:sz w:val="32"/>
          <w:szCs w:val="32"/>
        </w:rPr>
        <w:t xml:space="preserve">   </w:t>
      </w:r>
      <w:r>
        <w:rPr>
          <w:rFonts w:hint="eastAsia" w:ascii="仿宋" w:hAnsi="仿宋" w:eastAsia="仿宋"/>
          <w:sz w:val="32"/>
          <w:szCs w:val="32"/>
          <w:highlight w:val="none"/>
        </w:rPr>
        <w:t xml:space="preserve">                               </w:t>
      </w:r>
      <w:r>
        <w:rPr>
          <w:rFonts w:hint="eastAsia" w:ascii="仿宋_GB2312" w:hAnsi="仿宋" w:eastAsia="仿宋_GB2312"/>
          <w:color w:val="000000"/>
          <w:sz w:val="32"/>
          <w:szCs w:val="32"/>
          <w:highlight w:val="none"/>
        </w:rPr>
        <w:t>江江环罚〔202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28</w:t>
      </w:r>
      <w:r>
        <w:rPr>
          <w:rFonts w:hint="eastAsia" w:ascii="仿宋_GB2312" w:hAnsi="仿宋" w:eastAsia="仿宋_GB2312"/>
          <w:color w:val="000000"/>
          <w:sz w:val="32"/>
          <w:szCs w:val="32"/>
          <w:highlight w:val="none"/>
        </w:rPr>
        <w:t>号</w:t>
      </w:r>
    </w:p>
    <w:p w14:paraId="00570BAA">
      <w:pPr>
        <w:keepNext w:val="0"/>
        <w:keepLines w:val="0"/>
        <w:pageBreakBefore w:val="0"/>
        <w:widowControl w:val="0"/>
        <w:kinsoku/>
        <w:wordWrap/>
        <w:overflowPunct/>
        <w:topLinePunct w:val="0"/>
        <w:autoSpaceDE/>
        <w:autoSpaceDN/>
        <w:bidi w:val="0"/>
        <w:adjustRightInd w:val="0"/>
        <w:snapToGrid w:val="0"/>
        <w:spacing w:line="578" w:lineRule="exact"/>
        <w:jc w:val="left"/>
        <w:textAlignment w:val="auto"/>
        <w:rPr>
          <w:rFonts w:ascii="仿宋" w:hAnsi="仿宋" w:eastAsia="仿宋"/>
          <w:b/>
          <w:sz w:val="18"/>
          <w:szCs w:val="18"/>
          <w:highlight w:val="none"/>
        </w:rPr>
      </w:pPr>
    </w:p>
    <w:p w14:paraId="756D22D6">
      <w:pPr>
        <w:keepNext w:val="0"/>
        <w:keepLines w:val="0"/>
        <w:pageBreakBefore w:val="0"/>
        <w:widowControl w:val="0"/>
        <w:kinsoku/>
        <w:wordWrap/>
        <w:overflowPunct/>
        <w:topLinePunct w:val="0"/>
        <w:autoSpaceDE/>
        <w:autoSpaceDN/>
        <w:bidi w:val="0"/>
        <w:spacing w:line="578" w:lineRule="exact"/>
        <w:jc w:val="lef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rPr>
        <w:t>当事人：</w:t>
      </w:r>
      <w:r>
        <w:rPr>
          <w:rFonts w:hint="eastAsia" w:ascii="仿宋_GB2312" w:hAnsi="仿宋" w:eastAsia="仿宋_GB2312" w:cs="Times New Roman"/>
          <w:sz w:val="32"/>
          <w:szCs w:val="32"/>
          <w:highlight w:val="none"/>
          <w:lang w:eastAsia="zh-CN" w:bidi="ar-SA"/>
        </w:rPr>
        <w:t>江门市毅豪电器有限公司</w:t>
      </w:r>
    </w:p>
    <w:p w14:paraId="4F71A9EE">
      <w:pPr>
        <w:keepNext w:val="0"/>
        <w:keepLines w:val="0"/>
        <w:pageBreakBefore w:val="0"/>
        <w:widowControl w:val="0"/>
        <w:kinsoku/>
        <w:wordWrap/>
        <w:overflowPunct/>
        <w:topLinePunct w:val="0"/>
        <w:autoSpaceDE/>
        <w:autoSpaceDN/>
        <w:bidi w:val="0"/>
        <w:spacing w:line="578" w:lineRule="exact"/>
        <w:jc w:val="left"/>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rPr>
        <w:t>法定代表人：</w:t>
      </w:r>
      <w:r>
        <w:rPr>
          <w:rFonts w:hint="eastAsia" w:ascii="仿宋_GB2312" w:hAnsi="仿宋" w:eastAsia="仿宋_GB2312" w:cs="Times New Roman"/>
          <w:sz w:val="32"/>
          <w:szCs w:val="32"/>
          <w:highlight w:val="none"/>
          <w:lang w:val="en-US" w:eastAsia="zh-CN" w:bidi="ar-SA"/>
        </w:rPr>
        <w:t>杨农军</w:t>
      </w:r>
    </w:p>
    <w:p w14:paraId="67F79198">
      <w:pPr>
        <w:keepNext w:val="0"/>
        <w:keepLines w:val="0"/>
        <w:pageBreakBefore w:val="0"/>
        <w:widowControl w:val="0"/>
        <w:kinsoku/>
        <w:wordWrap/>
        <w:overflowPunct/>
        <w:topLinePunct w:val="0"/>
        <w:autoSpaceDE/>
        <w:autoSpaceDN/>
        <w:bidi w:val="0"/>
        <w:spacing w:line="578" w:lineRule="exact"/>
        <w:jc w:val="lef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rPr>
        <w:t>统一社会信用代码：</w:t>
      </w:r>
      <w:r>
        <w:rPr>
          <w:rFonts w:hint="eastAsia" w:ascii="仿宋_GB2312" w:hAnsi="仿宋" w:eastAsia="仿宋_GB2312" w:cs="Times New Roman"/>
          <w:sz w:val="32"/>
          <w:szCs w:val="32"/>
          <w:highlight w:val="none"/>
          <w:lang w:val="en-US" w:eastAsia="zh-CN" w:bidi="ar-SA"/>
        </w:rPr>
        <w:t>91440704MA52WX0W4P</w:t>
      </w:r>
    </w:p>
    <w:p w14:paraId="1A9E6D8A">
      <w:pPr>
        <w:keepNext w:val="0"/>
        <w:keepLines w:val="0"/>
        <w:pageBreakBefore w:val="0"/>
        <w:widowControl w:val="0"/>
        <w:kinsoku/>
        <w:wordWrap/>
        <w:overflowPunct/>
        <w:topLinePunct w:val="0"/>
        <w:autoSpaceDE/>
        <w:autoSpaceDN/>
        <w:bidi w:val="0"/>
        <w:spacing w:line="578" w:lineRule="exact"/>
        <w:ind w:left="960" w:hanging="960" w:hangingChars="300"/>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住所：</w:t>
      </w:r>
      <w:r>
        <w:rPr>
          <w:rFonts w:hint="eastAsia" w:ascii="仿宋_GB2312" w:hAnsi="仿宋" w:eastAsia="仿宋_GB2312" w:cs="Times New Roman"/>
          <w:sz w:val="32"/>
          <w:szCs w:val="32"/>
          <w:highlight w:val="none"/>
          <w:lang w:val="en-US" w:eastAsia="zh-CN" w:bidi="ar-SA"/>
        </w:rPr>
        <w:t>江门市高新区科苑路四大工业园5号楼4楼东厂房</w:t>
      </w:r>
    </w:p>
    <w:p w14:paraId="326E0E39">
      <w:pPr>
        <w:keepNext w:val="0"/>
        <w:keepLines w:val="0"/>
        <w:pageBreakBefore w:val="0"/>
        <w:widowControl w:val="0"/>
        <w:kinsoku/>
        <w:wordWrap/>
        <w:overflowPunct/>
        <w:topLinePunct w:val="0"/>
        <w:autoSpaceDE/>
        <w:autoSpaceDN/>
        <w:bidi w:val="0"/>
        <w:spacing w:line="578" w:lineRule="exact"/>
        <w:ind w:left="0"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一、调查情况及发现的环境违法事实、证据</w:t>
      </w:r>
    </w:p>
    <w:p w14:paraId="3FD29E34">
      <w:pPr>
        <w:keepNext w:val="0"/>
        <w:keepLines w:val="0"/>
        <w:pageBreakBefore w:val="0"/>
        <w:widowControl w:val="0"/>
        <w:kinsoku/>
        <w:wordWrap/>
        <w:overflowPunct/>
        <w:topLinePunct w:val="0"/>
        <w:autoSpaceDE/>
        <w:autoSpaceDN/>
        <w:bidi w:val="0"/>
        <w:spacing w:line="578" w:lineRule="exact"/>
        <w:ind w:left="0" w:leftChars="0" w:firstLine="246" w:firstLineChars="77"/>
        <w:textAlignment w:val="auto"/>
        <w:rPr>
          <w:rFonts w:hint="eastAsia" w:ascii="仿宋_GB2312" w:hAnsi="仿宋" w:eastAsia="仿宋_GB2312" w:cs="Times New Roman"/>
          <w:sz w:val="32"/>
          <w:szCs w:val="32"/>
          <w:highlight w:val="none"/>
        </w:rPr>
      </w:pPr>
      <w:bookmarkStart w:id="0" w:name="_GoBack"/>
      <w:bookmarkEnd w:id="0"/>
      <w:r>
        <w:rPr>
          <w:rFonts w:hint="eastAsia" w:ascii="仿宋_GB2312" w:hAnsi="仿宋" w:eastAsia="仿宋_GB2312" w:cs="Times New Roman"/>
          <w:sz w:val="32"/>
          <w:szCs w:val="32"/>
          <w:highlight w:val="none"/>
          <w:lang w:val="en-US" w:eastAsia="zh-CN"/>
        </w:rPr>
        <w:t>2025年5月21日，我局执法人员对你单位进行现场检查，并委托了广东产品质量监督检验研究院对你单位喷漆工序正在使用的已混合均匀的涂料[样品名称分别为SL3803仿电镀银、SL30849旋钮灰金]进行采样检测。</w:t>
      </w:r>
      <w:r>
        <w:rPr>
          <w:rFonts w:hint="eastAsia" w:ascii="仿宋_GB2312" w:hAnsi="仿宋" w:eastAsia="仿宋_GB2312" w:cs="Times New Roman"/>
          <w:sz w:val="32"/>
          <w:szCs w:val="32"/>
          <w:highlight w:val="none"/>
        </w:rPr>
        <w:t>根据广东产品质量监督检验研究院出具的《检测报告》（报告编号：SH</w:t>
      </w:r>
      <w:r>
        <w:rPr>
          <w:rFonts w:hint="eastAsia" w:ascii="仿宋_GB2312" w:hAnsi="仿宋" w:eastAsia="仿宋_GB2312" w:cs="Times New Roman"/>
          <w:sz w:val="32"/>
          <w:szCs w:val="32"/>
          <w:highlight w:val="none"/>
          <w:lang w:val="en-US" w:eastAsia="zh-CN"/>
        </w:rPr>
        <w:t>2501648、</w:t>
      </w:r>
      <w:r>
        <w:rPr>
          <w:rFonts w:hint="eastAsia" w:ascii="仿宋_GB2312" w:hAnsi="仿宋" w:eastAsia="仿宋_GB2312" w:cs="Times New Roman"/>
          <w:sz w:val="32"/>
          <w:szCs w:val="32"/>
          <w:highlight w:val="none"/>
        </w:rPr>
        <w:t>SH</w:t>
      </w:r>
      <w:r>
        <w:rPr>
          <w:rFonts w:hint="eastAsia" w:ascii="仿宋_GB2312" w:hAnsi="仿宋" w:eastAsia="仿宋_GB2312" w:cs="Times New Roman"/>
          <w:sz w:val="32"/>
          <w:szCs w:val="32"/>
          <w:highlight w:val="none"/>
          <w:lang w:val="en-US" w:eastAsia="zh-CN"/>
        </w:rPr>
        <w:t>2501649</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《检测结果分析报告》[报告编号：广质涂（202</w:t>
      </w:r>
      <w:r>
        <w:rPr>
          <w:rFonts w:hint="eastAsia" w:ascii="仿宋_GB2312" w:hAnsi="仿宋" w:eastAsia="仿宋_GB2312" w:cs="Times New Roman"/>
          <w:sz w:val="32"/>
          <w:szCs w:val="32"/>
          <w:highlight w:val="none"/>
          <w:lang w:val="en-US" w:eastAsia="zh-CN"/>
        </w:rPr>
        <w:t>5</w:t>
      </w:r>
      <w:r>
        <w:rPr>
          <w:rFonts w:hint="eastAsia" w:ascii="仿宋_GB2312" w:hAnsi="仿宋" w:eastAsia="仿宋_GB2312" w:cs="Times New Roman"/>
          <w:sz w:val="32"/>
          <w:szCs w:val="32"/>
          <w:highlight w:val="none"/>
        </w:rPr>
        <w:t>）-SH</w:t>
      </w:r>
      <w:r>
        <w:rPr>
          <w:rFonts w:hint="eastAsia" w:ascii="仿宋_GB2312" w:hAnsi="仿宋" w:eastAsia="仿宋_GB2312" w:cs="Times New Roman"/>
          <w:sz w:val="32"/>
          <w:szCs w:val="32"/>
          <w:highlight w:val="none"/>
          <w:lang w:val="en-US" w:eastAsia="zh-CN"/>
        </w:rPr>
        <w:t>2501648、</w:t>
      </w:r>
      <w:r>
        <w:rPr>
          <w:rFonts w:hint="eastAsia" w:ascii="仿宋_GB2312" w:hAnsi="仿宋" w:eastAsia="仿宋_GB2312" w:cs="Times New Roman"/>
          <w:sz w:val="32"/>
          <w:szCs w:val="32"/>
          <w:highlight w:val="none"/>
        </w:rPr>
        <w:t>广质涂（202</w:t>
      </w:r>
      <w:r>
        <w:rPr>
          <w:rFonts w:hint="eastAsia" w:ascii="仿宋_GB2312" w:hAnsi="仿宋" w:eastAsia="仿宋_GB2312" w:cs="Times New Roman"/>
          <w:sz w:val="32"/>
          <w:szCs w:val="32"/>
          <w:highlight w:val="none"/>
          <w:lang w:val="en-US" w:eastAsia="zh-CN"/>
        </w:rPr>
        <w:t>5</w:t>
      </w:r>
      <w:r>
        <w:rPr>
          <w:rFonts w:hint="eastAsia" w:ascii="仿宋_GB2312" w:hAnsi="仿宋" w:eastAsia="仿宋_GB2312" w:cs="Times New Roman"/>
          <w:sz w:val="32"/>
          <w:szCs w:val="32"/>
          <w:highlight w:val="none"/>
        </w:rPr>
        <w:t>）-SH</w:t>
      </w:r>
      <w:r>
        <w:rPr>
          <w:rFonts w:hint="eastAsia" w:ascii="仿宋_GB2312" w:hAnsi="仿宋" w:eastAsia="仿宋_GB2312" w:cs="Times New Roman"/>
          <w:sz w:val="32"/>
          <w:szCs w:val="32"/>
          <w:highlight w:val="none"/>
          <w:lang w:val="en-US" w:eastAsia="zh-CN"/>
        </w:rPr>
        <w:t>2501649</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，你单位</w:t>
      </w:r>
      <w:r>
        <w:rPr>
          <w:rFonts w:hint="eastAsia" w:ascii="仿宋_GB2312" w:hAnsi="仿宋" w:eastAsia="仿宋_GB2312" w:cs="Times New Roman"/>
          <w:sz w:val="32"/>
          <w:szCs w:val="32"/>
          <w:highlight w:val="none"/>
          <w:lang w:val="en-US" w:eastAsia="zh-CN"/>
        </w:rPr>
        <w:t>喷漆</w:t>
      </w:r>
      <w:r>
        <w:rPr>
          <w:rFonts w:hint="eastAsia" w:ascii="仿宋_GB2312" w:hAnsi="仿宋" w:eastAsia="仿宋_GB2312" w:cs="Times New Roman"/>
          <w:sz w:val="32"/>
          <w:szCs w:val="32"/>
          <w:highlight w:val="none"/>
          <w:lang w:eastAsia="zh-CN"/>
        </w:rPr>
        <w:t>工序使用的</w:t>
      </w:r>
      <w:r>
        <w:rPr>
          <w:rFonts w:hint="eastAsia" w:ascii="仿宋_GB2312" w:hAnsi="仿宋" w:eastAsia="仿宋_GB2312" w:cs="Times New Roman"/>
          <w:sz w:val="32"/>
          <w:szCs w:val="32"/>
          <w:highlight w:val="none"/>
        </w:rPr>
        <w:t>已混合均匀的涂料</w:t>
      </w:r>
      <w:r>
        <w:rPr>
          <w:rFonts w:hint="eastAsia" w:ascii="仿宋_GB2312" w:hAnsi="仿宋" w:eastAsia="仿宋_GB2312" w:cs="Times New Roman"/>
          <w:sz w:val="32"/>
          <w:szCs w:val="32"/>
          <w:highlight w:val="none"/>
          <w:lang w:val="en-US" w:eastAsia="zh-CN"/>
        </w:rPr>
        <w:t>[样品名称分别为SL3803仿电镀银、SL30849旋钮灰金]</w:t>
      </w:r>
      <w:r>
        <w:rPr>
          <w:rFonts w:hint="eastAsia" w:ascii="仿宋_GB2312" w:hAnsi="仿宋" w:eastAsia="仿宋_GB2312" w:cs="Times New Roman"/>
          <w:sz w:val="32"/>
          <w:szCs w:val="32"/>
          <w:highlight w:val="none"/>
        </w:rPr>
        <w:t>VOCs含量</w:t>
      </w:r>
      <w:r>
        <w:rPr>
          <w:rFonts w:hint="eastAsia" w:ascii="仿宋_GB2312" w:hAnsi="仿宋" w:eastAsia="仿宋_GB2312" w:cs="Times New Roman"/>
          <w:sz w:val="32"/>
          <w:szCs w:val="32"/>
          <w:highlight w:val="none"/>
          <w:lang w:eastAsia="zh-CN"/>
        </w:rPr>
        <w:t>分别</w:t>
      </w:r>
      <w:r>
        <w:rPr>
          <w:rFonts w:hint="eastAsia" w:ascii="仿宋_GB2312" w:hAnsi="仿宋" w:eastAsia="仿宋_GB2312" w:cs="Times New Roman"/>
          <w:sz w:val="32"/>
          <w:szCs w:val="32"/>
          <w:highlight w:val="none"/>
        </w:rPr>
        <w:t>为</w:t>
      </w:r>
      <w:r>
        <w:rPr>
          <w:rFonts w:hint="eastAsia" w:ascii="仿宋_GB2312" w:hAnsi="仿宋" w:eastAsia="仿宋_GB2312" w:cs="Times New Roman"/>
          <w:sz w:val="32"/>
          <w:szCs w:val="32"/>
          <w:highlight w:val="none"/>
          <w:lang w:val="en-US" w:eastAsia="zh-CN"/>
        </w:rPr>
        <w:t>921</w:t>
      </w:r>
      <w:r>
        <w:rPr>
          <w:rFonts w:hint="eastAsia" w:ascii="仿宋_GB2312" w:hAnsi="仿宋" w:eastAsia="仿宋_GB2312" w:cs="Times New Roman"/>
          <w:sz w:val="32"/>
          <w:szCs w:val="32"/>
          <w:highlight w:val="none"/>
        </w:rPr>
        <w:t>g/L</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lang w:val="en-US" w:eastAsia="zh-CN"/>
        </w:rPr>
        <w:t>932</w:t>
      </w:r>
      <w:r>
        <w:rPr>
          <w:rFonts w:hint="eastAsia" w:ascii="仿宋_GB2312" w:hAnsi="仿宋" w:eastAsia="仿宋_GB2312" w:cs="Times New Roman"/>
          <w:sz w:val="32"/>
          <w:szCs w:val="32"/>
          <w:highlight w:val="none"/>
        </w:rPr>
        <w:t>g/L</w:t>
      </w:r>
      <w:r>
        <w:rPr>
          <w:rFonts w:hint="eastAsia" w:ascii="仿宋_GB2312" w:hAnsi="仿宋" w:eastAsia="仿宋_GB2312" w:cs="Times New Roman"/>
          <w:sz w:val="32"/>
          <w:szCs w:val="32"/>
          <w:highlight w:val="none"/>
          <w:lang w:eastAsia="zh-CN"/>
        </w:rPr>
        <w:t>。上述涂料</w:t>
      </w:r>
      <w:r>
        <w:rPr>
          <w:rFonts w:hint="eastAsia" w:ascii="仿宋_GB2312" w:hAnsi="仿宋" w:eastAsia="仿宋_GB2312" w:cs="Times New Roman"/>
          <w:sz w:val="32"/>
          <w:szCs w:val="32"/>
          <w:highlight w:val="none"/>
        </w:rPr>
        <w:t>VOCs</w:t>
      </w:r>
      <w:r>
        <w:rPr>
          <w:rFonts w:hint="eastAsia" w:ascii="仿宋_GB2312" w:hAnsi="仿宋" w:eastAsia="仿宋_GB2312" w:cs="Times New Roman"/>
          <w:sz w:val="32"/>
          <w:szCs w:val="32"/>
          <w:highlight w:val="none"/>
          <w:lang w:eastAsia="zh-CN"/>
        </w:rPr>
        <w:t>含量均</w:t>
      </w:r>
      <w:r>
        <w:rPr>
          <w:rFonts w:hint="eastAsia" w:ascii="仿宋_GB2312" w:hAnsi="仿宋" w:eastAsia="仿宋_GB2312" w:cs="Times New Roman"/>
          <w:sz w:val="32"/>
          <w:szCs w:val="32"/>
        </w:rPr>
        <w:t>超出</w:t>
      </w:r>
      <w:r>
        <w:rPr>
          <w:rFonts w:hint="eastAsia" w:ascii="仿宋_GB2312" w:hAnsi="仿宋" w:eastAsia="仿宋_GB2312" w:cs="Times New Roman"/>
          <w:sz w:val="32"/>
          <w:szCs w:val="32"/>
          <w:lang w:eastAsia="zh-CN"/>
        </w:rPr>
        <w:t>你单位《建设项目</w:t>
      </w:r>
      <w:r>
        <w:rPr>
          <w:rFonts w:hint="eastAsia" w:ascii="仿宋_GB2312" w:hAnsi="仿宋" w:eastAsia="仿宋_GB2312" w:cs="Times New Roman"/>
          <w:sz w:val="32"/>
          <w:szCs w:val="32"/>
        </w:rPr>
        <w:t>环境影响报告表</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中核定的</w:t>
      </w:r>
      <w:r>
        <w:rPr>
          <w:rFonts w:hint="eastAsia" w:ascii="仿宋_GB2312" w:hAnsi="仿宋" w:eastAsia="仿宋_GB2312" w:cs="Times New Roman"/>
          <w:sz w:val="32"/>
          <w:szCs w:val="32"/>
          <w:lang w:eastAsia="zh-CN"/>
        </w:rPr>
        <w:t>低挥发性有机物涂料</w:t>
      </w:r>
      <w:r>
        <w:rPr>
          <w:rFonts w:hint="eastAsia" w:ascii="仿宋_GB2312" w:hAnsi="仿宋" w:eastAsia="仿宋_GB2312" w:cs="Times New Roman"/>
          <w:sz w:val="32"/>
          <w:szCs w:val="32"/>
        </w:rPr>
        <w:t>VOCs含量要求（≤420g/L）</w:t>
      </w:r>
      <w:r>
        <w:rPr>
          <w:rFonts w:hint="eastAsia" w:ascii="仿宋_GB2312" w:hAnsi="仿宋" w:eastAsia="仿宋_GB2312" w:cs="Times New Roman"/>
          <w:sz w:val="32"/>
          <w:szCs w:val="32"/>
          <w:lang w:eastAsia="zh-CN"/>
        </w:rPr>
        <w:t>，</w:t>
      </w:r>
      <w:r>
        <w:rPr>
          <w:rFonts w:hint="eastAsia" w:ascii="仿宋_GB2312" w:hAnsi="仿宋" w:eastAsia="仿宋_GB2312" w:cs="Times New Roman"/>
          <w:snapToGrid/>
          <w:color w:val="000000"/>
          <w:kern w:val="2"/>
          <w:sz w:val="32"/>
          <w:szCs w:val="32"/>
          <w:lang w:val="en-US" w:eastAsia="zh-CN" w:bidi="ar-SA"/>
        </w:rPr>
        <w:t>即</w:t>
      </w:r>
      <w:r>
        <w:rPr>
          <w:rFonts w:hint="eastAsia" w:ascii="仿宋_GB2312" w:hAnsi="仿宋" w:eastAsia="仿宋_GB2312" w:cs="Times New Roman"/>
          <w:kern w:val="2"/>
          <w:sz w:val="32"/>
          <w:szCs w:val="32"/>
          <w:highlight w:val="none"/>
          <w:lang w:val="en-US" w:eastAsia="zh-CN" w:bidi="ar"/>
        </w:rPr>
        <w:t>你单位存在</w:t>
      </w:r>
      <w:r>
        <w:rPr>
          <w:rFonts w:hint="eastAsia" w:ascii="仿宋_GB2312" w:hAnsi="仿宋" w:eastAsia="仿宋_GB2312" w:cs="Times New Roman"/>
          <w:b w:val="0"/>
          <w:bCs w:val="0"/>
          <w:sz w:val="32"/>
          <w:szCs w:val="32"/>
          <w:highlight w:val="none"/>
          <w:lang w:eastAsia="zh-CN"/>
        </w:rPr>
        <w:t>未使用低挥发性有机物含量涂料的违法行为</w:t>
      </w:r>
      <w:r>
        <w:rPr>
          <w:rFonts w:hint="eastAsia" w:ascii="仿宋_GB2312" w:hAnsi="仿宋" w:eastAsia="仿宋_GB2312" w:cs="Times New Roman"/>
          <w:sz w:val="32"/>
          <w:szCs w:val="32"/>
          <w:highlight w:val="none"/>
        </w:rPr>
        <w:t>。</w:t>
      </w:r>
    </w:p>
    <w:p w14:paraId="0B404A9F">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eastAsia"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rPr>
        <w:t>上述事实有江门市生态环境局现场检查（勘察）笔录、调查询问笔录、现场照片（图片、影像资料）证据、《检测报告》（报告编号：SH</w:t>
      </w:r>
      <w:r>
        <w:rPr>
          <w:rFonts w:hint="eastAsia" w:ascii="仿宋_GB2312" w:hAnsi="仿宋" w:eastAsia="仿宋_GB2312" w:cs="Times New Roman"/>
          <w:sz w:val="32"/>
          <w:szCs w:val="32"/>
          <w:highlight w:val="none"/>
          <w:lang w:val="en-US" w:eastAsia="zh-CN"/>
        </w:rPr>
        <w:t>2501648、</w:t>
      </w:r>
      <w:r>
        <w:rPr>
          <w:rFonts w:hint="eastAsia" w:ascii="仿宋_GB2312" w:hAnsi="仿宋" w:eastAsia="仿宋_GB2312" w:cs="Times New Roman"/>
          <w:sz w:val="32"/>
          <w:szCs w:val="32"/>
          <w:highlight w:val="none"/>
        </w:rPr>
        <w:t>SH</w:t>
      </w:r>
      <w:r>
        <w:rPr>
          <w:rFonts w:hint="eastAsia" w:ascii="仿宋_GB2312" w:hAnsi="仿宋" w:eastAsia="仿宋_GB2312" w:cs="Times New Roman"/>
          <w:sz w:val="32"/>
          <w:szCs w:val="32"/>
          <w:highlight w:val="none"/>
          <w:lang w:val="en-US" w:eastAsia="zh-CN"/>
        </w:rPr>
        <w:t>2501649</w:t>
      </w:r>
      <w:r>
        <w:rPr>
          <w:rFonts w:hint="eastAsia" w:ascii="仿宋_GB2312" w:hAnsi="仿宋" w:eastAsia="仿宋_GB2312" w:cs="Times New Roman"/>
          <w:sz w:val="32"/>
          <w:szCs w:val="32"/>
          <w:highlight w:val="none"/>
        </w:rPr>
        <w:t>）、《检测结果分析报告》[报告编号：广质涂（202</w:t>
      </w:r>
      <w:r>
        <w:rPr>
          <w:rFonts w:hint="eastAsia" w:ascii="仿宋_GB2312" w:hAnsi="仿宋" w:eastAsia="仿宋_GB2312" w:cs="Times New Roman"/>
          <w:sz w:val="32"/>
          <w:szCs w:val="32"/>
          <w:highlight w:val="none"/>
          <w:lang w:val="en-US" w:eastAsia="zh-CN"/>
        </w:rPr>
        <w:t>5</w:t>
      </w:r>
      <w:r>
        <w:rPr>
          <w:rFonts w:hint="eastAsia" w:ascii="仿宋_GB2312" w:hAnsi="仿宋" w:eastAsia="仿宋_GB2312" w:cs="Times New Roman"/>
          <w:sz w:val="32"/>
          <w:szCs w:val="32"/>
          <w:highlight w:val="none"/>
        </w:rPr>
        <w:t>）-SH</w:t>
      </w:r>
      <w:r>
        <w:rPr>
          <w:rFonts w:hint="eastAsia" w:ascii="仿宋_GB2312" w:hAnsi="仿宋" w:eastAsia="仿宋_GB2312" w:cs="Times New Roman"/>
          <w:sz w:val="32"/>
          <w:szCs w:val="32"/>
          <w:highlight w:val="none"/>
          <w:lang w:val="en-US" w:eastAsia="zh-CN"/>
        </w:rPr>
        <w:t>2501648、</w:t>
      </w:r>
      <w:r>
        <w:rPr>
          <w:rFonts w:hint="eastAsia" w:ascii="仿宋_GB2312" w:hAnsi="仿宋" w:eastAsia="仿宋_GB2312" w:cs="Times New Roman"/>
          <w:sz w:val="32"/>
          <w:szCs w:val="32"/>
          <w:highlight w:val="none"/>
        </w:rPr>
        <w:t>广质涂（202</w:t>
      </w:r>
      <w:r>
        <w:rPr>
          <w:rFonts w:hint="eastAsia" w:ascii="仿宋_GB2312" w:hAnsi="仿宋" w:eastAsia="仿宋_GB2312" w:cs="Times New Roman"/>
          <w:sz w:val="32"/>
          <w:szCs w:val="32"/>
          <w:highlight w:val="none"/>
          <w:lang w:val="en-US" w:eastAsia="zh-CN"/>
        </w:rPr>
        <w:t>5</w:t>
      </w:r>
      <w:r>
        <w:rPr>
          <w:rFonts w:hint="eastAsia" w:ascii="仿宋_GB2312" w:hAnsi="仿宋" w:eastAsia="仿宋_GB2312" w:cs="Times New Roman"/>
          <w:sz w:val="32"/>
          <w:szCs w:val="32"/>
          <w:highlight w:val="none"/>
        </w:rPr>
        <w:t>）-SH</w:t>
      </w:r>
      <w:r>
        <w:rPr>
          <w:rFonts w:hint="eastAsia" w:ascii="仿宋_GB2312" w:hAnsi="仿宋" w:eastAsia="仿宋_GB2312" w:cs="Times New Roman"/>
          <w:sz w:val="32"/>
          <w:szCs w:val="32"/>
          <w:highlight w:val="none"/>
          <w:lang w:val="en-US" w:eastAsia="zh-CN"/>
        </w:rPr>
        <w:t>2501649</w:t>
      </w:r>
      <w:r>
        <w:rPr>
          <w:rFonts w:hint="eastAsia" w:ascii="仿宋_GB2312" w:hAnsi="仿宋" w:eastAsia="仿宋_GB2312" w:cs="Times New Roman"/>
          <w:sz w:val="32"/>
          <w:szCs w:val="32"/>
          <w:highlight w:val="none"/>
        </w:rPr>
        <w:t>]、</w:t>
      </w:r>
      <w:r>
        <w:rPr>
          <w:rFonts w:hint="eastAsia" w:ascii="仿宋_GB2312" w:hAnsi="仿宋" w:eastAsia="仿宋_GB2312" w:cs="Times New Roman"/>
          <w:color w:val="auto"/>
          <w:sz w:val="32"/>
          <w:szCs w:val="32"/>
          <w:highlight w:val="none"/>
          <w:lang w:eastAsia="zh-CN"/>
        </w:rPr>
        <w:t>报告签收回执单</w:t>
      </w:r>
      <w:r>
        <w:rPr>
          <w:rFonts w:hint="eastAsia" w:ascii="仿宋_GB2312" w:hAnsi="仿宋" w:eastAsia="仿宋_GB2312" w:cs="Times New Roman"/>
          <w:color w:val="auto"/>
          <w:sz w:val="32"/>
          <w:szCs w:val="32"/>
          <w:highlight w:val="none"/>
        </w:rPr>
        <w:t>及送达回执</w:t>
      </w:r>
      <w:r>
        <w:rPr>
          <w:rFonts w:hint="eastAsia" w:ascii="仿宋_GB2312" w:hAnsi="仿宋" w:eastAsia="仿宋_GB2312" w:cs="Times New Roman"/>
          <w:sz w:val="32"/>
          <w:szCs w:val="32"/>
          <w:highlight w:val="none"/>
        </w:rPr>
        <w:t>；你单位提供的营业执照、《建设项目环境影响报告表》部分页、《</w:t>
      </w:r>
      <w:r>
        <w:rPr>
          <w:rFonts w:hint="eastAsia" w:ascii="仿宋_GB2312" w:hAnsi="仿宋" w:eastAsia="仿宋_GB2312" w:cs="Times New Roman"/>
          <w:sz w:val="32"/>
          <w:szCs w:val="32"/>
          <w:highlight w:val="none"/>
          <w:lang w:eastAsia="zh-CN"/>
        </w:rPr>
        <w:t>关于江门市毅豪电器有限公司年产电器制品</w:t>
      </w:r>
      <w:r>
        <w:rPr>
          <w:rFonts w:hint="eastAsia" w:ascii="仿宋_GB2312" w:hAnsi="仿宋" w:eastAsia="仿宋_GB2312" w:cs="Times New Roman"/>
          <w:sz w:val="32"/>
          <w:szCs w:val="32"/>
          <w:highlight w:val="none"/>
          <w:lang w:val="en-US" w:eastAsia="zh-CN"/>
        </w:rPr>
        <w:t>80万件建设项目环境影响报告表的批复》</w:t>
      </w:r>
      <w:r>
        <w:rPr>
          <w:rFonts w:hint="eastAsia" w:ascii="仿宋_GB2312" w:hAnsi="仿宋" w:eastAsia="仿宋_GB2312" w:cs="Times New Roman"/>
          <w:sz w:val="32"/>
          <w:szCs w:val="32"/>
          <w:highlight w:val="none"/>
        </w:rPr>
        <w:t>（江江环审〔</w:t>
      </w:r>
      <w:r>
        <w:rPr>
          <w:rFonts w:hint="eastAsia" w:ascii="仿宋_GB2312" w:hAnsi="仿宋" w:eastAsia="仿宋_GB2312" w:cs="Times New Roman"/>
          <w:sz w:val="32"/>
          <w:szCs w:val="32"/>
          <w:highlight w:val="none"/>
          <w:lang w:val="en-US" w:eastAsia="zh-CN"/>
        </w:rPr>
        <w:t>2019</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val="en-US" w:eastAsia="zh-CN"/>
        </w:rPr>
        <w:t>21</w:t>
      </w:r>
      <w:r>
        <w:rPr>
          <w:rFonts w:hint="eastAsia" w:ascii="仿宋_GB2312" w:hAnsi="仿宋" w:eastAsia="仿宋_GB2312" w:cs="Times New Roman"/>
          <w:sz w:val="32"/>
          <w:szCs w:val="32"/>
          <w:highlight w:val="none"/>
        </w:rPr>
        <w:t>号）</w:t>
      </w:r>
      <w:r>
        <w:rPr>
          <w:rFonts w:hint="eastAsia" w:ascii="仿宋_GB2312" w:hAnsi="仿宋" w:eastAsia="仿宋_GB2312" w:cs="Times New Roman"/>
          <w:sz w:val="32"/>
          <w:szCs w:val="32"/>
          <w:highlight w:val="none"/>
          <w:lang w:eastAsia="zh-CN"/>
        </w:rPr>
        <w:t>、含</w:t>
      </w:r>
      <w:r>
        <w:rPr>
          <w:rFonts w:hint="eastAsia" w:ascii="仿宋_GB2312" w:hAnsi="仿宋" w:eastAsia="仿宋_GB2312" w:cs="Times New Roman"/>
          <w:sz w:val="32"/>
          <w:szCs w:val="32"/>
          <w:highlight w:val="none"/>
          <w:lang w:val="en-US" w:eastAsia="zh-CN"/>
        </w:rPr>
        <w:t>挥发性有机物原辅材料使用台账</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法定代表人</w:t>
      </w:r>
      <w:r>
        <w:rPr>
          <w:rFonts w:hint="eastAsia" w:ascii="仿宋_GB2312" w:hAnsi="仿宋" w:eastAsia="仿宋_GB2312" w:cs="Times New Roman"/>
          <w:sz w:val="32"/>
          <w:szCs w:val="32"/>
          <w:highlight w:val="none"/>
        </w:rPr>
        <w:t>身份证</w:t>
      </w:r>
      <w:r>
        <w:rPr>
          <w:rFonts w:hint="eastAsia" w:ascii="仿宋_GB2312" w:hAnsi="仿宋" w:eastAsia="仿宋_GB2312" w:cs="Times New Roman"/>
          <w:sz w:val="32"/>
          <w:szCs w:val="32"/>
          <w:highlight w:val="none"/>
          <w:lang w:val="en-US" w:eastAsia="zh-CN"/>
        </w:rPr>
        <w:t>的复印件</w:t>
      </w:r>
      <w:r>
        <w:rPr>
          <w:rFonts w:hint="eastAsia" w:ascii="仿宋_GB2312" w:hAnsi="仿宋" w:eastAsia="仿宋_GB2312" w:cs="Times New Roman"/>
          <w:sz w:val="32"/>
          <w:szCs w:val="32"/>
          <w:highlight w:val="none"/>
        </w:rPr>
        <w:t>，送达地址确认书等为证。</w:t>
      </w:r>
    </w:p>
    <w:p w14:paraId="1E476F5F">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s="Times New Roman"/>
          <w:sz w:val="32"/>
          <w:szCs w:val="32"/>
          <w:highlight w:val="none"/>
          <w:lang w:eastAsia="zh-CN"/>
        </w:rPr>
        <w:t>你单位的上述行为，</w:t>
      </w:r>
      <w:r>
        <w:rPr>
          <w:rFonts w:hint="eastAsia" w:ascii="仿宋_GB2312" w:hAnsi="仿宋" w:eastAsia="仿宋_GB2312" w:cs="Times New Roman"/>
          <w:sz w:val="32"/>
          <w:szCs w:val="32"/>
          <w:highlight w:val="none"/>
        </w:rPr>
        <w:t>违反了《中华人民共和国大气污染防治法》第四十六条</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color w:val="auto"/>
          <w:sz w:val="32"/>
          <w:szCs w:val="32"/>
          <w:highlight w:val="none"/>
          <w:lang w:eastAsia="zh-CN"/>
        </w:rPr>
        <w:t>工业涂装企业应当使用低挥发性有机物含量的涂料，并建立台账，记录生产原料、辅料的使用量、废弃量、去向以及挥发性有机物含量。台账保存期限不得少于三年。”</w:t>
      </w:r>
      <w:r>
        <w:rPr>
          <w:rFonts w:hint="eastAsia" w:ascii="仿宋_GB2312" w:hAnsi="仿宋" w:eastAsia="仿宋_GB2312" w:cs="Times New Roman"/>
          <w:sz w:val="32"/>
          <w:szCs w:val="32"/>
          <w:highlight w:val="none"/>
        </w:rPr>
        <w:t>的规定。</w:t>
      </w:r>
      <w:r>
        <w:rPr>
          <w:rFonts w:hint="eastAsia" w:ascii="仿宋_GB2312" w:hAnsi="仿宋" w:eastAsia="仿宋_GB2312" w:cs="Times New Roman"/>
          <w:color w:val="auto"/>
          <w:sz w:val="32"/>
          <w:szCs w:val="32"/>
          <w:highlight w:val="none"/>
          <w:lang w:eastAsia="zh-CN"/>
        </w:rPr>
        <w:t>我局于</w:t>
      </w:r>
      <w:r>
        <w:rPr>
          <w:rFonts w:hint="eastAsia" w:ascii="仿宋_GB2312" w:hAnsi="仿宋" w:eastAsia="仿宋_GB2312" w:cs="Times New Roman"/>
          <w:color w:val="auto"/>
          <w:sz w:val="32"/>
          <w:szCs w:val="32"/>
          <w:highlight w:val="none"/>
          <w:lang w:val="en-US" w:eastAsia="zh-CN"/>
        </w:rPr>
        <w:t>2025年7月1日向你单位直接送达了</w:t>
      </w:r>
      <w:r>
        <w:rPr>
          <w:rFonts w:hint="eastAsia" w:ascii="仿宋_GB2312" w:hAnsi="仿宋" w:eastAsia="仿宋_GB2312"/>
          <w:color w:val="auto"/>
          <w:sz w:val="32"/>
          <w:szCs w:val="32"/>
          <w:highlight w:val="none"/>
          <w:lang w:eastAsia="zh-CN"/>
        </w:rPr>
        <w:t>《行政处罚告知书》</w:t>
      </w:r>
      <w:r>
        <w:rPr>
          <w:rFonts w:hint="eastAsia" w:ascii="仿宋_GB2312" w:hAnsi="仿宋" w:eastAsia="仿宋_GB2312"/>
          <w:color w:val="auto"/>
          <w:sz w:val="32"/>
          <w:szCs w:val="32"/>
          <w:highlight w:val="none"/>
        </w:rPr>
        <w:t>（江江环罚告〔2</w:t>
      </w:r>
      <w:r>
        <w:rPr>
          <w:rFonts w:hint="eastAsia" w:ascii="仿宋_GB2312" w:hAnsi="仿宋" w:eastAsia="仿宋_GB2312"/>
          <w:color w:val="auto"/>
          <w:sz w:val="32"/>
          <w:szCs w:val="32"/>
          <w:highlight w:val="none"/>
          <w:lang w:val="en-US" w:eastAsia="zh-CN"/>
        </w:rPr>
        <w:t>024</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17</w:t>
      </w:r>
      <w:r>
        <w:rPr>
          <w:rFonts w:hint="eastAsia" w:ascii="仿宋_GB2312" w:hAnsi="仿宋" w:eastAsia="仿宋_GB2312"/>
          <w:color w:val="auto"/>
          <w:sz w:val="32"/>
          <w:szCs w:val="32"/>
          <w:highlight w:val="none"/>
        </w:rPr>
        <w:t>号）</w:t>
      </w:r>
      <w:r>
        <w:rPr>
          <w:rFonts w:hint="eastAsia" w:ascii="仿宋_GB2312" w:hAnsi="仿宋" w:eastAsia="仿宋_GB2312"/>
          <w:color w:val="auto"/>
          <w:sz w:val="32"/>
          <w:szCs w:val="32"/>
          <w:highlight w:val="none"/>
          <w:lang w:eastAsia="zh-CN"/>
        </w:rPr>
        <w:t>和附件</w:t>
      </w:r>
      <w:r>
        <w:rPr>
          <w:rFonts w:hint="eastAsia" w:ascii="仿宋_GB2312" w:hAnsi="仿宋" w:eastAsia="仿宋_GB2312"/>
          <w:color w:val="auto"/>
          <w:sz w:val="32"/>
          <w:szCs w:val="32"/>
          <w:highlight w:val="none"/>
          <w:lang w:val="en-US" w:eastAsia="zh-CN"/>
        </w:rPr>
        <w:t>3-1《生态环境违法主动公开道歉承诺申请指引》</w:t>
      </w:r>
      <w:r>
        <w:rPr>
          <w:rFonts w:hint="eastAsia" w:ascii="仿宋_GB2312" w:hAnsi="仿宋" w:eastAsia="仿宋_GB2312"/>
          <w:color w:val="auto"/>
          <w:sz w:val="32"/>
          <w:szCs w:val="32"/>
          <w:highlight w:val="none"/>
          <w:lang w:eastAsia="zh-CN"/>
        </w:rPr>
        <w:t>，告知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违法事实、处罚依据和拟作出</w:t>
      </w:r>
      <w:r>
        <w:rPr>
          <w:rFonts w:hint="eastAsia" w:ascii="仿宋_GB2312" w:hAnsi="仿宋" w:eastAsia="仿宋_GB2312"/>
          <w:color w:val="auto"/>
          <w:sz w:val="32"/>
          <w:szCs w:val="32"/>
          <w:highlight w:val="none"/>
          <w:lang w:eastAsia="zh-CN"/>
        </w:rPr>
        <w:t>处罚人民币</w:t>
      </w:r>
      <w:r>
        <w:rPr>
          <w:rFonts w:hint="eastAsia" w:ascii="仿宋_GB2312" w:hAnsi="仿宋" w:eastAsia="仿宋_GB2312"/>
          <w:color w:val="auto"/>
          <w:sz w:val="32"/>
          <w:szCs w:val="32"/>
          <w:highlight w:val="none"/>
          <w:lang w:val="en-US" w:eastAsia="zh-CN"/>
        </w:rPr>
        <w:t>3.275万元，并告知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有权进行陈述</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申辩</w:t>
      </w:r>
      <w:r>
        <w:rPr>
          <w:rFonts w:hint="eastAsia" w:ascii="仿宋_GB2312" w:hAnsi="仿宋" w:eastAsia="仿宋_GB2312"/>
          <w:color w:val="auto"/>
          <w:sz w:val="32"/>
          <w:szCs w:val="32"/>
          <w:highlight w:val="none"/>
          <w:lang w:eastAsia="zh-CN"/>
        </w:rPr>
        <w:t>。你单位在法定期限内未向我局申请公开道歉、承诺守法。</w:t>
      </w:r>
    </w:p>
    <w:p w14:paraId="378A760C">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firstLine="640" w:firstLineChars="200"/>
        <w:jc w:val="both"/>
        <w:textAlignment w:val="auto"/>
        <w:rPr>
          <w:rFonts w:hint="eastAsia" w:ascii="Times New Roman" w:hAnsi="Times New Roman" w:eastAsia="仿宋_GB2312" w:cs="Times New Roman"/>
          <w:sz w:val="32"/>
          <w:szCs w:val="32"/>
          <w:highlight w:val="none"/>
          <w:u w:val="none"/>
          <w:lang w:val="en-US" w:eastAsia="zh-CN"/>
        </w:rPr>
      </w:pPr>
      <w:r>
        <w:rPr>
          <w:rFonts w:hint="eastAsia" w:ascii="仿宋_GB2312" w:hAnsi="仿宋" w:eastAsia="仿宋_GB2312"/>
          <w:color w:val="auto"/>
          <w:sz w:val="32"/>
          <w:szCs w:val="32"/>
          <w:highlight w:val="none"/>
          <w:lang w:eastAsia="zh-CN"/>
        </w:rPr>
        <w:t>你单位于</w:t>
      </w:r>
      <w:r>
        <w:rPr>
          <w:rFonts w:hint="eastAsia" w:ascii="仿宋_GB2312" w:hAnsi="仿宋" w:eastAsia="仿宋_GB2312"/>
          <w:color w:val="auto"/>
          <w:sz w:val="32"/>
          <w:szCs w:val="32"/>
          <w:highlight w:val="none"/>
          <w:lang w:val="en-US" w:eastAsia="zh-CN"/>
        </w:rPr>
        <w:t>2025年7月3日向我局提交《申请免罚改正书》，申请免除行政处罚。</w:t>
      </w:r>
      <w:r>
        <w:rPr>
          <w:rFonts w:hint="eastAsia" w:ascii="仿宋_GB2312" w:hAnsi="仿宋_GB2312" w:eastAsia="仿宋_GB2312" w:cs="仿宋_GB2312"/>
          <w:color w:val="auto"/>
          <w:sz w:val="32"/>
          <w:szCs w:val="32"/>
          <w:lang w:val="en-US" w:eastAsia="zh-CN"/>
        </w:rPr>
        <w:t>2025年7月17日，我局执法人员委托广东产品质量监督检验研究院对</w:t>
      </w:r>
      <w:r>
        <w:rPr>
          <w:rFonts w:hint="eastAsia" w:ascii="仿宋_GB2312" w:hAnsi="仿宋_GB2312" w:eastAsia="仿宋_GB2312" w:cs="仿宋_GB2312"/>
          <w:color w:val="auto"/>
          <w:sz w:val="32"/>
          <w:szCs w:val="32"/>
          <w:lang w:eastAsia="zh-CN"/>
        </w:rPr>
        <w:t>你单位</w:t>
      </w:r>
      <w:r>
        <w:rPr>
          <w:rFonts w:hint="eastAsia" w:ascii="仿宋_GB2312" w:hAnsi="仿宋" w:eastAsia="仿宋_GB2312" w:cs="Times New Roman"/>
          <w:sz w:val="32"/>
          <w:szCs w:val="32"/>
          <w:highlight w:val="none"/>
          <w:lang w:val="en-US" w:eastAsia="zh-CN"/>
        </w:rPr>
        <w:t>喷漆工序正在使用的已混合均匀</w:t>
      </w:r>
      <w:r>
        <w:rPr>
          <w:rFonts w:hint="eastAsia" w:ascii="仿宋_GB2312" w:hAnsi="仿宋_GB2312" w:eastAsia="仿宋_GB2312" w:cs="仿宋_GB2312"/>
          <w:color w:val="auto"/>
          <w:sz w:val="32"/>
          <w:szCs w:val="32"/>
          <w:lang w:val="en-US" w:eastAsia="zh-CN"/>
        </w:rPr>
        <w:t>的仿电镀银涂料进行采样检测。检测结果显示，受检测涂料的</w:t>
      </w:r>
      <w:r>
        <w:rPr>
          <w:rFonts w:hint="eastAsia" w:ascii="仿宋_GB2312" w:hAnsi="仿宋" w:eastAsia="仿宋_GB2312" w:cs="Times New Roman"/>
          <w:sz w:val="32"/>
          <w:szCs w:val="32"/>
          <w:highlight w:val="none"/>
        </w:rPr>
        <w:t>VOCs</w:t>
      </w:r>
      <w:r>
        <w:rPr>
          <w:rFonts w:hint="eastAsia" w:ascii="仿宋_GB2312" w:hAnsi="仿宋_GB2312" w:eastAsia="仿宋_GB2312" w:cs="仿宋_GB2312"/>
          <w:color w:val="auto"/>
          <w:sz w:val="32"/>
          <w:szCs w:val="32"/>
          <w:lang w:val="en-US" w:eastAsia="zh-CN"/>
        </w:rPr>
        <w:t>含量为299g/L，符合</w:t>
      </w:r>
      <w:r>
        <w:rPr>
          <w:rFonts w:hint="eastAsia" w:ascii="仿宋_GB2312" w:hAnsi="仿宋_GB2312" w:eastAsia="仿宋_GB2312" w:cs="仿宋_GB2312"/>
          <w:color w:val="auto"/>
          <w:sz w:val="32"/>
          <w:szCs w:val="32"/>
          <w:lang w:eastAsia="zh-CN"/>
        </w:rPr>
        <w:t>你单位</w:t>
      </w:r>
      <w:r>
        <w:rPr>
          <w:rFonts w:hint="eastAsia" w:ascii="仿宋_GB2312" w:hAnsi="仿宋" w:eastAsia="仿宋_GB2312" w:cs="Times New Roman"/>
          <w:sz w:val="32"/>
          <w:szCs w:val="32"/>
          <w:lang w:eastAsia="zh-CN"/>
        </w:rPr>
        <w:t>《建设项目</w:t>
      </w:r>
      <w:r>
        <w:rPr>
          <w:rFonts w:hint="eastAsia" w:ascii="仿宋_GB2312" w:hAnsi="仿宋" w:eastAsia="仿宋_GB2312" w:cs="Times New Roman"/>
          <w:sz w:val="32"/>
          <w:szCs w:val="32"/>
        </w:rPr>
        <w:t>环境影响报告表</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中核定的</w:t>
      </w:r>
      <w:r>
        <w:rPr>
          <w:rFonts w:hint="eastAsia" w:ascii="仿宋_GB2312" w:hAnsi="仿宋" w:eastAsia="仿宋_GB2312" w:cs="Times New Roman"/>
          <w:sz w:val="32"/>
          <w:szCs w:val="32"/>
          <w:lang w:eastAsia="zh-CN"/>
        </w:rPr>
        <w:t>低挥发性有机物涂料</w:t>
      </w:r>
      <w:r>
        <w:rPr>
          <w:rFonts w:hint="eastAsia" w:ascii="仿宋_GB2312" w:hAnsi="仿宋" w:eastAsia="仿宋_GB2312" w:cs="Times New Roman"/>
          <w:sz w:val="32"/>
          <w:szCs w:val="32"/>
        </w:rPr>
        <w:t>VOCs含量要求（≤420g/L）</w:t>
      </w:r>
      <w:r>
        <w:rPr>
          <w:rFonts w:hint="eastAsia" w:ascii="仿宋_GB2312" w:hAnsi="仿宋_GB2312" w:eastAsia="仿宋_GB2312" w:cs="仿宋_GB2312"/>
          <w:color w:val="auto"/>
          <w:sz w:val="32"/>
          <w:szCs w:val="32"/>
          <w:lang w:val="en-US" w:eastAsia="zh-CN"/>
        </w:rPr>
        <w:t>。</w:t>
      </w:r>
      <w:r>
        <w:rPr>
          <w:rFonts w:hint="eastAsia" w:ascii="仿宋_GB2312" w:hAnsi="仿宋" w:eastAsia="仿宋_GB2312" w:cs="Times New Roman"/>
          <w:color w:val="auto"/>
          <w:sz w:val="32"/>
          <w:szCs w:val="32"/>
          <w:highlight w:val="none"/>
          <w:lang w:val="en-US" w:eastAsia="zh-CN"/>
        </w:rPr>
        <w:t>你单位已改正</w:t>
      </w:r>
      <w:r>
        <w:rPr>
          <w:rFonts w:hint="eastAsia" w:ascii="仿宋_GB2312" w:hAnsi="仿宋" w:eastAsia="仿宋_GB2312"/>
          <w:color w:val="auto"/>
          <w:sz w:val="32"/>
          <w:szCs w:val="32"/>
          <w:highlight w:val="none"/>
          <w:lang w:val="en-US" w:eastAsia="zh-CN"/>
        </w:rPr>
        <w:t>违法行为。</w:t>
      </w:r>
    </w:p>
    <w:p w14:paraId="424D9F87">
      <w:pPr>
        <w:keepNext w:val="0"/>
        <w:keepLines w:val="0"/>
        <w:pageBreakBefore w:val="0"/>
        <w:widowControl w:val="0"/>
        <w:kinsoku/>
        <w:wordWrap/>
        <w:overflowPunct/>
        <w:topLinePunct w:val="0"/>
        <w:autoSpaceDE/>
        <w:autoSpaceDN/>
        <w:bidi w:val="0"/>
        <w:spacing w:line="578" w:lineRule="exact"/>
        <w:ind w:left="0" w:firstLine="640" w:firstLineChars="200"/>
        <w:jc w:val="both"/>
        <w:textAlignment w:val="auto"/>
        <w:rPr>
          <w:rFonts w:hint="default" w:ascii="仿宋_GB2312" w:hAnsi="仿宋" w:eastAsia="仿宋_GB2312"/>
          <w:color w:val="auto"/>
          <w:sz w:val="32"/>
          <w:szCs w:val="32"/>
          <w:highlight w:val="none"/>
          <w:lang w:val="en-US" w:eastAsia="zh-CN"/>
        </w:rPr>
      </w:pPr>
      <w:r>
        <w:rPr>
          <w:rFonts w:hint="eastAsia" w:ascii="仿宋_GB2312" w:hAnsi="仿宋" w:eastAsia="仿宋_GB2312" w:cs="Times New Roman"/>
          <w:color w:val="auto"/>
          <w:sz w:val="32"/>
          <w:szCs w:val="32"/>
          <w:highlight w:val="none"/>
          <w:lang w:eastAsia="zh-CN"/>
        </w:rPr>
        <w:t>经复核，你单位的</w:t>
      </w:r>
      <w:r>
        <w:rPr>
          <w:rFonts w:hint="eastAsia" w:ascii="仿宋_GB2312" w:hAnsi="仿宋_GB2312" w:eastAsia="仿宋_GB2312" w:cs="仿宋_GB2312"/>
          <w:color w:val="auto"/>
          <w:sz w:val="32"/>
          <w:szCs w:val="32"/>
          <w:lang w:eastAsia="zh-CN"/>
        </w:rPr>
        <w:t>整改行为</w:t>
      </w:r>
      <w:r>
        <w:rPr>
          <w:rFonts w:hint="eastAsia" w:ascii="仿宋_GB2312" w:hAnsi="仿宋_GB2312" w:eastAsia="仿宋_GB2312" w:cs="仿宋_GB2312"/>
          <w:sz w:val="32"/>
          <w:szCs w:val="32"/>
          <w:lang w:val="en-US" w:eastAsia="zh-CN"/>
        </w:rPr>
        <w:t>不满足</w:t>
      </w:r>
      <w:r>
        <w:rPr>
          <w:rFonts w:hint="eastAsia" w:ascii="Times New Roman" w:hAnsi="Times New Roman" w:eastAsia="仿宋_GB2312" w:cs="Times New Roman"/>
          <w:sz w:val="32"/>
          <w:szCs w:val="32"/>
          <w:lang w:val="en-US" w:eastAsia="zh-CN"/>
        </w:rPr>
        <w:t>《江门</w:t>
      </w:r>
      <w:r>
        <w:rPr>
          <w:rFonts w:hint="eastAsia" w:ascii="仿宋_GB2312" w:hAnsi="仿宋_GB2312" w:eastAsia="仿宋_GB2312" w:cs="仿宋_GB2312"/>
          <w:sz w:val="32"/>
          <w:szCs w:val="32"/>
          <w:lang w:val="en-US" w:eastAsia="zh-CN"/>
        </w:rPr>
        <w:t>市实施&lt;广东省生态环境行政处罚自由裁量权规定&gt;细则》第八条第一款</w:t>
      </w:r>
      <w:r>
        <w:rPr>
          <w:rFonts w:hint="eastAsia" w:ascii="Times New Roman" w:hAnsi="Times New Roman" w:eastAsia="仿宋_GB2312" w:cs="Times New Roman"/>
          <w:sz w:val="32"/>
          <w:szCs w:val="32"/>
          <w:lang w:val="en-US" w:eastAsia="zh-CN"/>
        </w:rPr>
        <w:t>第二项关于不予行政处罚的规定。但</w:t>
      </w:r>
      <w:r>
        <w:rPr>
          <w:rFonts w:hint="eastAsia" w:ascii="Times New Roman" w:hAnsi="Times New Roman" w:eastAsia="仿宋_GB2312" w:cs="Times New Roman"/>
          <w:color w:val="auto"/>
          <w:sz w:val="32"/>
          <w:szCs w:val="32"/>
          <w:lang w:val="en-US" w:eastAsia="zh-CN"/>
        </w:rPr>
        <w:t>该整改行为符</w:t>
      </w:r>
      <w:r>
        <w:rPr>
          <w:rFonts w:hint="eastAsia" w:ascii="仿宋_GB2312" w:hAnsi="仿宋" w:eastAsia="仿宋_GB2312" w:cs="Times New Roman"/>
          <w:color w:val="auto"/>
          <w:sz w:val="32"/>
          <w:szCs w:val="32"/>
          <w:highlight w:val="none"/>
          <w:lang w:eastAsia="zh-CN"/>
        </w:rPr>
        <w:t>合《</w:t>
      </w:r>
      <w:r>
        <w:rPr>
          <w:rFonts w:hint="eastAsia" w:ascii="仿宋_GB2312" w:hAnsi="仿宋" w:eastAsia="仿宋_GB2312"/>
          <w:color w:val="auto"/>
          <w:sz w:val="32"/>
          <w:szCs w:val="32"/>
          <w:highlight w:val="none"/>
          <w:lang w:eastAsia="zh-CN"/>
        </w:rPr>
        <w:t>江门市实施&lt;广东省生态环境行政处罚自由裁量权规定&gt;细则》第七条第二项第</w:t>
      </w:r>
      <w:r>
        <w:rPr>
          <w:rFonts w:hint="eastAsia" w:ascii="仿宋_GB2312" w:hAnsi="仿宋" w:eastAsia="仿宋_GB2312"/>
          <w:color w:val="auto"/>
          <w:sz w:val="32"/>
          <w:szCs w:val="32"/>
          <w:highlight w:val="none"/>
          <w:lang w:val="en-US" w:eastAsia="zh-CN"/>
        </w:rPr>
        <w:t>2目“主动改正或者及时中止违法行为的”</w:t>
      </w:r>
      <w:r>
        <w:rPr>
          <w:rFonts w:hint="eastAsia" w:ascii="仿宋_GB2312" w:hAnsi="仿宋" w:eastAsia="仿宋_GB2312" w:cs="Times New Roman"/>
          <w:color w:val="auto"/>
          <w:sz w:val="32"/>
          <w:szCs w:val="32"/>
          <w:highlight w:val="none"/>
          <w:lang w:val="en-US" w:eastAsia="zh-CN"/>
        </w:rPr>
        <w:t>从轻情节</w:t>
      </w:r>
      <w:r>
        <w:rPr>
          <w:rFonts w:hint="eastAsia" w:ascii="仿宋_GB2312" w:hAnsi="仿宋" w:eastAsia="仿宋_GB2312"/>
          <w:color w:val="auto"/>
          <w:sz w:val="32"/>
          <w:szCs w:val="32"/>
          <w:highlight w:val="none"/>
          <w:lang w:eastAsia="zh-CN"/>
        </w:rPr>
        <w:t>，我局决定将该从轻处罚的情节纳入处罚金额的计算。经核算，</w:t>
      </w:r>
      <w:r>
        <w:rPr>
          <w:rFonts w:hint="eastAsia" w:ascii="仿宋_GB2312" w:hAnsi="仿宋" w:eastAsia="仿宋_GB2312" w:cs="Times New Roman"/>
          <w:sz w:val="32"/>
          <w:szCs w:val="32"/>
          <w:highlight w:val="none"/>
        </w:rPr>
        <w:t>罚款金额</w:t>
      </w:r>
      <w:r>
        <w:rPr>
          <w:rFonts w:hint="eastAsia" w:ascii="仿宋_GB2312" w:hAnsi="仿宋" w:eastAsia="仿宋_GB2312" w:cs="Times New Roman"/>
          <w:sz w:val="32"/>
          <w:szCs w:val="32"/>
          <w:highlight w:val="none"/>
          <w:lang w:eastAsia="zh-CN"/>
        </w:rPr>
        <w:t>为</w:t>
      </w:r>
      <w:r>
        <w:rPr>
          <w:rFonts w:hint="eastAsia" w:ascii="仿宋_GB2312" w:hAnsi="仿宋" w:eastAsia="仿宋_GB2312" w:cs="Times New Roman"/>
          <w:sz w:val="32"/>
          <w:szCs w:val="32"/>
          <w:highlight w:val="none"/>
          <w:lang w:val="en-US" w:eastAsia="zh-CN"/>
        </w:rPr>
        <w:t>2.975</w:t>
      </w:r>
      <w:r>
        <w:rPr>
          <w:rFonts w:hint="eastAsia" w:ascii="仿宋_GB2312" w:hAnsi="仿宋" w:eastAsia="仿宋_GB2312" w:cs="Times New Roman"/>
          <w:sz w:val="32"/>
          <w:szCs w:val="32"/>
          <w:highlight w:val="none"/>
        </w:rPr>
        <w:t>万元</w:t>
      </w:r>
      <w:r>
        <w:rPr>
          <w:rFonts w:hint="eastAsia" w:ascii="仿宋_GB2312" w:hAnsi="仿宋" w:eastAsia="仿宋_GB2312" w:cs="Times New Roman"/>
          <w:sz w:val="32"/>
          <w:szCs w:val="32"/>
          <w:highlight w:val="none"/>
          <w:lang w:val="en-US" w:eastAsia="zh-CN"/>
        </w:rPr>
        <w:t>{</w:t>
      </w:r>
      <w:r>
        <w:rPr>
          <w:rFonts w:hint="eastAsia" w:ascii="仿宋_GB2312" w:hAnsi="仿宋" w:eastAsia="仿宋_GB2312" w:cs="Times New Roman"/>
          <w:sz w:val="32"/>
          <w:szCs w:val="32"/>
          <w:highlight w:val="none"/>
        </w:rPr>
        <w:t>初步罚款区间的中位金额3.5万元[近二年同类违法行为情况2次以下，建设项目所在区域为环境敏感区或限批区以外的区域，罚款2万元以上5万元以下]+初步罚款区间高低限差额3万元×5%×调整系数总和（-</w:t>
      </w:r>
      <w:r>
        <w:rPr>
          <w:rFonts w:hint="eastAsia" w:ascii="仿宋_GB2312" w:hAnsi="仿宋" w:eastAsia="仿宋_GB2312" w:cs="Times New Roman"/>
          <w:sz w:val="32"/>
          <w:szCs w:val="32"/>
          <w:highlight w:val="none"/>
          <w:lang w:val="en-US" w:eastAsia="zh-CN"/>
        </w:rPr>
        <w:t>3</w:t>
      </w:r>
      <w:r>
        <w:rPr>
          <w:rFonts w:hint="eastAsia" w:ascii="仿宋_GB2312" w:hAnsi="仿宋" w:eastAsia="仿宋_GB2312" w:cs="Times New Roman"/>
          <w:sz w:val="32"/>
          <w:szCs w:val="32"/>
          <w:highlight w:val="none"/>
        </w:rPr>
        <w:t>.5）[</w:t>
      </w:r>
      <w:r>
        <w:rPr>
          <w:rFonts w:hint="eastAsia" w:ascii="仿宋_GB2312" w:hAnsi="仿宋" w:eastAsia="仿宋_GB2312" w:cs="Times New Roman"/>
          <w:sz w:val="32"/>
          <w:szCs w:val="32"/>
          <w:highlight w:val="none"/>
          <w:lang w:eastAsia="zh-CN"/>
        </w:rPr>
        <w:t>主动改正或及时中止违法行为的（</w:t>
      </w:r>
      <w:r>
        <w:rPr>
          <w:rFonts w:hint="eastAsia" w:ascii="仿宋_GB2312" w:hAnsi="仿宋" w:eastAsia="仿宋_GB2312" w:cs="Times New Roman"/>
          <w:sz w:val="32"/>
          <w:szCs w:val="32"/>
          <w:highlight w:val="none"/>
          <w:lang w:val="en-US" w:eastAsia="zh-CN"/>
        </w:rPr>
        <w:t>-2.0</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积极配合调查取证（-1.5），近二年同类违法行为情况的情节已经在</w:t>
      </w:r>
      <w:r>
        <w:rPr>
          <w:rFonts w:hint="eastAsia" w:ascii="仿宋_GB2312" w:hAnsi="仿宋" w:eastAsia="仿宋_GB2312" w:cs="Times New Roman"/>
          <w:sz w:val="32"/>
          <w:szCs w:val="32"/>
          <w:highlight w:val="none"/>
          <w:lang w:eastAsia="zh-CN"/>
        </w:rPr>
        <w:t>幅度罚款</w:t>
      </w:r>
      <w:r>
        <w:rPr>
          <w:rFonts w:hint="eastAsia" w:ascii="仿宋_GB2312" w:hAnsi="仿宋" w:eastAsia="仿宋_GB2312" w:cs="Times New Roman"/>
          <w:sz w:val="32"/>
          <w:szCs w:val="32"/>
          <w:highlight w:val="none"/>
        </w:rPr>
        <w:t>裁量中体现，则不再重复计算该情节]</w:t>
      </w:r>
      <w:r>
        <w:rPr>
          <w:rFonts w:hint="eastAsia" w:ascii="仿宋_GB2312" w:hAnsi="仿宋" w:eastAsia="仿宋_GB2312" w:cs="Times New Roman"/>
          <w:sz w:val="32"/>
          <w:szCs w:val="32"/>
          <w:highlight w:val="none"/>
          <w:lang w:val="en-US" w:eastAsia="zh-CN"/>
        </w:rPr>
        <w:t>}。</w:t>
      </w:r>
    </w:p>
    <w:p w14:paraId="6CF675BE">
      <w:pPr>
        <w:keepNext w:val="0"/>
        <w:keepLines w:val="0"/>
        <w:pageBreakBefore w:val="0"/>
        <w:widowControl w:val="0"/>
        <w:kinsoku/>
        <w:wordWrap/>
        <w:overflowPunct/>
        <w:topLinePunct w:val="0"/>
        <w:autoSpaceDE/>
        <w:autoSpaceDN/>
        <w:bidi w:val="0"/>
        <w:spacing w:line="578" w:lineRule="exact"/>
        <w:ind w:left="0" w:firstLine="643" w:firstLineChars="200"/>
        <w:jc w:val="both"/>
        <w:textAlignment w:val="auto"/>
        <w:rPr>
          <w:rFonts w:hint="eastAsia" w:ascii="仿宋_GB2312" w:hAnsi="仿宋" w:eastAsia="仿宋_GB2312"/>
          <w:color w:val="auto"/>
          <w:sz w:val="32"/>
          <w:szCs w:val="32"/>
          <w:highlight w:val="none"/>
          <w:lang w:val="en-US" w:eastAsia="zh-CN"/>
        </w:rPr>
      </w:pPr>
      <w:r>
        <w:rPr>
          <w:rFonts w:hint="eastAsia" w:ascii="黑体" w:hAnsi="黑体" w:eastAsia="黑体"/>
          <w:b/>
          <w:sz w:val="32"/>
          <w:szCs w:val="32"/>
          <w:highlight w:val="none"/>
        </w:rPr>
        <w:t xml:space="preserve">二、行政处罚的依据、种类及其履行方式和期限 </w:t>
      </w:r>
    </w:p>
    <w:p w14:paraId="609AE086">
      <w:pPr>
        <w:keepNext w:val="0"/>
        <w:keepLines w:val="0"/>
        <w:pageBreakBefore w:val="0"/>
        <w:widowControl w:val="0"/>
        <w:kinsoku/>
        <w:wordWrap/>
        <w:overflowPunct/>
        <w:topLinePunct w:val="0"/>
        <w:autoSpaceDE/>
        <w:autoSpaceDN/>
        <w:bidi w:val="0"/>
        <w:spacing w:line="578" w:lineRule="exact"/>
        <w:ind w:left="0" w:firstLine="640" w:firstLineChars="200"/>
        <w:jc w:val="both"/>
        <w:textAlignment w:val="auto"/>
        <w:rPr>
          <w:rFonts w:hint="eastAsia" w:ascii="仿宋_GB2312" w:hAnsi="仿宋" w:eastAsia="仿宋_GB2312" w:cs="Times New Roman"/>
          <w:b/>
          <w:bCs/>
          <w:sz w:val="32"/>
          <w:szCs w:val="32"/>
          <w:highlight w:val="none"/>
          <w:lang w:eastAsia="zh-CN"/>
        </w:rPr>
      </w:pPr>
      <w:r>
        <w:rPr>
          <w:rFonts w:hint="eastAsia" w:ascii="仿宋_GB2312" w:hAnsi="仿宋" w:eastAsia="仿宋_GB2312" w:cs="Times New Roman"/>
          <w:color w:val="auto"/>
          <w:sz w:val="32"/>
          <w:szCs w:val="32"/>
          <w:highlight w:val="none"/>
          <w:lang w:eastAsia="zh-CN"/>
        </w:rPr>
        <w:t>综合你单位违法行为的事实，依据</w:t>
      </w:r>
      <w:r>
        <w:rPr>
          <w:rFonts w:hint="eastAsia" w:ascii="仿宋_GB2312" w:hAnsi="仿宋" w:eastAsia="仿宋_GB2312" w:cs="Times New Roman"/>
          <w:sz w:val="32"/>
          <w:szCs w:val="32"/>
          <w:highlight w:val="none"/>
        </w:rPr>
        <w:t>《中华人民共和国大气污染防治法》第一百零八条第二项</w:t>
      </w:r>
      <w:r>
        <w:rPr>
          <w:rFonts w:hint="eastAsia" w:ascii="仿宋_GB2312" w:hAnsi="仿宋" w:eastAsia="仿宋_GB2312" w:cs="Times New Roman"/>
          <w:color w:val="auto"/>
          <w:sz w:val="32"/>
          <w:szCs w:val="32"/>
          <w:highlight w:val="none"/>
          <w:lang w:eastAsia="zh-CN"/>
        </w:rPr>
        <w:t>“违反本法规定，有下列行为之一的，由县级以上人民政府生态环境主管部门责令改正，处二万元以上二十万元以下的罚款；拒不改正的，责令停产整治：（二）工业涂装企业未使用低挥发性有机物含量涂料或者未建立、保存台账的；”规定，参照</w:t>
      </w:r>
      <w:r>
        <w:rPr>
          <w:rFonts w:hint="eastAsia" w:ascii="仿宋_GB2312" w:hAnsi="仿宋" w:eastAsia="仿宋_GB2312" w:cs="Times New Roman"/>
          <w:sz w:val="32"/>
          <w:szCs w:val="32"/>
          <w:highlight w:val="none"/>
        </w:rPr>
        <w:t>《广东省生态环境行政处罚自由裁量权规定》附件1§</w:t>
      </w:r>
      <w:r>
        <w:rPr>
          <w:rFonts w:hint="eastAsia" w:ascii="仿宋_GB2312" w:hAnsi="仿宋" w:eastAsia="仿宋_GB2312" w:cs="Times New Roman"/>
          <w:sz w:val="32"/>
          <w:szCs w:val="32"/>
          <w:highlight w:val="none"/>
          <w:lang w:val="en-US" w:eastAsia="zh-CN"/>
        </w:rPr>
        <w:t>3.15</w:t>
      </w:r>
      <w:r>
        <w:rPr>
          <w:rFonts w:hint="eastAsia" w:ascii="仿宋_GB2312" w:hAnsi="仿宋" w:eastAsia="仿宋_GB2312" w:cs="Times New Roman"/>
          <w:sz w:val="32"/>
          <w:szCs w:val="32"/>
          <w:highlight w:val="none"/>
        </w:rPr>
        <w:t>以及《江门市实施&lt;广东省生态环境行政处罚自由裁量权规定&gt;细则》第六条、第七条第二项</w:t>
      </w:r>
      <w:r>
        <w:rPr>
          <w:rFonts w:hint="eastAsia" w:ascii="仿宋_GB2312" w:hAnsi="仿宋" w:eastAsia="仿宋_GB2312" w:cs="Times New Roman"/>
          <w:sz w:val="32"/>
          <w:szCs w:val="32"/>
          <w:highlight w:val="none"/>
          <w:lang w:eastAsia="zh-CN"/>
        </w:rPr>
        <w:t>第</w:t>
      </w:r>
      <w:r>
        <w:rPr>
          <w:rFonts w:hint="eastAsia" w:ascii="仿宋_GB2312" w:hAnsi="仿宋" w:eastAsia="仿宋_GB2312" w:cs="Times New Roman"/>
          <w:sz w:val="32"/>
          <w:szCs w:val="32"/>
          <w:highlight w:val="none"/>
          <w:lang w:val="en-US" w:eastAsia="zh-CN"/>
        </w:rPr>
        <w:t>2目、</w:t>
      </w:r>
      <w:r>
        <w:rPr>
          <w:rFonts w:hint="eastAsia" w:ascii="仿宋_GB2312" w:hAnsi="仿宋" w:eastAsia="仿宋_GB2312" w:cs="Times New Roman"/>
          <w:sz w:val="32"/>
          <w:szCs w:val="32"/>
          <w:highlight w:val="none"/>
          <w:lang w:eastAsia="zh-CN"/>
        </w:rPr>
        <w:t>第</w:t>
      </w:r>
      <w:r>
        <w:rPr>
          <w:rFonts w:hint="eastAsia" w:ascii="仿宋_GB2312" w:hAnsi="仿宋" w:eastAsia="仿宋_GB2312" w:cs="Times New Roman"/>
          <w:sz w:val="32"/>
          <w:szCs w:val="32"/>
          <w:highlight w:val="none"/>
          <w:lang w:val="en-US" w:eastAsia="zh-CN"/>
        </w:rPr>
        <w:t>4</w:t>
      </w:r>
      <w:r>
        <w:rPr>
          <w:rFonts w:hint="eastAsia" w:ascii="仿宋_GB2312" w:hAnsi="仿宋" w:eastAsia="仿宋_GB2312" w:cs="Times New Roman"/>
          <w:sz w:val="32"/>
          <w:szCs w:val="32"/>
          <w:highlight w:val="none"/>
          <w:lang w:eastAsia="zh-CN"/>
        </w:rPr>
        <w:t>目、</w:t>
      </w:r>
      <w:r>
        <w:rPr>
          <w:rFonts w:hint="eastAsia" w:ascii="仿宋_GB2312" w:hAnsi="仿宋" w:eastAsia="仿宋_GB2312" w:cs="Times New Roman"/>
          <w:sz w:val="32"/>
          <w:szCs w:val="32"/>
          <w:highlight w:val="none"/>
          <w:lang w:val="en-US" w:eastAsia="zh-CN"/>
        </w:rPr>
        <w:t>第7目</w:t>
      </w:r>
      <w:r>
        <w:rPr>
          <w:rFonts w:hint="eastAsia" w:ascii="仿宋_GB2312" w:hAnsi="仿宋" w:eastAsia="仿宋_GB2312" w:cs="Times New Roman"/>
          <w:sz w:val="32"/>
          <w:szCs w:val="32"/>
          <w:highlight w:val="none"/>
          <w:lang w:eastAsia="zh-CN"/>
        </w:rPr>
        <w:t>裁量标准的</w:t>
      </w:r>
      <w:r>
        <w:rPr>
          <w:rFonts w:hint="eastAsia" w:ascii="仿宋_GB2312" w:hAnsi="仿宋" w:eastAsia="仿宋_GB2312" w:cs="Times New Roman"/>
          <w:sz w:val="32"/>
          <w:szCs w:val="32"/>
          <w:highlight w:val="none"/>
        </w:rPr>
        <w:t>规定</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b/>
          <w:bCs/>
          <w:sz w:val="32"/>
          <w:szCs w:val="32"/>
          <w:highlight w:val="none"/>
          <w:lang w:eastAsia="zh-CN"/>
        </w:rPr>
        <w:t>我局决定对你单位作出罚款人民币</w:t>
      </w:r>
      <w:r>
        <w:rPr>
          <w:rFonts w:hint="eastAsia" w:ascii="仿宋_GB2312" w:hAnsi="仿宋" w:eastAsia="仿宋_GB2312" w:cs="Times New Roman"/>
          <w:b/>
          <w:bCs/>
          <w:sz w:val="32"/>
          <w:szCs w:val="32"/>
          <w:highlight w:val="none"/>
          <w:lang w:val="en-US" w:eastAsia="zh-CN"/>
        </w:rPr>
        <w:t>2.975</w:t>
      </w:r>
      <w:r>
        <w:rPr>
          <w:rFonts w:hint="eastAsia" w:ascii="仿宋_GB2312" w:hAnsi="仿宋" w:eastAsia="仿宋_GB2312" w:cs="Times New Roman"/>
          <w:b/>
          <w:bCs/>
          <w:sz w:val="32"/>
          <w:szCs w:val="32"/>
          <w:highlight w:val="none"/>
          <w:lang w:eastAsia="zh-CN"/>
        </w:rPr>
        <w:t>万元整（大写：</w:t>
      </w:r>
      <w:r>
        <w:rPr>
          <w:rFonts w:hint="eastAsia" w:ascii="仿宋_GB2312" w:hAnsi="仿宋" w:eastAsia="仿宋_GB2312"/>
          <w:b/>
          <w:bCs/>
          <w:color w:val="000000"/>
          <w:sz w:val="32"/>
          <w:szCs w:val="32"/>
          <w:highlight w:val="none"/>
          <w:lang w:eastAsia="zh-CN"/>
        </w:rPr>
        <w:t>贰万玖仟柒佰伍拾元</w:t>
      </w:r>
      <w:r>
        <w:rPr>
          <w:rFonts w:hint="eastAsia" w:ascii="仿宋_GB2312" w:hAnsi="仿宋" w:eastAsia="仿宋_GB2312" w:cs="Times New Roman"/>
          <w:b/>
          <w:bCs/>
          <w:sz w:val="32"/>
          <w:szCs w:val="32"/>
          <w:highlight w:val="none"/>
          <w:lang w:eastAsia="zh-CN"/>
        </w:rPr>
        <w:t>）的行政处罚。</w:t>
      </w:r>
    </w:p>
    <w:p w14:paraId="5F75CF1E">
      <w:pPr>
        <w:keepNext w:val="0"/>
        <w:keepLines w:val="0"/>
        <w:pageBreakBefore w:val="0"/>
        <w:widowControl w:val="0"/>
        <w:kinsoku/>
        <w:wordWrap/>
        <w:overflowPunct/>
        <w:topLinePunct w:val="0"/>
        <w:autoSpaceDE/>
        <w:autoSpaceDN/>
        <w:bidi w:val="0"/>
        <w:spacing w:line="578" w:lineRule="exact"/>
        <w:ind w:left="0"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根据《中华人民共和国行政处罚法》第六十七条</w:t>
      </w:r>
      <w:r>
        <w:rPr>
          <w:rFonts w:hint="eastAsia" w:ascii="仿宋_GB2312" w:hAnsi="仿宋" w:eastAsia="仿宋_GB2312"/>
          <w:color w:val="000000"/>
          <w:sz w:val="32"/>
          <w:szCs w:val="32"/>
          <w:highlight w:val="none"/>
          <w:lang w:eastAsia="zh-CN"/>
        </w:rPr>
        <w:t>第三款</w:t>
      </w:r>
      <w:r>
        <w:rPr>
          <w:rFonts w:hint="eastAsia" w:ascii="仿宋_GB2312" w:hAnsi="仿宋" w:eastAsia="仿宋_GB2312"/>
          <w:color w:val="000000"/>
          <w:sz w:val="32"/>
          <w:szCs w:val="32"/>
          <w:highlight w:val="none"/>
        </w:rPr>
        <w:t>的规定，限于接到本处罚决定之日起15日内到</w:t>
      </w:r>
      <w:r>
        <w:rPr>
          <w:rFonts w:hint="eastAsia" w:ascii="仿宋_GB2312" w:hAnsi="仿宋" w:eastAsia="仿宋_GB2312"/>
          <w:color w:val="000000"/>
          <w:sz w:val="32"/>
          <w:szCs w:val="32"/>
          <w:highlight w:val="none"/>
          <w:lang w:eastAsia="zh-CN"/>
        </w:rPr>
        <w:t>江门市生态环境局江海分局</w:t>
      </w:r>
      <w:r>
        <w:rPr>
          <w:rFonts w:hint="eastAsia" w:ascii="仿宋_GB2312" w:hAnsi="仿宋" w:eastAsia="仿宋_GB2312"/>
          <w:color w:val="000000"/>
          <w:sz w:val="32"/>
          <w:szCs w:val="32"/>
          <w:highlight w:val="none"/>
        </w:rPr>
        <w:t>（地址：江门</w:t>
      </w:r>
      <w:r>
        <w:rPr>
          <w:rFonts w:hint="eastAsia" w:ascii="仿宋_GB2312" w:hAnsi="仿宋" w:eastAsia="仿宋_GB2312"/>
          <w:color w:val="000000"/>
          <w:sz w:val="32"/>
          <w:szCs w:val="32"/>
          <w:highlight w:val="none"/>
          <w:lang w:eastAsia="zh-CN"/>
        </w:rPr>
        <w:t>市江海区富民路</w:t>
      </w:r>
      <w:r>
        <w:rPr>
          <w:rFonts w:hint="eastAsia" w:ascii="仿宋_GB2312" w:hAnsi="仿宋" w:eastAsia="仿宋_GB2312"/>
          <w:color w:val="000000"/>
          <w:sz w:val="32"/>
          <w:szCs w:val="32"/>
          <w:highlight w:val="none"/>
          <w:lang w:val="en-US" w:eastAsia="zh-CN"/>
        </w:rPr>
        <w:t>15号</w:t>
      </w:r>
      <w:r>
        <w:rPr>
          <w:rFonts w:hint="eastAsia" w:ascii="仿宋_GB2312" w:hAnsi="仿宋" w:eastAsia="仿宋_GB2312"/>
          <w:color w:val="000000"/>
          <w:sz w:val="32"/>
          <w:szCs w:val="32"/>
          <w:highlight w:val="none"/>
        </w:rPr>
        <w:t>）开具《非税收入罚没</w:t>
      </w:r>
      <w:r>
        <w:rPr>
          <w:rFonts w:hint="eastAsia" w:ascii="仿宋_GB2312" w:hAnsi="仿宋" w:eastAsia="仿宋_GB2312"/>
          <w:color w:val="000000"/>
          <w:sz w:val="32"/>
          <w:szCs w:val="32"/>
          <w:highlight w:val="none"/>
          <w:lang w:eastAsia="zh-CN"/>
        </w:rPr>
        <w:t>通知</w:t>
      </w:r>
      <w:r>
        <w:rPr>
          <w:rFonts w:hint="eastAsia" w:ascii="仿宋_GB2312" w:hAnsi="仿宋" w:eastAsia="仿宋_GB2312"/>
          <w:color w:val="000000"/>
          <w:sz w:val="32"/>
          <w:szCs w:val="32"/>
          <w:highlight w:val="none"/>
        </w:rPr>
        <w:t>书》后，将罚款交到中国建设银行江门市分行指定账户。</w:t>
      </w:r>
    </w:p>
    <w:p w14:paraId="010C8A77">
      <w:pPr>
        <w:keepNext w:val="0"/>
        <w:keepLines w:val="0"/>
        <w:pageBreakBefore w:val="0"/>
        <w:widowControl w:val="0"/>
        <w:kinsoku/>
        <w:wordWrap/>
        <w:overflowPunct/>
        <w:topLinePunct w:val="0"/>
        <w:autoSpaceDE/>
        <w:autoSpaceDN/>
        <w:bidi w:val="0"/>
        <w:spacing w:line="578" w:lineRule="exact"/>
        <w:ind w:left="0" w:firstLine="643"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b/>
          <w:color w:val="000000"/>
          <w:sz w:val="32"/>
          <w:szCs w:val="32"/>
          <w:highlight w:val="none"/>
        </w:rPr>
        <w:t>逾期不缴纳罚款的，我局可按照《中华人民共和国行政处罚法》第七十二条</w:t>
      </w:r>
      <w:r>
        <w:rPr>
          <w:rFonts w:hint="eastAsia" w:ascii="仿宋_GB2312" w:hAnsi="仿宋" w:eastAsia="仿宋_GB2312"/>
          <w:b/>
          <w:color w:val="000000"/>
          <w:sz w:val="32"/>
          <w:szCs w:val="32"/>
          <w:highlight w:val="none"/>
          <w:lang w:eastAsia="zh-CN"/>
        </w:rPr>
        <w:t>第一款第一项</w:t>
      </w:r>
      <w:r>
        <w:rPr>
          <w:rFonts w:hint="eastAsia" w:ascii="仿宋_GB2312" w:hAnsi="仿宋" w:eastAsia="仿宋_GB2312"/>
          <w:b/>
          <w:color w:val="000000"/>
          <w:sz w:val="32"/>
          <w:szCs w:val="32"/>
          <w:highlight w:val="none"/>
        </w:rPr>
        <w:t>的规定，每日按罚款数额的百分之三加处罚款，加处罚款数额不超过行政处罚数额。</w:t>
      </w:r>
      <w:r>
        <w:rPr>
          <w:rFonts w:hint="eastAsia" w:ascii="仿宋_GB2312" w:hAnsi="仿宋" w:eastAsia="仿宋_GB2312"/>
          <w:color w:val="000000"/>
          <w:sz w:val="32"/>
          <w:szCs w:val="32"/>
          <w:highlight w:val="none"/>
        </w:rPr>
        <w:t>（咨询电话：0750-386</w:t>
      </w:r>
      <w:r>
        <w:rPr>
          <w:rFonts w:hint="eastAsia" w:ascii="仿宋_GB2312" w:hAnsi="仿宋" w:eastAsia="仿宋_GB2312"/>
          <w:color w:val="000000"/>
          <w:sz w:val="32"/>
          <w:szCs w:val="32"/>
          <w:highlight w:val="none"/>
          <w:lang w:val="en-US" w:eastAsia="zh-CN"/>
        </w:rPr>
        <w:t>1097</w:t>
      </w:r>
      <w:r>
        <w:rPr>
          <w:rFonts w:hint="eastAsia" w:ascii="仿宋_GB2312" w:hAnsi="仿宋" w:eastAsia="仿宋_GB2312"/>
          <w:color w:val="000000"/>
          <w:sz w:val="32"/>
          <w:szCs w:val="32"/>
          <w:highlight w:val="none"/>
        </w:rPr>
        <w:t>）</w:t>
      </w:r>
    </w:p>
    <w:p w14:paraId="39E2906B">
      <w:pPr>
        <w:keepNext w:val="0"/>
        <w:keepLines w:val="0"/>
        <w:pageBreakBefore w:val="0"/>
        <w:widowControl w:val="0"/>
        <w:tabs>
          <w:tab w:val="left" w:pos="709"/>
          <w:tab w:val="left" w:pos="851"/>
        </w:tabs>
        <w:kinsoku/>
        <w:wordWrap/>
        <w:overflowPunct/>
        <w:topLinePunct w:val="0"/>
        <w:autoSpaceDE/>
        <w:autoSpaceDN/>
        <w:bidi w:val="0"/>
        <w:spacing w:line="578" w:lineRule="exact"/>
        <w:ind w:left="0"/>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    </w:t>
      </w:r>
      <w:r>
        <w:rPr>
          <w:rFonts w:hint="eastAsia" w:ascii="黑体" w:hAnsi="黑体" w:eastAsia="黑体"/>
          <w:b/>
          <w:sz w:val="32"/>
          <w:szCs w:val="32"/>
          <w:highlight w:val="none"/>
          <w:lang w:eastAsia="zh-CN"/>
        </w:rPr>
        <w:t>三</w:t>
      </w:r>
      <w:r>
        <w:rPr>
          <w:rFonts w:hint="eastAsia" w:ascii="黑体" w:hAnsi="黑体" w:eastAsia="黑体"/>
          <w:b/>
          <w:sz w:val="32"/>
          <w:szCs w:val="32"/>
          <w:highlight w:val="none"/>
        </w:rPr>
        <w:t>、申请复议或者提起诉讼的途径和期限</w:t>
      </w:r>
    </w:p>
    <w:p w14:paraId="2934BC8B">
      <w:pPr>
        <w:keepNext w:val="0"/>
        <w:keepLines w:val="0"/>
        <w:pageBreakBefore w:val="0"/>
        <w:widowControl w:val="0"/>
        <w:tabs>
          <w:tab w:val="left" w:pos="8222"/>
        </w:tabs>
        <w:kinsoku/>
        <w:wordWrap/>
        <w:overflowPunct/>
        <w:topLinePunct w:val="0"/>
        <w:autoSpaceDE/>
        <w:autoSpaceDN/>
        <w:bidi w:val="0"/>
        <w:spacing w:line="578" w:lineRule="exact"/>
        <w:ind w:left="0"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根据《中华人民共和国行政处罚法》第七条</w:t>
      </w:r>
      <w:r>
        <w:rPr>
          <w:rFonts w:hint="eastAsia" w:ascii="仿宋_GB2312" w:hAnsi="仿宋" w:eastAsia="仿宋_GB2312"/>
          <w:color w:val="000000"/>
          <w:sz w:val="32"/>
          <w:szCs w:val="32"/>
          <w:highlight w:val="none"/>
          <w:lang w:eastAsia="zh-CN"/>
        </w:rPr>
        <w:t>第一款</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《中华人民共和国行政复议法》第二十条和第二十四条第一款第一项、</w:t>
      </w:r>
      <w:r>
        <w:rPr>
          <w:rFonts w:hint="eastAsia" w:ascii="仿宋_GB2312" w:hAnsi="仿宋" w:eastAsia="仿宋_GB2312"/>
          <w:color w:val="000000"/>
          <w:sz w:val="32"/>
          <w:szCs w:val="32"/>
          <w:highlight w:val="none"/>
        </w:rPr>
        <w:t>《广东省人民政府关于县级以上人民政府统一行使行政复议职责有关事项的通告》（粤府函〔2021〕99号）</w:t>
      </w:r>
      <w:r>
        <w:rPr>
          <w:rFonts w:hint="eastAsia" w:ascii="仿宋_GB2312" w:hAnsi="仿宋" w:eastAsia="仿宋_GB2312"/>
          <w:color w:val="000000"/>
          <w:sz w:val="32"/>
          <w:szCs w:val="32"/>
          <w:highlight w:val="none"/>
          <w:lang w:eastAsia="zh-CN"/>
        </w:rPr>
        <w:t>以及</w:t>
      </w:r>
      <w:r>
        <w:rPr>
          <w:rFonts w:hint="eastAsia" w:ascii="仿宋_GB2312" w:hAnsi="仿宋" w:eastAsia="仿宋_GB2312"/>
          <w:color w:val="000000"/>
          <w:sz w:val="32"/>
          <w:szCs w:val="32"/>
          <w:highlight w:val="none"/>
        </w:rPr>
        <w:t>《中华人民共和国行政诉讼法》第四十六条第一款的规定，如不服本处罚决定，你</w:t>
      </w:r>
      <w:r>
        <w:rPr>
          <w:rFonts w:hint="eastAsia" w:ascii="仿宋_GB2312" w:hAnsi="仿宋" w:eastAsia="仿宋_GB2312"/>
          <w:color w:val="000000"/>
          <w:sz w:val="32"/>
          <w:szCs w:val="32"/>
          <w:highlight w:val="none"/>
          <w:lang w:eastAsia="zh-CN"/>
        </w:rPr>
        <w:t>单位</w:t>
      </w:r>
      <w:r>
        <w:rPr>
          <w:rFonts w:hint="eastAsia" w:ascii="仿宋_GB2312" w:hAnsi="仿宋" w:eastAsia="仿宋_GB2312"/>
          <w:color w:val="000000"/>
          <w:sz w:val="32"/>
          <w:szCs w:val="32"/>
          <w:highlight w:val="none"/>
        </w:rPr>
        <w:t>可在接到决定书之日起六十日内向江门市人民政府行政复议办公室申请复议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受理地址：江门市人民政府行政复议办公室，江门市蓬江区西园里中三号之一江门市人民政府西侧门</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，也可在接到本决定书之日起六个月内直接向江门市</w:t>
      </w:r>
      <w:r>
        <w:rPr>
          <w:rFonts w:hint="eastAsia" w:ascii="仿宋_GB2312" w:hAnsi="仿宋" w:eastAsia="仿宋_GB2312"/>
          <w:color w:val="000000"/>
          <w:sz w:val="32"/>
          <w:szCs w:val="32"/>
          <w:highlight w:val="none"/>
          <w:lang w:eastAsia="zh-CN"/>
        </w:rPr>
        <w:t>新会</w:t>
      </w:r>
      <w:r>
        <w:rPr>
          <w:rFonts w:hint="eastAsia" w:ascii="仿宋_GB2312" w:hAnsi="仿宋" w:eastAsia="仿宋_GB2312"/>
          <w:color w:val="000000"/>
          <w:sz w:val="32"/>
          <w:szCs w:val="32"/>
          <w:highlight w:val="none"/>
        </w:rPr>
        <w:t>区人民法院提起诉讼。逾期不申请行政复议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也不提起诉讼</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又不履行本处罚决定的，我局将依法申请人民法院强制执行。</w:t>
      </w:r>
    </w:p>
    <w:p w14:paraId="6670CDA5">
      <w:pPr>
        <w:keepNext w:val="0"/>
        <w:keepLines w:val="0"/>
        <w:pageBreakBefore w:val="0"/>
        <w:widowControl w:val="0"/>
        <w:tabs>
          <w:tab w:val="left" w:pos="8222"/>
        </w:tabs>
        <w:kinsoku/>
        <w:wordWrap/>
        <w:overflowPunct/>
        <w:topLinePunct w:val="0"/>
        <w:autoSpaceDE/>
        <w:autoSpaceDN/>
        <w:bidi w:val="0"/>
        <w:spacing w:line="578" w:lineRule="exact"/>
        <w:ind w:left="0" w:firstLine="640" w:firstLineChars="200"/>
        <w:jc w:val="both"/>
        <w:textAlignment w:val="auto"/>
        <w:rPr>
          <w:rFonts w:hint="eastAsia" w:ascii="仿宋_GB2312" w:hAnsi="仿宋" w:eastAsia="仿宋_GB2312"/>
          <w:color w:val="000000"/>
          <w:sz w:val="32"/>
          <w:szCs w:val="32"/>
          <w:highlight w:val="none"/>
        </w:rPr>
      </w:pPr>
    </w:p>
    <w:p w14:paraId="53C5F764">
      <w:pPr>
        <w:keepNext w:val="0"/>
        <w:keepLines w:val="0"/>
        <w:pageBreakBefore w:val="0"/>
        <w:widowControl w:val="0"/>
        <w:tabs>
          <w:tab w:val="left" w:pos="8222"/>
        </w:tabs>
        <w:kinsoku/>
        <w:wordWrap/>
        <w:overflowPunct/>
        <w:topLinePunct w:val="0"/>
        <w:autoSpaceDE/>
        <w:autoSpaceDN/>
        <w:bidi w:val="0"/>
        <w:spacing w:line="578" w:lineRule="exact"/>
        <w:ind w:left="0" w:firstLine="640" w:firstLineChars="200"/>
        <w:jc w:val="both"/>
        <w:textAlignment w:val="auto"/>
        <w:rPr>
          <w:rFonts w:hint="eastAsia" w:ascii="仿宋_GB2312" w:hAnsi="仿宋" w:eastAsia="仿宋_GB2312"/>
          <w:color w:val="000000"/>
          <w:sz w:val="32"/>
          <w:szCs w:val="32"/>
          <w:highlight w:val="none"/>
        </w:rPr>
      </w:pPr>
    </w:p>
    <w:p w14:paraId="60F95AAD">
      <w:pPr>
        <w:keepNext w:val="0"/>
        <w:keepLines w:val="0"/>
        <w:pageBreakBefore w:val="0"/>
        <w:widowControl w:val="0"/>
        <w:tabs>
          <w:tab w:val="left" w:pos="8222"/>
        </w:tabs>
        <w:kinsoku/>
        <w:wordWrap/>
        <w:overflowPunct/>
        <w:topLinePunct w:val="0"/>
        <w:autoSpaceDE/>
        <w:autoSpaceDN/>
        <w:bidi w:val="0"/>
        <w:adjustRightInd w:val="0"/>
        <w:snapToGrid w:val="0"/>
        <w:spacing w:line="578" w:lineRule="exact"/>
        <w:ind w:left="0"/>
        <w:jc w:val="left"/>
        <w:textAlignment w:val="auto"/>
        <w:rPr>
          <w:rFonts w:ascii="仿宋_GB2312" w:hAnsi="仿宋" w:eastAsia="仿宋_GB2312"/>
          <w:color w:val="000000"/>
          <w:sz w:val="32"/>
          <w:szCs w:val="32"/>
          <w:highlight w:val="none"/>
        </w:rPr>
      </w:pPr>
      <w:r>
        <w:rPr>
          <w:rFonts w:hint="eastAsia" w:ascii="仿宋_GB2312" w:hAnsi="仿宋" w:eastAsia="仿宋_GB2312"/>
          <w:b/>
          <w:sz w:val="30"/>
          <w:szCs w:val="30"/>
          <w:highlight w:val="none"/>
        </w:rPr>
        <w:t xml:space="preserve">                                     </w:t>
      </w:r>
      <w:r>
        <w:rPr>
          <w:rFonts w:hint="eastAsia" w:ascii="仿宋_GB2312" w:hAnsi="仿宋" w:eastAsia="仿宋_GB2312"/>
          <w:color w:val="000000"/>
          <w:sz w:val="32"/>
          <w:szCs w:val="32"/>
          <w:highlight w:val="none"/>
        </w:rPr>
        <w:t>江门市生态环境局</w:t>
      </w:r>
    </w:p>
    <w:p w14:paraId="21D2DE54">
      <w:pPr>
        <w:keepNext w:val="0"/>
        <w:keepLines w:val="0"/>
        <w:pageBreakBefore w:val="0"/>
        <w:widowControl w:val="0"/>
        <w:tabs>
          <w:tab w:val="left" w:pos="567"/>
        </w:tabs>
        <w:kinsoku/>
        <w:wordWrap/>
        <w:overflowPunct/>
        <w:topLinePunct w:val="0"/>
        <w:autoSpaceDE/>
        <w:autoSpaceDN/>
        <w:bidi w:val="0"/>
        <w:spacing w:line="578" w:lineRule="exact"/>
        <w:ind w:left="0"/>
        <w:jc w:val="left"/>
        <w:textAlignment w:val="auto"/>
        <w:rPr>
          <w:rFonts w:ascii="仿宋_GB2312" w:eastAsia="仿宋_GB2312"/>
          <w:sz w:val="32"/>
          <w:szCs w:val="32"/>
          <w:highlight w:val="none"/>
        </w:rPr>
      </w:pPr>
      <w:r>
        <w:rPr>
          <w:rFonts w:hint="eastAsia" w:ascii="仿宋_GB2312" w:hAnsi="仿宋" w:eastAsia="仿宋_GB2312"/>
          <w:color w:val="000000"/>
          <w:sz w:val="32"/>
          <w:szCs w:val="32"/>
          <w:highlight w:val="none"/>
        </w:rPr>
        <w:t xml:space="preserve">                                   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8</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18</w:t>
      </w:r>
      <w:r>
        <w:rPr>
          <w:rFonts w:hint="eastAsia" w:ascii="仿宋_GB2312" w:hAnsi="仿宋" w:eastAsia="仿宋_GB2312"/>
          <w:color w:val="000000"/>
          <w:sz w:val="32"/>
          <w:szCs w:val="32"/>
          <w:highlight w:val="none"/>
        </w:rPr>
        <w:t>日</w:t>
      </w:r>
    </w:p>
    <w:sectPr>
      <w:footerReference r:id="rId3" w:type="default"/>
      <w:pgSz w:w="11906" w:h="16838"/>
      <w:pgMar w:top="1587" w:right="1474" w:bottom="1587"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鼎CS大宋">
    <w:panose1 w:val="02010609010101010101"/>
    <w:charset w:val="86"/>
    <w:family w:val="modern"/>
    <w:pitch w:val="default"/>
    <w:sig w:usb0="00000000" w:usb1="00000000" w:usb2="00000000" w:usb3="00000000" w:csb0="00000000" w:csb1="00000000"/>
  </w:font>
  <w:font w:name="方正大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1BEB7">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E01AD1">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0E01AD1">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45334D"/>
    <w:rsid w:val="018D678B"/>
    <w:rsid w:val="02540C49"/>
    <w:rsid w:val="02833AA3"/>
    <w:rsid w:val="02AA45F1"/>
    <w:rsid w:val="02D326C9"/>
    <w:rsid w:val="03715BAF"/>
    <w:rsid w:val="03922815"/>
    <w:rsid w:val="040A4E45"/>
    <w:rsid w:val="04A973D8"/>
    <w:rsid w:val="05616B78"/>
    <w:rsid w:val="06CD5EE0"/>
    <w:rsid w:val="08392955"/>
    <w:rsid w:val="08B04283"/>
    <w:rsid w:val="09D92046"/>
    <w:rsid w:val="09E22693"/>
    <w:rsid w:val="0A54249D"/>
    <w:rsid w:val="0AA90837"/>
    <w:rsid w:val="0AAB579B"/>
    <w:rsid w:val="0B055BA6"/>
    <w:rsid w:val="0B181711"/>
    <w:rsid w:val="0BB35B7A"/>
    <w:rsid w:val="0D7774E5"/>
    <w:rsid w:val="0D811A27"/>
    <w:rsid w:val="0DAC252E"/>
    <w:rsid w:val="0E287049"/>
    <w:rsid w:val="0E96654F"/>
    <w:rsid w:val="0EBB6EE7"/>
    <w:rsid w:val="0EBC578E"/>
    <w:rsid w:val="0FF13980"/>
    <w:rsid w:val="10D56BBA"/>
    <w:rsid w:val="111C5C2D"/>
    <w:rsid w:val="11B147AE"/>
    <w:rsid w:val="11C47BB0"/>
    <w:rsid w:val="12093B90"/>
    <w:rsid w:val="12862EBD"/>
    <w:rsid w:val="14661013"/>
    <w:rsid w:val="146B4047"/>
    <w:rsid w:val="15213FFD"/>
    <w:rsid w:val="155112B2"/>
    <w:rsid w:val="15C42C46"/>
    <w:rsid w:val="16437091"/>
    <w:rsid w:val="1658540F"/>
    <w:rsid w:val="16C62ECB"/>
    <w:rsid w:val="17020ABF"/>
    <w:rsid w:val="177A156A"/>
    <w:rsid w:val="17AC07CE"/>
    <w:rsid w:val="186E3A00"/>
    <w:rsid w:val="18EF5A3F"/>
    <w:rsid w:val="18F95384"/>
    <w:rsid w:val="190344DA"/>
    <w:rsid w:val="193A544E"/>
    <w:rsid w:val="194C74AE"/>
    <w:rsid w:val="196575D7"/>
    <w:rsid w:val="19BD6B3B"/>
    <w:rsid w:val="19D164AD"/>
    <w:rsid w:val="1B485C9B"/>
    <w:rsid w:val="1C0007A5"/>
    <w:rsid w:val="1CCC4F47"/>
    <w:rsid w:val="1D385AE2"/>
    <w:rsid w:val="1D794E63"/>
    <w:rsid w:val="1D9B546D"/>
    <w:rsid w:val="1E336ED8"/>
    <w:rsid w:val="1F0C202B"/>
    <w:rsid w:val="1F3A12F9"/>
    <w:rsid w:val="1FF163E5"/>
    <w:rsid w:val="20B63F6D"/>
    <w:rsid w:val="20E64F75"/>
    <w:rsid w:val="2111422A"/>
    <w:rsid w:val="215F640C"/>
    <w:rsid w:val="22533907"/>
    <w:rsid w:val="231F636F"/>
    <w:rsid w:val="23600875"/>
    <w:rsid w:val="23961225"/>
    <w:rsid w:val="23B67A29"/>
    <w:rsid w:val="23D85380"/>
    <w:rsid w:val="2593324A"/>
    <w:rsid w:val="27667709"/>
    <w:rsid w:val="27AB23B9"/>
    <w:rsid w:val="28790144"/>
    <w:rsid w:val="291A3E92"/>
    <w:rsid w:val="296F10A7"/>
    <w:rsid w:val="29B65A7F"/>
    <w:rsid w:val="29CD0CE3"/>
    <w:rsid w:val="29D17720"/>
    <w:rsid w:val="2A0947BF"/>
    <w:rsid w:val="2A20689E"/>
    <w:rsid w:val="2D7B45CB"/>
    <w:rsid w:val="2D8B152F"/>
    <w:rsid w:val="2E405189"/>
    <w:rsid w:val="2EEB0796"/>
    <w:rsid w:val="30745A25"/>
    <w:rsid w:val="31AB01F8"/>
    <w:rsid w:val="31AC6F2B"/>
    <w:rsid w:val="34B239BD"/>
    <w:rsid w:val="35F14678"/>
    <w:rsid w:val="35F46681"/>
    <w:rsid w:val="35FA5008"/>
    <w:rsid w:val="363F2197"/>
    <w:rsid w:val="364D2448"/>
    <w:rsid w:val="36AC3612"/>
    <w:rsid w:val="36DA769B"/>
    <w:rsid w:val="37262A72"/>
    <w:rsid w:val="375D05A0"/>
    <w:rsid w:val="378E4501"/>
    <w:rsid w:val="37B02950"/>
    <w:rsid w:val="37E607C5"/>
    <w:rsid w:val="38033706"/>
    <w:rsid w:val="38AA369B"/>
    <w:rsid w:val="39F41558"/>
    <w:rsid w:val="3AF311D3"/>
    <w:rsid w:val="3B8A37F6"/>
    <w:rsid w:val="3BAE4B60"/>
    <w:rsid w:val="3C281633"/>
    <w:rsid w:val="3C2D2B9F"/>
    <w:rsid w:val="3C376DF3"/>
    <w:rsid w:val="3C73EC65"/>
    <w:rsid w:val="3C9E7DD5"/>
    <w:rsid w:val="3D2221BD"/>
    <w:rsid w:val="3D5F7975"/>
    <w:rsid w:val="3E123949"/>
    <w:rsid w:val="3EB75F2A"/>
    <w:rsid w:val="3ED930B3"/>
    <w:rsid w:val="3F6A1DD8"/>
    <w:rsid w:val="3F964E60"/>
    <w:rsid w:val="3FB159AB"/>
    <w:rsid w:val="41457624"/>
    <w:rsid w:val="415D593F"/>
    <w:rsid w:val="41642E7C"/>
    <w:rsid w:val="41790595"/>
    <w:rsid w:val="41932A81"/>
    <w:rsid w:val="41E94E20"/>
    <w:rsid w:val="42994B23"/>
    <w:rsid w:val="439112D9"/>
    <w:rsid w:val="43ED184B"/>
    <w:rsid w:val="440B07AF"/>
    <w:rsid w:val="4496544D"/>
    <w:rsid w:val="45706D26"/>
    <w:rsid w:val="46116B69"/>
    <w:rsid w:val="46122081"/>
    <w:rsid w:val="46C44E5D"/>
    <w:rsid w:val="473F271B"/>
    <w:rsid w:val="474A45BD"/>
    <w:rsid w:val="47753FE8"/>
    <w:rsid w:val="48081F25"/>
    <w:rsid w:val="48396BCF"/>
    <w:rsid w:val="48595198"/>
    <w:rsid w:val="48D11AC4"/>
    <w:rsid w:val="48DC13FA"/>
    <w:rsid w:val="49693B09"/>
    <w:rsid w:val="4A5A3968"/>
    <w:rsid w:val="4B455C85"/>
    <w:rsid w:val="4B8D5369"/>
    <w:rsid w:val="4BA660E7"/>
    <w:rsid w:val="4C4C79B8"/>
    <w:rsid w:val="4C827694"/>
    <w:rsid w:val="4C9D21EE"/>
    <w:rsid w:val="4CD23EC9"/>
    <w:rsid w:val="4CD40081"/>
    <w:rsid w:val="4CF406C0"/>
    <w:rsid w:val="4D2A27EC"/>
    <w:rsid w:val="4DB57DDF"/>
    <w:rsid w:val="4DC87477"/>
    <w:rsid w:val="4E4463D1"/>
    <w:rsid w:val="4F122A03"/>
    <w:rsid w:val="4FB60134"/>
    <w:rsid w:val="4FFE6D78"/>
    <w:rsid w:val="50987A5C"/>
    <w:rsid w:val="50BE7D72"/>
    <w:rsid w:val="50E029F0"/>
    <w:rsid w:val="51080284"/>
    <w:rsid w:val="511750A2"/>
    <w:rsid w:val="519A433C"/>
    <w:rsid w:val="529E2848"/>
    <w:rsid w:val="52B23A5C"/>
    <w:rsid w:val="53496880"/>
    <w:rsid w:val="538C1DC7"/>
    <w:rsid w:val="53AC3999"/>
    <w:rsid w:val="53F74866"/>
    <w:rsid w:val="544A14CF"/>
    <w:rsid w:val="54CE705F"/>
    <w:rsid w:val="552D4350"/>
    <w:rsid w:val="55AA6129"/>
    <w:rsid w:val="567D553E"/>
    <w:rsid w:val="575C6F8F"/>
    <w:rsid w:val="58C97806"/>
    <w:rsid w:val="5AB6185D"/>
    <w:rsid w:val="5ACA7114"/>
    <w:rsid w:val="5B156354"/>
    <w:rsid w:val="5B4708C4"/>
    <w:rsid w:val="5CAC6E0C"/>
    <w:rsid w:val="5D0C6103"/>
    <w:rsid w:val="5D8F6D1E"/>
    <w:rsid w:val="5E001C89"/>
    <w:rsid w:val="5F3D5BD5"/>
    <w:rsid w:val="5FF5BDEC"/>
    <w:rsid w:val="603D12EC"/>
    <w:rsid w:val="60C121A6"/>
    <w:rsid w:val="615E28EC"/>
    <w:rsid w:val="616945BC"/>
    <w:rsid w:val="61C8147B"/>
    <w:rsid w:val="622D7AE2"/>
    <w:rsid w:val="625C2AAE"/>
    <w:rsid w:val="63B5695A"/>
    <w:rsid w:val="642D7291"/>
    <w:rsid w:val="65530DC6"/>
    <w:rsid w:val="66354692"/>
    <w:rsid w:val="670E7BDC"/>
    <w:rsid w:val="671D4807"/>
    <w:rsid w:val="67CA70E2"/>
    <w:rsid w:val="67E814EB"/>
    <w:rsid w:val="67FD2AFF"/>
    <w:rsid w:val="690237CE"/>
    <w:rsid w:val="6A0171F6"/>
    <w:rsid w:val="6A6A4F3E"/>
    <w:rsid w:val="6B6C452B"/>
    <w:rsid w:val="6B866AF7"/>
    <w:rsid w:val="6B8B1BAD"/>
    <w:rsid w:val="6BFD50A8"/>
    <w:rsid w:val="6C88775B"/>
    <w:rsid w:val="6C8E3253"/>
    <w:rsid w:val="6CF62181"/>
    <w:rsid w:val="6D036ADE"/>
    <w:rsid w:val="6E2B57CF"/>
    <w:rsid w:val="6E3F53B1"/>
    <w:rsid w:val="6FCB486D"/>
    <w:rsid w:val="6FFAB545"/>
    <w:rsid w:val="70121814"/>
    <w:rsid w:val="702E18B2"/>
    <w:rsid w:val="70AA2405"/>
    <w:rsid w:val="71521EB1"/>
    <w:rsid w:val="716167CC"/>
    <w:rsid w:val="72107463"/>
    <w:rsid w:val="72414600"/>
    <w:rsid w:val="72C60CC6"/>
    <w:rsid w:val="72EC5FE9"/>
    <w:rsid w:val="72F46C0F"/>
    <w:rsid w:val="73091B9C"/>
    <w:rsid w:val="732A0A8C"/>
    <w:rsid w:val="7345425E"/>
    <w:rsid w:val="737267BF"/>
    <w:rsid w:val="73A816F0"/>
    <w:rsid w:val="741F4562"/>
    <w:rsid w:val="74AD7904"/>
    <w:rsid w:val="74FC0DD2"/>
    <w:rsid w:val="75CA0AE9"/>
    <w:rsid w:val="75D732ED"/>
    <w:rsid w:val="77863E8D"/>
    <w:rsid w:val="778925D9"/>
    <w:rsid w:val="779506FC"/>
    <w:rsid w:val="77DE82FC"/>
    <w:rsid w:val="77FF40E1"/>
    <w:rsid w:val="78CDAA68"/>
    <w:rsid w:val="795500AB"/>
    <w:rsid w:val="797FAB81"/>
    <w:rsid w:val="79BF1A6D"/>
    <w:rsid w:val="7A5BC9CF"/>
    <w:rsid w:val="7AFA3BD3"/>
    <w:rsid w:val="7CD635D7"/>
    <w:rsid w:val="7CE7F212"/>
    <w:rsid w:val="7D7E74B8"/>
    <w:rsid w:val="7D99FF67"/>
    <w:rsid w:val="7DF726FE"/>
    <w:rsid w:val="7E4E5D17"/>
    <w:rsid w:val="7E5E3C09"/>
    <w:rsid w:val="7E5F3B60"/>
    <w:rsid w:val="7E7E4DAD"/>
    <w:rsid w:val="7EFEF2B0"/>
    <w:rsid w:val="7F3B6541"/>
    <w:rsid w:val="7F7420B2"/>
    <w:rsid w:val="7F7B6323"/>
    <w:rsid w:val="7FC749CB"/>
    <w:rsid w:val="7FFB3E39"/>
    <w:rsid w:val="7FFF3DBE"/>
    <w:rsid w:val="BBBE626C"/>
    <w:rsid w:val="BE2F87E8"/>
    <w:rsid w:val="C47BB29F"/>
    <w:rsid w:val="D25B4AA5"/>
    <w:rsid w:val="D6F92161"/>
    <w:rsid w:val="D7F3A725"/>
    <w:rsid w:val="DBBF5DBA"/>
    <w:rsid w:val="DF3F7CED"/>
    <w:rsid w:val="E6E38E1D"/>
    <w:rsid w:val="E9FFE157"/>
    <w:rsid w:val="EDFB5BB7"/>
    <w:rsid w:val="F177671E"/>
    <w:rsid w:val="F1A6DED5"/>
    <w:rsid w:val="F96E6A55"/>
    <w:rsid w:val="FBEF35A3"/>
    <w:rsid w:val="FF7F1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脚 Char"/>
    <w:link w:val="3"/>
    <w:qFormat/>
    <w:uiPriority w:val="99"/>
    <w:rPr>
      <w:sz w:val="18"/>
      <w:szCs w:val="18"/>
    </w:rPr>
  </w:style>
  <w:style w:type="character" w:customStyle="1" w:styleId="9">
    <w:name w:val="页眉 Char"/>
    <w:link w:val="4"/>
    <w:semiHidden/>
    <w:qFormat/>
    <w:uiPriority w:val="99"/>
    <w:rPr>
      <w:sz w:val="18"/>
      <w:szCs w:val="18"/>
    </w:rPr>
  </w:style>
  <w:style w:type="character" w:customStyle="1" w:styleId="10">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其他</Company>
  <Pages>5</Pages>
  <Words>2165</Words>
  <Characters>2406</Characters>
  <Lines>10</Lines>
  <Paragraphs>2</Paragraphs>
  <TotalTime>1</TotalTime>
  <ScaleCrop>false</ScaleCrop>
  <LinksUpToDate>false</LinksUpToDate>
  <CharactersWithSpaces>2517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2022-06-27T17:50:00Z</dcterms:created>
  <dc:creator>Administrator</dc:creator>
  <cp:lastModifiedBy>区凤婷2</cp:lastModifiedBy>
  <cp:lastPrinted>2025-08-18T07:06:00Z</cp:lastPrinted>
  <dcterms:modified xsi:type="dcterms:W3CDTF">2025-12-04T07:37:53Z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FDCD593DE2634DCCA4C9C29DDD10CCCA</vt:lpwstr>
  </property>
  <property fmtid="{D5CDD505-2E9C-101B-9397-08002B2CF9AE}" pid="4" name="KSOTemplateDocerSaveRecord">
    <vt:lpwstr>eyJoZGlkIjoiNTc5NjBmYjU0MDc3MDBjMTRlZWQ4NzIwMjEwODQyZWYiLCJ1c2VySWQiOiIxMjU2Mzg5Nzc4In0=</vt:lpwstr>
  </property>
</Properties>
</file>