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27A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5AD626EF">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73D835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0C5A9891">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31F2B7C7">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12</w:t>
      </w:r>
      <w:r>
        <w:rPr>
          <w:rFonts w:hint="eastAsia" w:ascii="仿宋_GB2312" w:hAnsi="仿宋" w:eastAsia="仿宋_GB2312"/>
          <w:color w:val="000000"/>
          <w:sz w:val="32"/>
          <w:szCs w:val="32"/>
          <w:highlight w:val="none"/>
        </w:rPr>
        <w:t>号</w:t>
      </w:r>
    </w:p>
    <w:p w14:paraId="1CA900DC">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72B87732">
      <w:pPr>
        <w:keepNext w:val="0"/>
        <w:keepLines w:val="0"/>
        <w:pageBreakBefore w:val="0"/>
        <w:widowControl w:val="0"/>
        <w:kinsoku/>
        <w:wordWrap/>
        <w:overflowPunct/>
        <w:topLinePunct w:val="0"/>
        <w:autoSpaceDE/>
        <w:autoSpaceDN/>
        <w:bidi w:val="0"/>
        <w:spacing w:line="560" w:lineRule="exact"/>
        <w:ind w:left="0"/>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江门市江海区门中门木业有限公司</w:t>
      </w:r>
    </w:p>
    <w:p w14:paraId="50E00016">
      <w:pPr>
        <w:keepNext w:val="0"/>
        <w:keepLines w:val="0"/>
        <w:pageBreakBefore w:val="0"/>
        <w:widowControl w:val="0"/>
        <w:kinsoku/>
        <w:wordWrap/>
        <w:overflowPunct/>
        <w:topLinePunct w:val="0"/>
        <w:autoSpaceDE/>
        <w:autoSpaceDN/>
        <w:bidi w:val="0"/>
        <w:spacing w:line="560" w:lineRule="exact"/>
        <w:ind w:left="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莫怡发</w:t>
      </w:r>
    </w:p>
    <w:p w14:paraId="77024A36">
      <w:pPr>
        <w:keepNext w:val="0"/>
        <w:keepLines w:val="0"/>
        <w:pageBreakBefore w:val="0"/>
        <w:widowControl w:val="0"/>
        <w:kinsoku/>
        <w:wordWrap/>
        <w:overflowPunct/>
        <w:topLinePunct w:val="0"/>
        <w:autoSpaceDE/>
        <w:autoSpaceDN/>
        <w:bidi w:val="0"/>
        <w:spacing w:line="560" w:lineRule="exact"/>
        <w:ind w:left="0"/>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91440704MA4UMJLD3B</w:t>
      </w:r>
    </w:p>
    <w:p w14:paraId="47AA1DE9">
      <w:pPr>
        <w:keepNext w:val="0"/>
        <w:keepLines w:val="0"/>
        <w:pageBreakBefore w:val="0"/>
        <w:widowControl w:val="0"/>
        <w:kinsoku/>
        <w:wordWrap/>
        <w:overflowPunct/>
        <w:topLinePunct w:val="0"/>
        <w:autoSpaceDE/>
        <w:autoSpaceDN/>
        <w:bidi w:val="0"/>
        <w:spacing w:line="560" w:lineRule="exact"/>
        <w:ind w:left="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江门市高新区14号土地C座（东宁工业园）</w:t>
      </w:r>
    </w:p>
    <w:p w14:paraId="255C7454">
      <w:pPr>
        <w:keepNext w:val="0"/>
        <w:keepLines w:val="0"/>
        <w:pageBreakBefore w:val="0"/>
        <w:widowControl w:val="0"/>
        <w:kinsoku/>
        <w:wordWrap/>
        <w:overflowPunct/>
        <w:topLinePunct w:val="0"/>
        <w:autoSpaceDE/>
        <w:autoSpaceDN/>
        <w:bidi w:val="0"/>
        <w:spacing w:line="560"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29A25C59">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2024年11月26日，我局执法人员对你单位进行现场检查，并委托了广东产品质量监督检验研究院对你单位喷底漆工序正在使用的已混合均匀的涂料进行采样检测。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根据广东产品质量监督检验研究院出具的《检测报告》（报告编号：SH2402</w:t>
      </w:r>
      <w:r>
        <w:rPr>
          <w:rFonts w:hint="eastAsia" w:ascii="仿宋_GB2312" w:hAnsi="仿宋" w:eastAsia="仿宋_GB2312" w:cs="Times New Roman"/>
          <w:sz w:val="32"/>
          <w:szCs w:val="32"/>
          <w:highlight w:val="none"/>
          <w:lang w:val="en-US" w:eastAsia="zh-CN"/>
        </w:rPr>
        <w:t>986</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986</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喷底漆</w:t>
      </w:r>
      <w:r>
        <w:rPr>
          <w:rFonts w:hint="eastAsia" w:ascii="仿宋_GB2312" w:hAnsi="仿宋" w:eastAsia="仿宋_GB2312" w:cs="Times New Roman"/>
          <w:sz w:val="32"/>
          <w:szCs w:val="32"/>
          <w:highlight w:val="none"/>
          <w:lang w:eastAsia="zh-CN"/>
        </w:rPr>
        <w:t>工序使用的</w:t>
      </w:r>
      <w:r>
        <w:rPr>
          <w:rFonts w:hint="eastAsia" w:ascii="仿宋_GB2312" w:hAnsi="仿宋" w:eastAsia="仿宋_GB2312" w:cs="Times New Roman"/>
          <w:sz w:val="32"/>
          <w:szCs w:val="32"/>
          <w:highlight w:val="none"/>
        </w:rPr>
        <w:t>已混合均匀的涂料VOCs含量为</w:t>
      </w:r>
      <w:r>
        <w:rPr>
          <w:rFonts w:hint="eastAsia" w:ascii="仿宋_GB2312" w:hAnsi="仿宋" w:eastAsia="仿宋_GB2312" w:cs="Times New Roman"/>
          <w:sz w:val="32"/>
          <w:szCs w:val="32"/>
          <w:highlight w:val="none"/>
          <w:lang w:val="en-US" w:eastAsia="zh-CN"/>
        </w:rPr>
        <w:t>522</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highlight w:val="none"/>
        </w:rPr>
        <w:t>与</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《建设项目环境影响报告表》中核定的VOCs含量</w:t>
      </w:r>
      <w:r>
        <w:rPr>
          <w:rFonts w:hint="eastAsia" w:ascii="仿宋_GB2312" w:hAnsi="仿宋" w:eastAsia="仿宋_GB2312" w:cs="Times New Roman"/>
          <w:sz w:val="32"/>
          <w:szCs w:val="32"/>
          <w:highlight w:val="none"/>
          <w:lang w:eastAsia="zh-CN"/>
        </w:rPr>
        <w:t>不符</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napToGrid/>
          <w:color w:val="000000"/>
          <w:kern w:val="2"/>
          <w:sz w:val="32"/>
          <w:szCs w:val="32"/>
          <w:lang w:val="en-US" w:eastAsia="zh-CN" w:bidi="ar-SA"/>
        </w:rPr>
        <w:t>超过《低挥发性有机化合物含量涂料产品技术要求》（GB/T38597-2020）表1水性涂料中VOC含量的要求中“木器涂料-清漆限量值≤270g/L”的要求。</w:t>
      </w:r>
      <w:r>
        <w:rPr>
          <w:rFonts w:hint="eastAsia" w:ascii="仿宋_GB2312" w:hAnsi="仿宋" w:eastAsia="仿宋_GB2312" w:cs="Times New Roman"/>
          <w:sz w:val="32"/>
          <w:szCs w:val="32"/>
          <w:highlight w:val="none"/>
        </w:rPr>
        <w:t>同时</w:t>
      </w:r>
      <w:r>
        <w:rPr>
          <w:rFonts w:hint="eastAsia" w:ascii="仿宋_GB2312" w:hAnsi="仿宋" w:eastAsia="仿宋_GB2312" w:cs="Times New Roman"/>
          <w:sz w:val="32"/>
          <w:szCs w:val="32"/>
          <w:highlight w:val="none"/>
          <w:lang w:eastAsia="zh-CN"/>
        </w:rPr>
        <w:t>，经核查发现你单位未建立、保存台账，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w:t>
      </w:r>
      <w:r>
        <w:rPr>
          <w:rFonts w:hint="eastAsia" w:ascii="仿宋_GB2312" w:hAnsi="仿宋" w:eastAsia="仿宋_GB2312" w:cs="Times New Roman"/>
          <w:snapToGrid/>
          <w:color w:val="000000"/>
          <w:kern w:val="2"/>
          <w:sz w:val="32"/>
          <w:szCs w:val="32"/>
          <w:lang w:val="en-US" w:eastAsia="zh-CN" w:bidi="ar-SA"/>
        </w:rPr>
        <w:t>综上，</w:t>
      </w:r>
      <w:r>
        <w:rPr>
          <w:rFonts w:hint="eastAsia" w:ascii="仿宋_GB2312" w:hAnsi="仿宋" w:eastAsia="仿宋_GB2312" w:cs="Times New Roman"/>
          <w:sz w:val="32"/>
          <w:szCs w:val="32"/>
          <w:highlight w:val="none"/>
          <w:lang w:val="en-US" w:eastAsia="zh-CN"/>
        </w:rPr>
        <w:t>你单位存在未使用低挥发性有机物含量涂料</w:t>
      </w:r>
      <w:r>
        <w:rPr>
          <w:rFonts w:hint="eastAsia" w:ascii="仿宋_GB2312" w:hAnsi="仿宋" w:eastAsia="仿宋_GB2312" w:cs="Times New Roman"/>
          <w:b w:val="0"/>
          <w:bCs w:val="0"/>
          <w:sz w:val="32"/>
          <w:szCs w:val="32"/>
          <w:highlight w:val="none"/>
          <w:lang w:eastAsia="zh-CN"/>
        </w:rPr>
        <w:t>且未建立、保存台账的违法行为</w:t>
      </w:r>
      <w:r>
        <w:rPr>
          <w:rFonts w:hint="eastAsia" w:ascii="仿宋_GB2312" w:hAnsi="仿宋" w:eastAsia="仿宋_GB2312" w:cs="Times New Roman"/>
          <w:sz w:val="32"/>
          <w:szCs w:val="32"/>
          <w:highlight w:val="none"/>
          <w:lang w:val="en-US" w:eastAsia="zh-CN"/>
        </w:rPr>
        <w:t>。</w:t>
      </w:r>
    </w:p>
    <w:p w14:paraId="3B42AE79">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上述事实有江门市生态环境局现场检查（勘察）笔录、调查询问笔录、现场照片（图片、影像资料）证据、《检测报告》（报告编号：SH2402</w:t>
      </w:r>
      <w:r>
        <w:rPr>
          <w:rFonts w:hint="eastAsia" w:ascii="仿宋_GB2312" w:hAnsi="仿宋" w:eastAsia="仿宋_GB2312" w:cs="Times New Roman"/>
          <w:sz w:val="32"/>
          <w:szCs w:val="32"/>
          <w:highlight w:val="none"/>
          <w:lang w:val="en-US" w:eastAsia="zh-CN"/>
        </w:rPr>
        <w:t>986</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986</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《广东质检院关于说明江门市江海区门中门木业有限公司抽检情况的函》、</w:t>
      </w:r>
      <w:r>
        <w:rPr>
          <w:rFonts w:hint="eastAsia" w:ascii="仿宋_GB2312" w:hAnsi="仿宋" w:eastAsia="仿宋_GB2312" w:cs="Times New Roman"/>
          <w:sz w:val="32"/>
          <w:szCs w:val="32"/>
          <w:highlight w:val="none"/>
        </w:rPr>
        <w:t>移交记录表及送达回执；你单位提供的营业执照、</w:t>
      </w:r>
      <w:r>
        <w:rPr>
          <w:rFonts w:hint="eastAsia" w:ascii="仿宋_GB2312" w:hAnsi="仿宋" w:eastAsia="仿宋_GB2312" w:cs="Times New Roman"/>
          <w:sz w:val="32"/>
          <w:szCs w:val="32"/>
          <w:highlight w:val="none"/>
          <w:lang w:eastAsia="zh-CN"/>
        </w:rPr>
        <w:t>法定代表人及生产主管的</w:t>
      </w:r>
      <w:r>
        <w:rPr>
          <w:rFonts w:hint="eastAsia" w:ascii="仿宋_GB2312" w:hAnsi="仿宋" w:eastAsia="仿宋_GB2312" w:cs="Times New Roman"/>
          <w:sz w:val="32"/>
          <w:szCs w:val="32"/>
          <w:highlight w:val="none"/>
        </w:rPr>
        <w:t>身份证、《建设项目环境影响报告表》部分页、《关于</w:t>
      </w:r>
      <w:r>
        <w:rPr>
          <w:rFonts w:hint="eastAsia" w:ascii="仿宋_GB2312" w:hAnsi="仿宋" w:eastAsia="仿宋_GB2312" w:cs="Times New Roman"/>
          <w:sz w:val="32"/>
          <w:szCs w:val="32"/>
          <w:highlight w:val="none"/>
          <w:lang w:eastAsia="zh-CN"/>
        </w:rPr>
        <w:t>江门市江海区门中门木业有限公司年产木门</w:t>
      </w:r>
      <w:r>
        <w:rPr>
          <w:rFonts w:hint="eastAsia" w:ascii="仿宋_GB2312" w:hAnsi="仿宋" w:eastAsia="仿宋_GB2312" w:cs="Times New Roman"/>
          <w:sz w:val="32"/>
          <w:szCs w:val="32"/>
          <w:highlight w:val="none"/>
          <w:lang w:val="en-US" w:eastAsia="zh-CN"/>
        </w:rPr>
        <w:t>5500套新建项目环境影响报告表的批复》</w:t>
      </w:r>
      <w:r>
        <w:rPr>
          <w:rFonts w:hint="eastAsia" w:ascii="仿宋_GB2312" w:hAnsi="仿宋" w:eastAsia="仿宋_GB2312" w:cs="Times New Roman"/>
          <w:sz w:val="32"/>
          <w:szCs w:val="32"/>
          <w:highlight w:val="none"/>
        </w:rPr>
        <w:t>（江江环审〔202</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68</w:t>
      </w:r>
      <w:r>
        <w:rPr>
          <w:rFonts w:hint="eastAsia" w:ascii="仿宋_GB2312" w:hAnsi="仿宋" w:eastAsia="仿宋_GB2312" w:cs="Times New Roman"/>
          <w:sz w:val="32"/>
          <w:szCs w:val="32"/>
          <w:highlight w:val="none"/>
        </w:rPr>
        <w:t>号）的复印件，</w:t>
      </w:r>
      <w:r>
        <w:rPr>
          <w:rFonts w:hint="eastAsia" w:ascii="仿宋_GB2312" w:hAnsi="仿宋" w:eastAsia="仿宋_GB2312" w:cs="Times New Roman"/>
          <w:sz w:val="32"/>
          <w:szCs w:val="32"/>
          <w:highlight w:val="none"/>
          <w:lang w:eastAsia="zh-CN"/>
        </w:rPr>
        <w:t>授权委托书、</w:t>
      </w:r>
      <w:r>
        <w:rPr>
          <w:rFonts w:hint="eastAsia" w:ascii="仿宋_GB2312" w:hAnsi="仿宋" w:eastAsia="仿宋_GB2312" w:cs="Times New Roman"/>
          <w:sz w:val="32"/>
          <w:szCs w:val="32"/>
          <w:highlight w:val="none"/>
        </w:rPr>
        <w:t>送达地址确认书等为证。</w:t>
      </w:r>
    </w:p>
    <w:p w14:paraId="04FBA70C">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2025年1月22日向你单位直接送达了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w:t>
      </w:r>
    </w:p>
    <w:p w14:paraId="7A2A7EA1">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1月23日向我局提交《环保处罚陈述、申辩书》，请求减轻处罚。2025年3月13日，你单位向我局提交《撤回环保处罚陈述、申辩书申请》，申请撤回陈述、申辩意见。</w:t>
      </w:r>
    </w:p>
    <w:p w14:paraId="7EF64418">
      <w:pPr>
        <w:keepNext w:val="0"/>
        <w:keepLines w:val="0"/>
        <w:pageBreakBefore w:val="0"/>
        <w:widowControl w:val="0"/>
        <w:kinsoku/>
        <w:wordWrap/>
        <w:overflowPunct/>
        <w:topLinePunct w:val="0"/>
        <w:autoSpaceDE/>
        <w:autoSpaceDN/>
        <w:bidi w:val="0"/>
        <w:spacing w:line="560"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4A51261F">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cs="Times New Roman"/>
          <w:b/>
          <w:bCs/>
          <w:sz w:val="32"/>
          <w:szCs w:val="32"/>
          <w:highlight w:val="none"/>
          <w:lang w:eastAsia="zh-CN"/>
        </w:rPr>
        <w:t>）的行政处罚。</w:t>
      </w:r>
    </w:p>
    <w:p w14:paraId="602C8172">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1B84E5F6">
      <w:pPr>
        <w:keepNext w:val="0"/>
        <w:keepLines w:val="0"/>
        <w:pageBreakBefore w:val="0"/>
        <w:widowControl w:val="0"/>
        <w:kinsoku/>
        <w:wordWrap/>
        <w:overflowPunct/>
        <w:topLinePunct w:val="0"/>
        <w:autoSpaceDE/>
        <w:autoSpaceDN/>
        <w:bidi w:val="0"/>
        <w:spacing w:line="560"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2CEDE942">
      <w:pPr>
        <w:keepNext w:val="0"/>
        <w:keepLines w:val="0"/>
        <w:pageBreakBefore w:val="0"/>
        <w:widowControl w:val="0"/>
        <w:tabs>
          <w:tab w:val="left" w:pos="709"/>
          <w:tab w:val="left" w:pos="851"/>
        </w:tabs>
        <w:kinsoku/>
        <w:wordWrap/>
        <w:overflowPunct/>
        <w:topLinePunct w:val="0"/>
        <w:autoSpaceDE/>
        <w:autoSpaceDN/>
        <w:bidi w:val="0"/>
        <w:spacing w:line="560"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06AB6956">
      <w:pPr>
        <w:keepNext w:val="0"/>
        <w:keepLines w:val="0"/>
        <w:pageBreakBefore w:val="0"/>
        <w:widowControl w:val="0"/>
        <w:tabs>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6FE52755">
      <w:pPr>
        <w:keepNext w:val="0"/>
        <w:keepLines w:val="0"/>
        <w:pageBreakBefore w:val="0"/>
        <w:widowControl w:val="0"/>
        <w:tabs>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p>
    <w:p w14:paraId="605C853D">
      <w:pPr>
        <w:keepNext w:val="0"/>
        <w:keepLines w:val="0"/>
        <w:pageBreakBefore w:val="0"/>
        <w:widowControl w:val="0"/>
        <w:tabs>
          <w:tab w:val="left" w:pos="8222"/>
        </w:tabs>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color w:val="000000"/>
          <w:sz w:val="32"/>
          <w:szCs w:val="32"/>
          <w:highlight w:val="none"/>
        </w:rPr>
      </w:pPr>
    </w:p>
    <w:p w14:paraId="3A2A99FA">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1A3495A9">
      <w:pPr>
        <w:keepNext w:val="0"/>
        <w:keepLines w:val="0"/>
        <w:pageBreakBefore w:val="0"/>
        <w:widowControl w:val="0"/>
        <w:tabs>
          <w:tab w:val="left" w:pos="567"/>
        </w:tabs>
        <w:kinsoku/>
        <w:wordWrap/>
        <w:overflowPunct/>
        <w:topLinePunct w:val="0"/>
        <w:autoSpaceDE/>
        <w:autoSpaceDN/>
        <w:bidi w:val="0"/>
        <w:spacing w:line="560"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19</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30831">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4AABD">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94AABD">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BDF2D92"/>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BF060A"/>
    <w:rsid w:val="37E607C5"/>
    <w:rsid w:val="38033706"/>
    <w:rsid w:val="38AA369B"/>
    <w:rsid w:val="39F41558"/>
    <w:rsid w:val="3AF311D3"/>
    <w:rsid w:val="3B4F6E2E"/>
    <w:rsid w:val="3B8A37F6"/>
    <w:rsid w:val="3C281633"/>
    <w:rsid w:val="3C2D2B9F"/>
    <w:rsid w:val="3C343CC1"/>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7CF7705"/>
    <w:rsid w:val="58C97806"/>
    <w:rsid w:val="5AB6185D"/>
    <w:rsid w:val="5ACA7114"/>
    <w:rsid w:val="5B156354"/>
    <w:rsid w:val="5B4708C4"/>
    <w:rsid w:val="5CAC6E0C"/>
    <w:rsid w:val="5D0C6103"/>
    <w:rsid w:val="5D8F6D1E"/>
    <w:rsid w:val="5E001C89"/>
    <w:rsid w:val="5F3D5BD5"/>
    <w:rsid w:val="5FBFEA52"/>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EDC974B"/>
    <w:rsid w:val="6FA06B69"/>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7E74B8"/>
    <w:rsid w:val="7D99FF67"/>
    <w:rsid w:val="7DF726FE"/>
    <w:rsid w:val="7E4E5D17"/>
    <w:rsid w:val="7E5E3C09"/>
    <w:rsid w:val="7E5F3B60"/>
    <w:rsid w:val="7E7E4DAD"/>
    <w:rsid w:val="7F3B6541"/>
    <w:rsid w:val="7F926A87"/>
    <w:rsid w:val="7FFB3E39"/>
    <w:rsid w:val="7FFF3DBE"/>
    <w:rsid w:val="9FBF1606"/>
    <w:rsid w:val="BBBE626C"/>
    <w:rsid w:val="BE2F87E8"/>
    <w:rsid w:val="C47BB29F"/>
    <w:rsid w:val="C9A7E86F"/>
    <w:rsid w:val="D6F92161"/>
    <w:rsid w:val="D7F3A725"/>
    <w:rsid w:val="DBBF5DBA"/>
    <w:rsid w:val="E6E38E1D"/>
    <w:rsid w:val="E9FFE157"/>
    <w:rsid w:val="F177671E"/>
    <w:rsid w:val="F96E6A55"/>
    <w:rsid w:val="FF7F14CB"/>
    <w:rsid w:val="FF971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1784</Words>
  <Characters>1940</Characters>
  <Lines>10</Lines>
  <Paragraphs>2</Paragraphs>
  <TotalTime>2</TotalTime>
  <ScaleCrop>false</ScaleCrop>
  <LinksUpToDate>false</LinksUpToDate>
  <CharactersWithSpaces>2051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2022-06-25T01:50:00Z</dcterms:created>
  <dc:creator>Administrator</dc:creator>
  <cp:lastModifiedBy>区凤婷2</cp:lastModifiedBy>
  <cp:lastPrinted>2025-03-19T03:10:00Z</cp:lastPrinted>
  <dcterms:modified xsi:type="dcterms:W3CDTF">2025-12-04T07:31:43Z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