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609BC">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118B360">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174EAC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B55C3D0">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288B23C1">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13</w:t>
      </w:r>
      <w:r>
        <w:rPr>
          <w:rFonts w:hint="eastAsia" w:ascii="仿宋_GB2312" w:hAnsi="仿宋" w:eastAsia="仿宋_GB2312"/>
          <w:color w:val="000000"/>
          <w:sz w:val="32"/>
          <w:szCs w:val="32"/>
          <w:highlight w:val="none"/>
        </w:rPr>
        <w:t>号</w:t>
      </w:r>
    </w:p>
    <w:p w14:paraId="51581BB8">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30BD5641">
      <w:pPr>
        <w:keepNext w:val="0"/>
        <w:keepLines w:val="0"/>
        <w:pageBreakBefore w:val="0"/>
        <w:widowControl w:val="0"/>
        <w:kinsoku/>
        <w:wordWrap/>
        <w:overflowPunct/>
        <w:topLinePunct w:val="0"/>
        <w:autoSpaceDE/>
        <w:autoSpaceDN/>
        <w:bidi w:val="0"/>
        <w:spacing w:line="578" w:lineRule="exact"/>
        <w:ind w:left="0"/>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sz w:val="32"/>
          <w:szCs w:val="32"/>
          <w:highlight w:val="none"/>
          <w:lang w:eastAsia="zh-CN"/>
        </w:rPr>
        <w:t>江门市鑫海皇灯饰电器有限公司</w:t>
      </w:r>
    </w:p>
    <w:p w14:paraId="5259F9EE">
      <w:pPr>
        <w:keepNext w:val="0"/>
        <w:keepLines w:val="0"/>
        <w:pageBreakBefore w:val="0"/>
        <w:widowControl w:val="0"/>
        <w:kinsoku/>
        <w:wordWrap/>
        <w:overflowPunct/>
        <w:topLinePunct w:val="0"/>
        <w:autoSpaceDE/>
        <w:autoSpaceDN/>
        <w:bidi w:val="0"/>
        <w:spacing w:line="578" w:lineRule="exact"/>
        <w:ind w:left="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覃定增</w:t>
      </w:r>
    </w:p>
    <w:p w14:paraId="7DC7CC78">
      <w:pPr>
        <w:keepNext w:val="0"/>
        <w:keepLines w:val="0"/>
        <w:pageBreakBefore w:val="0"/>
        <w:widowControl w:val="0"/>
        <w:kinsoku/>
        <w:wordWrap/>
        <w:overflowPunct/>
        <w:topLinePunct w:val="0"/>
        <w:autoSpaceDE/>
        <w:autoSpaceDN/>
        <w:bidi w:val="0"/>
        <w:spacing w:line="578" w:lineRule="exact"/>
        <w:ind w:left="0"/>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91440704MA4UH1UN6U</w:t>
      </w:r>
    </w:p>
    <w:p w14:paraId="066AC21D">
      <w:pPr>
        <w:keepNext w:val="0"/>
        <w:keepLines w:val="0"/>
        <w:pageBreakBefore w:val="0"/>
        <w:widowControl w:val="0"/>
        <w:kinsoku/>
        <w:wordWrap/>
        <w:overflowPunct/>
        <w:topLinePunct w:val="0"/>
        <w:autoSpaceDE/>
        <w:autoSpaceDN/>
        <w:bidi w:val="0"/>
        <w:spacing w:line="578" w:lineRule="exact"/>
        <w:ind w:left="0" w:hanging="960" w:hangingChars="30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江门市高新区6号地地块三前进工业园自编8号厂房（信</w:t>
      </w:r>
    </w:p>
    <w:p w14:paraId="3AF380F7">
      <w:pPr>
        <w:keepNext w:val="0"/>
        <w:keepLines w:val="0"/>
        <w:pageBreakBefore w:val="0"/>
        <w:widowControl w:val="0"/>
        <w:kinsoku/>
        <w:wordWrap/>
        <w:overflowPunct/>
        <w:topLinePunct w:val="0"/>
        <w:autoSpaceDE/>
        <w:autoSpaceDN/>
        <w:bidi w:val="0"/>
        <w:spacing w:line="578" w:lineRule="exact"/>
        <w:ind w:left="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bidi="ar-SA"/>
        </w:rPr>
        <w:t>息申报制）</w:t>
      </w:r>
    </w:p>
    <w:p w14:paraId="42ECCBD5">
      <w:pPr>
        <w:keepNext w:val="0"/>
        <w:keepLines w:val="0"/>
        <w:pageBreakBefore w:val="0"/>
        <w:widowControl w:val="0"/>
        <w:kinsoku/>
        <w:wordWrap/>
        <w:overflowPunct/>
        <w:topLinePunct w:val="0"/>
        <w:autoSpaceDE/>
        <w:autoSpaceDN/>
        <w:bidi w:val="0"/>
        <w:spacing w:line="578"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7B1FFCB2">
      <w:pPr>
        <w:keepNext w:val="0"/>
        <w:keepLines w:val="0"/>
        <w:pageBreakBefore w:val="0"/>
        <w:widowControl w:val="0"/>
        <w:kinsoku/>
        <w:wordWrap/>
        <w:overflowPunct/>
        <w:topLinePunct w:val="0"/>
        <w:autoSpaceDE/>
        <w:autoSpaceDN/>
        <w:bidi w:val="0"/>
        <w:spacing w:line="578" w:lineRule="exact"/>
        <w:ind w:left="0" w:leftChars="0" w:firstLine="246" w:firstLineChars="77"/>
        <w:textAlignment w:val="auto"/>
        <w:rPr>
          <w:rFonts w:hint="eastAsia" w:ascii="仿宋_GB2312" w:hAnsi="仿宋" w:eastAsia="仿宋_GB2312" w:cs="Times New Roman"/>
          <w:sz w:val="32"/>
          <w:szCs w:val="32"/>
          <w:highlight w:val="none"/>
        </w:rPr>
      </w:pPr>
      <w:bookmarkStart w:id="0" w:name="_GoBack"/>
      <w:bookmarkEnd w:id="0"/>
      <w:r>
        <w:rPr>
          <w:rFonts w:hint="eastAsia" w:ascii="仿宋_GB2312" w:hAnsi="仿宋" w:eastAsia="仿宋_GB2312" w:cs="Times New Roman"/>
          <w:sz w:val="32"/>
          <w:szCs w:val="32"/>
          <w:highlight w:val="none"/>
          <w:lang w:val="en-US" w:eastAsia="zh-CN"/>
        </w:rPr>
        <w:t>2024年12月12日，我局执法人员对你单位进行现场检查，并委托了广东产品质量监督检验研究院对你单位喷面漆工序正在使用的已混合均匀的涂料进行采样检测。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根据广东产品质量监督检验研究院出具的《检测报告》（报告编号：SH240</w:t>
      </w:r>
      <w:r>
        <w:rPr>
          <w:rFonts w:hint="eastAsia" w:ascii="仿宋_GB2312" w:hAnsi="仿宋" w:eastAsia="仿宋_GB2312" w:cs="Times New Roman"/>
          <w:sz w:val="32"/>
          <w:szCs w:val="32"/>
          <w:highlight w:val="none"/>
          <w:lang w:val="en-US" w:eastAsia="zh-CN"/>
        </w:rPr>
        <w:t>3126</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《检测结果分析报告》[报告编号：广质涂（2024）-SH240</w:t>
      </w:r>
      <w:r>
        <w:rPr>
          <w:rFonts w:hint="eastAsia" w:ascii="仿宋_GB2312" w:hAnsi="仿宋" w:eastAsia="仿宋_GB2312" w:cs="Times New Roman"/>
          <w:sz w:val="32"/>
          <w:szCs w:val="32"/>
          <w:highlight w:val="none"/>
          <w:lang w:val="en-US" w:eastAsia="zh-CN"/>
        </w:rPr>
        <w:t>3126</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喷面漆</w:t>
      </w:r>
      <w:r>
        <w:rPr>
          <w:rFonts w:hint="eastAsia" w:ascii="仿宋_GB2312" w:hAnsi="仿宋" w:eastAsia="仿宋_GB2312" w:cs="Times New Roman"/>
          <w:sz w:val="32"/>
          <w:szCs w:val="32"/>
          <w:highlight w:val="none"/>
          <w:lang w:eastAsia="zh-CN"/>
        </w:rPr>
        <w:t>工序使用的</w:t>
      </w:r>
      <w:r>
        <w:rPr>
          <w:rFonts w:hint="eastAsia" w:ascii="仿宋_GB2312" w:hAnsi="仿宋" w:eastAsia="仿宋_GB2312" w:cs="Times New Roman"/>
          <w:sz w:val="32"/>
          <w:szCs w:val="32"/>
          <w:highlight w:val="none"/>
        </w:rPr>
        <w:t>已混合均匀的涂料VOCs含量为</w:t>
      </w:r>
      <w:r>
        <w:rPr>
          <w:rFonts w:hint="eastAsia" w:ascii="仿宋_GB2312" w:hAnsi="仿宋" w:eastAsia="仿宋_GB2312" w:cs="Times New Roman"/>
          <w:sz w:val="32"/>
          <w:szCs w:val="32"/>
          <w:highlight w:val="none"/>
          <w:lang w:val="en-US" w:eastAsia="zh-CN"/>
        </w:rPr>
        <w:t>727</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highlight w:val="none"/>
        </w:rPr>
        <w:t>与</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《建设项目环境影响报告表》中核定的VOCs含量不符</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napToGrid/>
          <w:color w:val="000000"/>
          <w:kern w:val="2"/>
          <w:sz w:val="32"/>
          <w:szCs w:val="32"/>
          <w:lang w:val="en-US" w:eastAsia="zh-CN" w:bidi="ar-SA"/>
        </w:rPr>
        <w:t>超过《低挥发性有机化合物含量涂料产品技术要求》（GB/T38597-2020）表1 水性涂料中VOC含量的要求中“工业防护涂料-金属基材防腐涂料-单组分面漆≤250g/L”的限值</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同时</w:t>
      </w:r>
      <w:r>
        <w:rPr>
          <w:rFonts w:hint="eastAsia" w:ascii="仿宋_GB2312" w:hAnsi="仿宋" w:eastAsia="仿宋_GB2312" w:cs="Times New Roman"/>
          <w:sz w:val="32"/>
          <w:szCs w:val="32"/>
          <w:highlight w:val="none"/>
          <w:lang w:eastAsia="zh-CN"/>
        </w:rPr>
        <w:t>，经核查发现你单位未建立、保存台账，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记录生产原料、辅料的使用量、废弃量、去向以及挥发性有机物含量。综上，你单位存在</w:t>
      </w:r>
      <w:r>
        <w:rPr>
          <w:rFonts w:hint="eastAsia" w:ascii="仿宋_GB2312" w:hAnsi="仿宋" w:eastAsia="仿宋_GB2312" w:cs="Times New Roman"/>
          <w:b w:val="0"/>
          <w:bCs w:val="0"/>
          <w:sz w:val="32"/>
          <w:szCs w:val="32"/>
          <w:highlight w:val="none"/>
          <w:lang w:eastAsia="zh-CN"/>
        </w:rPr>
        <w:t>未使用低挥发性有机物含量涂料且未建立、保存台账的违法行为</w:t>
      </w:r>
      <w:r>
        <w:rPr>
          <w:rFonts w:hint="eastAsia" w:ascii="仿宋_GB2312" w:hAnsi="仿宋" w:eastAsia="仿宋_GB2312" w:cs="Times New Roman"/>
          <w:sz w:val="32"/>
          <w:szCs w:val="32"/>
          <w:highlight w:val="none"/>
        </w:rPr>
        <w:t>。</w:t>
      </w:r>
    </w:p>
    <w:p w14:paraId="4376E2AD">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上述事实有江门市生态环境局现场检查（勘察）笔录、调查询问笔录、现场照片（图片、影像资料）证据、《检测报告》（报告编号：SH240</w:t>
      </w:r>
      <w:r>
        <w:rPr>
          <w:rFonts w:hint="eastAsia" w:ascii="仿宋_GB2312" w:hAnsi="仿宋" w:eastAsia="仿宋_GB2312" w:cs="Times New Roman"/>
          <w:sz w:val="32"/>
          <w:szCs w:val="32"/>
          <w:highlight w:val="none"/>
          <w:lang w:val="en-US" w:eastAsia="zh-CN"/>
        </w:rPr>
        <w:t>3126</w:t>
      </w:r>
      <w:r>
        <w:rPr>
          <w:rFonts w:hint="eastAsia" w:ascii="仿宋_GB2312" w:hAnsi="仿宋" w:eastAsia="仿宋_GB2312" w:cs="Times New Roman"/>
          <w:sz w:val="32"/>
          <w:szCs w:val="32"/>
          <w:highlight w:val="none"/>
        </w:rPr>
        <w:t>）、《检测结果分析报告》[报告编号：广质涂（2024）-SH240</w:t>
      </w:r>
      <w:r>
        <w:rPr>
          <w:rFonts w:hint="eastAsia" w:ascii="仿宋_GB2312" w:hAnsi="仿宋" w:eastAsia="仿宋_GB2312" w:cs="Times New Roman"/>
          <w:sz w:val="32"/>
          <w:szCs w:val="32"/>
          <w:highlight w:val="none"/>
          <w:lang w:val="en-US" w:eastAsia="zh-CN"/>
        </w:rPr>
        <w:t>3126</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、报告签收回执单</w:t>
      </w:r>
      <w:r>
        <w:rPr>
          <w:rFonts w:hint="eastAsia" w:ascii="仿宋_GB2312" w:hAnsi="仿宋" w:eastAsia="仿宋_GB2312" w:cs="Times New Roman"/>
          <w:sz w:val="32"/>
          <w:szCs w:val="32"/>
          <w:highlight w:val="none"/>
        </w:rPr>
        <w:t>及送达回执；你单位提供的营业执照、</w:t>
      </w:r>
      <w:r>
        <w:rPr>
          <w:rFonts w:hint="eastAsia" w:ascii="仿宋_GB2312" w:hAnsi="仿宋" w:eastAsia="仿宋_GB2312" w:cs="Times New Roman"/>
          <w:sz w:val="32"/>
          <w:szCs w:val="32"/>
          <w:highlight w:val="none"/>
          <w:lang w:eastAsia="zh-CN"/>
        </w:rPr>
        <w:t>法定代表人和被询问人的</w:t>
      </w:r>
      <w:r>
        <w:rPr>
          <w:rFonts w:hint="eastAsia" w:ascii="仿宋_GB2312" w:hAnsi="仿宋" w:eastAsia="仿宋_GB2312" w:cs="Times New Roman"/>
          <w:sz w:val="32"/>
          <w:szCs w:val="32"/>
          <w:highlight w:val="none"/>
        </w:rPr>
        <w:t>身份证、《建设项目环境影响报告表》部分页、《</w:t>
      </w:r>
      <w:r>
        <w:rPr>
          <w:rFonts w:hint="eastAsia" w:ascii="仿宋_GB2312" w:hAnsi="仿宋" w:eastAsia="仿宋_GB2312" w:cs="Times New Roman"/>
          <w:sz w:val="32"/>
          <w:szCs w:val="32"/>
          <w:highlight w:val="none"/>
          <w:lang w:eastAsia="zh-CN"/>
        </w:rPr>
        <w:t>关于江门市鑫海皇灯饰电器有限公司年增产五金配件</w:t>
      </w:r>
      <w:r>
        <w:rPr>
          <w:rFonts w:hint="eastAsia" w:ascii="仿宋_GB2312" w:hAnsi="仿宋" w:eastAsia="仿宋_GB2312" w:cs="Times New Roman"/>
          <w:sz w:val="32"/>
          <w:szCs w:val="32"/>
          <w:highlight w:val="none"/>
          <w:lang w:val="en-US" w:eastAsia="zh-CN"/>
        </w:rPr>
        <w:t>150万件扩建</w:t>
      </w:r>
      <w:r>
        <w:rPr>
          <w:rFonts w:hint="eastAsia" w:ascii="仿宋_GB2312" w:hAnsi="仿宋" w:eastAsia="仿宋_GB2312" w:cs="Times New Roman"/>
          <w:sz w:val="32"/>
          <w:szCs w:val="32"/>
          <w:highlight w:val="none"/>
          <w:lang w:eastAsia="zh-CN"/>
        </w:rPr>
        <w:t>项目环境影响报告表的批复</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（江江环审〔202</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12</w:t>
      </w:r>
      <w:r>
        <w:rPr>
          <w:rFonts w:hint="eastAsia" w:ascii="仿宋_GB2312" w:hAnsi="仿宋" w:eastAsia="仿宋_GB2312" w:cs="Times New Roman"/>
          <w:sz w:val="32"/>
          <w:szCs w:val="32"/>
          <w:highlight w:val="none"/>
        </w:rPr>
        <w:t>号）的复印件，</w:t>
      </w:r>
      <w:r>
        <w:rPr>
          <w:rFonts w:hint="eastAsia" w:ascii="仿宋_GB2312" w:hAnsi="仿宋" w:eastAsia="仿宋_GB2312" w:cs="Times New Roman"/>
          <w:sz w:val="32"/>
          <w:szCs w:val="32"/>
          <w:highlight w:val="none"/>
          <w:lang w:eastAsia="zh-CN"/>
        </w:rPr>
        <w:t>授权委托书、</w:t>
      </w:r>
      <w:r>
        <w:rPr>
          <w:rFonts w:hint="eastAsia" w:ascii="仿宋_GB2312" w:hAnsi="仿宋" w:eastAsia="仿宋_GB2312" w:cs="Times New Roman"/>
          <w:sz w:val="32"/>
          <w:szCs w:val="32"/>
          <w:highlight w:val="none"/>
        </w:rPr>
        <w:t>送达地址确认书等为证。</w:t>
      </w:r>
    </w:p>
    <w:p w14:paraId="66230AB0">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2025年1月22日向你单位直接送达了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21CBC7E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2025年2月5日向我局提交《生态环境行政违法当事人公开道歉承诺守法从轻处罚申请书》</w:t>
      </w:r>
      <w:r>
        <w:rPr>
          <w:rFonts w:hint="eastAsia" w:ascii="仿宋_GB2312" w:hAnsi="仿宋" w:eastAsia="仿宋_GB2312" w:cs="Times New Roman"/>
          <w:color w:val="auto"/>
          <w:sz w:val="32"/>
          <w:szCs w:val="32"/>
          <w:highlight w:val="none"/>
          <w:lang w:val="en-US" w:eastAsia="zh-CN"/>
        </w:rPr>
        <w:t>。2025年2月20日，在我局执法人员监督见证下，你单位委托广东省江门市质量计量监督检测所对正在使用已混合均匀的贴有“水性光油”及“一涂纳米哑黑”标签的涂料进行采样检测。根据《检验报告》</w:t>
      </w:r>
      <w:r>
        <w:rPr>
          <w:rFonts w:hint="eastAsia" w:ascii="仿宋_GB2312" w:hAnsi="仿宋" w:eastAsia="仿宋_GB2312" w:cs="Times New Roman"/>
          <w:sz w:val="32"/>
          <w:szCs w:val="32"/>
          <w:highlight w:val="none"/>
        </w:rPr>
        <w:t>（报告编号：</w:t>
      </w:r>
      <w:r>
        <w:rPr>
          <w:rFonts w:hint="eastAsia" w:ascii="仿宋_GB2312" w:hAnsi="仿宋" w:eastAsia="仿宋_GB2312" w:cs="Times New Roman"/>
          <w:sz w:val="32"/>
          <w:szCs w:val="32"/>
          <w:highlight w:val="none"/>
          <w:lang w:val="en-US" w:eastAsia="zh-CN"/>
        </w:rPr>
        <w:t>E202502303190</w:t>
      </w:r>
      <w:r>
        <w:rPr>
          <w:rFonts w:hint="eastAsia" w:ascii="仿宋_GB2312" w:hAnsi="仿宋" w:eastAsia="仿宋_GB2312" w:cs="Times New Roman"/>
          <w:sz w:val="32"/>
          <w:szCs w:val="32"/>
          <w:highlight w:val="none"/>
        </w:rPr>
        <w:t>）</w:t>
      </w:r>
      <w:r>
        <w:rPr>
          <w:rFonts w:hint="eastAsia" w:ascii="仿宋_GB2312" w:hAnsi="仿宋" w:eastAsia="仿宋_GB2312" w:cs="Times New Roman"/>
          <w:color w:val="auto"/>
          <w:sz w:val="32"/>
          <w:szCs w:val="32"/>
          <w:highlight w:val="none"/>
          <w:lang w:val="en-US" w:eastAsia="zh-CN"/>
        </w:rPr>
        <w:t>，你单位现场使用的“一涂纳米哑黑”涂料</w:t>
      </w:r>
      <w:r>
        <w:rPr>
          <w:rFonts w:hint="eastAsia" w:ascii="仿宋_GB2312" w:hAnsi="仿宋" w:eastAsia="仿宋_GB2312" w:cs="Times New Roman"/>
          <w:sz w:val="32"/>
          <w:szCs w:val="32"/>
          <w:highlight w:val="none"/>
        </w:rPr>
        <w:t>VOCs含量为</w:t>
      </w:r>
      <w:r>
        <w:rPr>
          <w:rFonts w:hint="eastAsia" w:ascii="仿宋_GB2312" w:hAnsi="仿宋" w:eastAsia="仿宋_GB2312" w:cs="Times New Roman"/>
          <w:sz w:val="32"/>
          <w:szCs w:val="32"/>
          <w:highlight w:val="none"/>
          <w:lang w:val="en-US" w:eastAsia="zh-CN"/>
        </w:rPr>
        <w:t>475</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napToGrid/>
          <w:color w:val="000000"/>
          <w:kern w:val="2"/>
          <w:sz w:val="32"/>
          <w:szCs w:val="32"/>
          <w:lang w:val="en-US" w:eastAsia="zh-CN" w:bidi="ar-SA"/>
        </w:rPr>
        <w:t>超过《低挥发性有机化合物含量涂料产品技术要求》（GB/T38597-2020）表1 水性涂料中VOC含量的要求中“工业防护涂料-金属基材防腐涂料-单组分面漆≤250g/L”的限值，你单位仍存在未使用低挥发性有机物含量涂料的违法行为。</w:t>
      </w:r>
    </w:p>
    <w:p w14:paraId="24732FD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另</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你单位向我局提交了一份《低</w:t>
      </w:r>
      <w:r>
        <w:rPr>
          <w:rFonts w:hint="eastAsia" w:ascii="仿宋_GB2312" w:hAnsi="仿宋" w:eastAsia="仿宋_GB2312" w:cs="Times New Roman"/>
          <w:sz w:val="32"/>
          <w:szCs w:val="32"/>
          <w:highlight w:val="none"/>
          <w:lang w:val="en-US" w:eastAsia="zh-CN"/>
        </w:rPr>
        <w:t>VOCs原辅材料替代证明材料</w:t>
      </w:r>
      <w:r>
        <w:rPr>
          <w:rFonts w:hint="eastAsia" w:ascii="仿宋_GB2312" w:hAnsi="仿宋" w:eastAsia="仿宋_GB2312" w:cs="Times New Roman"/>
          <w:sz w:val="32"/>
          <w:szCs w:val="32"/>
          <w:highlight w:val="none"/>
          <w:lang w:eastAsia="zh-CN"/>
        </w:rPr>
        <w:t>》，内含原辅材料台账、检测报告、情况说明等资料。</w:t>
      </w:r>
    </w:p>
    <w:p w14:paraId="19AA3A52">
      <w:pPr>
        <w:pStyle w:val="2"/>
        <w:keepNext w:val="0"/>
        <w:keepLines w:val="0"/>
        <w:pageBreakBefore w:val="0"/>
        <w:widowControl w:val="0"/>
        <w:kinsoku/>
        <w:wordWrap/>
        <w:overflowPunct w:val="0"/>
        <w:topLinePunct w:val="0"/>
        <w:autoSpaceDE/>
        <w:autoSpaceDN/>
        <w:bidi w:val="0"/>
        <w:adjustRightInd/>
        <w:snapToGrid w:val="0"/>
        <w:spacing w:line="578" w:lineRule="exact"/>
        <w:ind w:left="0"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 w:eastAsia="仿宋_GB2312" w:cs="Times New Roman"/>
          <w:color w:val="auto"/>
          <w:sz w:val="32"/>
          <w:szCs w:val="32"/>
          <w:highlight w:val="none"/>
          <w:lang w:eastAsia="zh-CN"/>
        </w:rPr>
        <w:t>经复核，</w:t>
      </w:r>
      <w:r>
        <w:rPr>
          <w:rFonts w:hint="eastAsia" w:ascii="仿宋_GB2312" w:hAnsi="仿宋_GB2312" w:eastAsia="仿宋_GB2312" w:cs="仿宋_GB2312"/>
          <w:sz w:val="32"/>
          <w:szCs w:val="32"/>
          <w:lang w:val="en-US" w:eastAsia="zh-CN"/>
        </w:rPr>
        <w:t>你单位虽已建立低挥发性有机物含量涂料台帐，但未改正未使用低挥发性有机物含量涂料的违法行为，该</w:t>
      </w:r>
      <w:r>
        <w:rPr>
          <w:rFonts w:hint="default" w:ascii="仿宋_GB2312" w:hAnsi="仿宋_GB2312" w:eastAsia="仿宋_GB2312" w:cs="仿宋_GB2312"/>
          <w:sz w:val="32"/>
          <w:szCs w:val="32"/>
          <w:lang w:val="en-US" w:eastAsia="zh-CN"/>
        </w:rPr>
        <w:t>整改行为不符合《江门市实施&lt;广东省生态环境行政处罚自由裁量权规定&gt;细则》第七条第二项第</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目</w:t>
      </w:r>
      <w:r>
        <w:rPr>
          <w:rFonts w:hint="eastAsia" w:ascii="仿宋_GB2312" w:hAnsi="仿宋_GB2312" w:eastAsia="仿宋_GB2312" w:cs="仿宋_GB2312"/>
          <w:sz w:val="32"/>
          <w:szCs w:val="32"/>
          <w:lang w:val="en-US" w:eastAsia="zh-CN"/>
        </w:rPr>
        <w:t>、第十条</w:t>
      </w:r>
      <w:r>
        <w:rPr>
          <w:rFonts w:hint="default"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lang w:val="en-US" w:eastAsia="zh-CN"/>
        </w:rPr>
        <w:t>。</w:t>
      </w:r>
    </w:p>
    <w:p w14:paraId="59C92E2C">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798AC4EC">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cs="Times New Roman"/>
          <w:b/>
          <w:bCs/>
          <w:sz w:val="32"/>
          <w:szCs w:val="32"/>
          <w:highlight w:val="none"/>
          <w:lang w:eastAsia="zh-CN"/>
        </w:rPr>
        <w:t>）的行政处罚。</w:t>
      </w:r>
    </w:p>
    <w:p w14:paraId="499D646C">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4AE75327">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44EB808E">
      <w:pPr>
        <w:keepNext w:val="0"/>
        <w:keepLines w:val="0"/>
        <w:pageBreakBefore w:val="0"/>
        <w:widowControl w:val="0"/>
        <w:tabs>
          <w:tab w:val="left" w:pos="709"/>
          <w:tab w:val="left" w:pos="851"/>
        </w:tabs>
        <w:kinsoku/>
        <w:wordWrap/>
        <w:overflowPunct/>
        <w:topLinePunct w:val="0"/>
        <w:autoSpaceDE/>
        <w:autoSpaceDN/>
        <w:bidi w:val="0"/>
        <w:spacing w:line="578"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0F162BE2">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D603E0D">
      <w:pPr>
        <w:pStyle w:val="2"/>
        <w:keepNext w:val="0"/>
        <w:keepLines w:val="0"/>
        <w:pageBreakBefore w:val="0"/>
        <w:widowControl w:val="0"/>
        <w:kinsoku/>
        <w:wordWrap/>
        <w:topLinePunct w:val="0"/>
        <w:autoSpaceDE/>
        <w:autoSpaceDN/>
        <w:bidi w:val="0"/>
        <w:spacing w:line="578" w:lineRule="exact"/>
        <w:rPr>
          <w:rFonts w:hint="eastAsia" w:ascii="仿宋_GB2312" w:hAnsi="仿宋" w:eastAsia="仿宋_GB2312"/>
          <w:color w:val="000000"/>
          <w:sz w:val="32"/>
          <w:szCs w:val="32"/>
          <w:highlight w:val="none"/>
        </w:rPr>
      </w:pPr>
    </w:p>
    <w:p w14:paraId="614A8611">
      <w:pPr>
        <w:pStyle w:val="2"/>
        <w:keepNext w:val="0"/>
        <w:keepLines w:val="0"/>
        <w:pageBreakBefore w:val="0"/>
        <w:widowControl w:val="0"/>
        <w:kinsoku/>
        <w:wordWrap/>
        <w:topLinePunct w:val="0"/>
        <w:autoSpaceDE/>
        <w:autoSpaceDN/>
        <w:bidi w:val="0"/>
        <w:spacing w:line="578" w:lineRule="exact"/>
        <w:rPr>
          <w:rFonts w:hint="eastAsia" w:ascii="仿宋_GB2312" w:hAnsi="仿宋" w:eastAsia="仿宋_GB2312"/>
          <w:color w:val="000000"/>
          <w:sz w:val="32"/>
          <w:szCs w:val="32"/>
          <w:highlight w:val="none"/>
        </w:rPr>
      </w:pPr>
    </w:p>
    <w:p w14:paraId="46110ECE">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45B45BF6">
      <w:pPr>
        <w:keepNext w:val="0"/>
        <w:keepLines w:val="0"/>
        <w:pageBreakBefore w:val="0"/>
        <w:widowControl w:val="0"/>
        <w:tabs>
          <w:tab w:val="left" w:pos="567"/>
        </w:tabs>
        <w:kinsoku/>
        <w:wordWrap/>
        <w:overflowPunct/>
        <w:topLinePunct w:val="0"/>
        <w:autoSpaceDE/>
        <w:autoSpaceDN/>
        <w:bidi w:val="0"/>
        <w:spacing w:line="578"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3</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24</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DC19">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5D4BD">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C5D4BD">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0E04952"/>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BFF87E2"/>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C88775B"/>
    <w:rsid w:val="6C8E3253"/>
    <w:rsid w:val="6CF62181"/>
    <w:rsid w:val="6D036ADE"/>
    <w:rsid w:val="6E2B57CF"/>
    <w:rsid w:val="6E3F53B1"/>
    <w:rsid w:val="6FCB486D"/>
    <w:rsid w:val="6FFAB545"/>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FF40E1"/>
    <w:rsid w:val="795500AB"/>
    <w:rsid w:val="797FAB81"/>
    <w:rsid w:val="79BF1A6D"/>
    <w:rsid w:val="7AFA3BD3"/>
    <w:rsid w:val="7CD635D7"/>
    <w:rsid w:val="7CE7F212"/>
    <w:rsid w:val="7D7E74B8"/>
    <w:rsid w:val="7D99FF67"/>
    <w:rsid w:val="7DF726FE"/>
    <w:rsid w:val="7E4E5D17"/>
    <w:rsid w:val="7E5E3C09"/>
    <w:rsid w:val="7E5F3B60"/>
    <w:rsid w:val="7E7E4DAD"/>
    <w:rsid w:val="7EFEF2B0"/>
    <w:rsid w:val="7F3B6541"/>
    <w:rsid w:val="7F7B6323"/>
    <w:rsid w:val="7FFB3E39"/>
    <w:rsid w:val="7FFF3DBE"/>
    <w:rsid w:val="9E5F9608"/>
    <w:rsid w:val="BBBE626C"/>
    <w:rsid w:val="BE2F87E8"/>
    <w:rsid w:val="C47BB29F"/>
    <w:rsid w:val="D25B4AA5"/>
    <w:rsid w:val="D6F92161"/>
    <w:rsid w:val="D7F3A725"/>
    <w:rsid w:val="DBBF5DBA"/>
    <w:rsid w:val="E6E38E1D"/>
    <w:rsid w:val="E9FFE157"/>
    <w:rsid w:val="EDFB5BB7"/>
    <w:rsid w:val="F177671E"/>
    <w:rsid w:val="F1A6DED5"/>
    <w:rsid w:val="F577E2DA"/>
    <w:rsid w:val="F59FA92B"/>
    <w:rsid w:val="F96E6A55"/>
    <w:rsid w:val="FBEF35A3"/>
    <w:rsid w:val="FECFA313"/>
    <w:rsid w:val="FF7F14CB"/>
    <w:rsid w:val="FFF4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2136</Words>
  <Characters>2335</Characters>
  <Lines>10</Lines>
  <Paragraphs>2</Paragraphs>
  <TotalTime>4</TotalTime>
  <ScaleCrop>false</ScaleCrop>
  <LinksUpToDate>false</LinksUpToDate>
  <CharactersWithSpaces>2450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2022-06-27T09:50:00Z</dcterms:created>
  <dc:creator>Administrator</dc:creator>
  <cp:lastModifiedBy>区凤婷2</cp:lastModifiedBy>
  <cp:lastPrinted>2025-03-11T17:10:00Z</cp:lastPrinted>
  <dcterms:modified xsi:type="dcterms:W3CDTF">2025-12-04T07:32:10Z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