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44</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EA29EC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广东福三象食品有限公司</w:t>
      </w:r>
    </w:p>
    <w:p w14:paraId="4303EBD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卢文峰</w:t>
      </w:r>
    </w:p>
    <w:p w14:paraId="1397377A">
      <w:pPr>
        <w:keepNext w:val="0"/>
        <w:keepLines w:val="0"/>
        <w:pageBreakBefore w:val="0"/>
        <w:widowControl w:val="0"/>
        <w:kinsoku/>
        <w:wordWrap/>
        <w:overflowPunct/>
        <w:topLinePunct w:val="0"/>
        <w:autoSpaceDE/>
        <w:autoSpaceDN/>
        <w:bidi w:val="0"/>
        <w:spacing w:line="520"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91440704MA54BA63XM</w:t>
      </w:r>
    </w:p>
    <w:p w14:paraId="7441F61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江门市江海区科苑路20号12幢</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3506D3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2024年7月3日，我局执法人员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现场检查时你单位正在生产，</w:t>
      </w:r>
      <w:r>
        <w:rPr>
          <w:rFonts w:hint="eastAsia" w:ascii="仿宋_GB2312" w:hAnsi="仿宋" w:eastAsia="仿宋_GB2312" w:cs="Times New Roman"/>
          <w:sz w:val="32"/>
          <w:szCs w:val="32"/>
          <w:highlight w:val="none"/>
        </w:rPr>
        <w:t>配套</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废水治理设施正在运行，生产废水经</w:t>
      </w:r>
      <w:r>
        <w:rPr>
          <w:rFonts w:hint="eastAsia" w:ascii="仿宋_GB2312" w:hAnsi="仿宋" w:eastAsia="仿宋_GB2312" w:cs="Times New Roman"/>
          <w:sz w:val="32"/>
          <w:szCs w:val="32"/>
          <w:highlight w:val="none"/>
          <w:lang w:eastAsia="zh-CN"/>
        </w:rPr>
        <w:t>污水</w:t>
      </w:r>
      <w:r>
        <w:rPr>
          <w:rFonts w:hint="eastAsia" w:ascii="仿宋_GB2312" w:hAnsi="仿宋" w:eastAsia="仿宋_GB2312" w:cs="Times New Roman"/>
          <w:sz w:val="32"/>
          <w:szCs w:val="32"/>
          <w:highlight w:val="none"/>
        </w:rPr>
        <w:t>排放口（编号：DW001）对外排放</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我局执法人员</w:t>
      </w:r>
      <w:r>
        <w:rPr>
          <w:rFonts w:hint="eastAsia" w:ascii="仿宋_GB2312" w:hAnsi="仿宋" w:eastAsia="仿宋_GB2312" w:cs="Times New Roman"/>
          <w:sz w:val="32"/>
          <w:szCs w:val="32"/>
          <w:highlight w:val="none"/>
          <w:lang w:eastAsia="zh-CN"/>
        </w:rPr>
        <w:t>组织</w:t>
      </w:r>
      <w:r>
        <w:rPr>
          <w:rFonts w:hint="eastAsia" w:ascii="仿宋_GB2312" w:hAnsi="仿宋" w:eastAsia="仿宋_GB2312" w:cs="Times New Roman"/>
          <w:sz w:val="32"/>
          <w:szCs w:val="32"/>
          <w:highlight w:val="none"/>
        </w:rPr>
        <w:t>江门市江海区环境监测站对</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污水</w:t>
      </w:r>
      <w:r>
        <w:rPr>
          <w:rFonts w:hint="eastAsia" w:ascii="仿宋_GB2312" w:hAnsi="仿宋" w:eastAsia="仿宋_GB2312" w:cs="Times New Roman"/>
          <w:sz w:val="32"/>
          <w:szCs w:val="32"/>
          <w:highlight w:val="none"/>
        </w:rPr>
        <w:t>排放口（编号：DW001）的外排废水进行采样监测</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根据江门市江海区环境监测站出具的《监测报告》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报告编号：（江海）环境监测（2024）第JH070301-1号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显示，</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污水排放口（编号：DW001）外排水</w:t>
      </w:r>
      <w:r>
        <w:rPr>
          <w:rFonts w:hint="eastAsia" w:ascii="仿宋_GB2312" w:hAnsi="仿宋" w:eastAsia="仿宋_GB2312" w:cs="Times New Roman"/>
          <w:sz w:val="32"/>
          <w:szCs w:val="32"/>
          <w:highlight w:val="none"/>
          <w:lang w:eastAsia="zh-CN"/>
        </w:rPr>
        <w:t>中</w:t>
      </w:r>
      <w:r>
        <w:rPr>
          <w:rFonts w:hint="eastAsia" w:ascii="仿宋_GB2312" w:hAnsi="仿宋" w:eastAsia="仿宋_GB2312" w:cs="Times New Roman"/>
          <w:sz w:val="32"/>
          <w:szCs w:val="32"/>
          <w:highlight w:val="none"/>
        </w:rPr>
        <w:t>化学需氧量为1.5*10</w:t>
      </w:r>
      <w:r>
        <w:rPr>
          <w:rFonts w:hint="eastAsia" w:ascii="仿宋_GB2312" w:hAnsi="仿宋" w:eastAsia="仿宋_GB2312" w:cs="Times New Roman"/>
          <w:sz w:val="32"/>
          <w:szCs w:val="32"/>
          <w:highlight w:val="none"/>
          <w:vertAlign w:val="superscript"/>
        </w:rPr>
        <w:t>3</w:t>
      </w:r>
      <w:r>
        <w:rPr>
          <w:rFonts w:hint="eastAsia" w:ascii="仿宋_GB2312" w:hAnsi="仿宋" w:eastAsia="仿宋_GB2312" w:cs="Times New Roman"/>
          <w:sz w:val="32"/>
          <w:szCs w:val="32"/>
          <w:highlight w:val="none"/>
        </w:rPr>
        <w:t>mg/L、总磷为37.7mg/L、悬浮物为260mg/L，超过</w:t>
      </w:r>
      <w:r>
        <w:rPr>
          <w:rFonts w:hint="eastAsia" w:ascii="仿宋_GB2312" w:hAnsi="仿宋" w:eastAsia="仿宋_GB2312" w:cs="Times New Roman"/>
          <w:sz w:val="32"/>
          <w:szCs w:val="32"/>
          <w:highlight w:val="none"/>
          <w:lang w:eastAsia="zh-CN"/>
        </w:rPr>
        <w:t>你单位应执行的</w:t>
      </w:r>
      <w:r>
        <w:rPr>
          <w:rFonts w:hint="eastAsia" w:ascii="仿宋_GB2312" w:hAnsi="仿宋" w:eastAsia="仿宋_GB2312" w:cs="Times New Roman"/>
          <w:sz w:val="32"/>
          <w:szCs w:val="32"/>
          <w:highlight w:val="none"/>
        </w:rPr>
        <w:t>广东省《水污染物排放限值》（DB44/26-2001）第二时段二级标准规定的化学需氧量为110mg/L、总磷为1mg/L、悬浮物为100mg/L的排放限值，其中，化学需氧量超标12.64倍，总磷超标36.7倍，悬浮物超标1.6倍。</w:t>
      </w:r>
    </w:p>
    <w:p w14:paraId="6CC51C4F">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报告编号：（江海）环境监测（2024）第JH070301-1号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、移交记录表及送达回执、关于江门市江海区中路河相关情况的说明、</w:t>
      </w:r>
      <w:r>
        <w:rPr>
          <w:rFonts w:hint="eastAsia" w:ascii="仿宋_GB2312" w:hAnsi="仿宋" w:eastAsia="仿宋_GB2312" w:cs="Times New Roman"/>
          <w:sz w:val="32"/>
          <w:szCs w:val="32"/>
          <w:highlight w:val="none"/>
          <w:lang w:val="en-US" w:eastAsia="zh-CN"/>
        </w:rPr>
        <w:t>江门市江海区城市管理和综合执法局出具的《关于江门市江海区科苑路20号周边污水纳污有关情况的复函》</w:t>
      </w:r>
      <w:r>
        <w:rPr>
          <w:rFonts w:hint="eastAsia" w:ascii="仿宋_GB2312" w:hAnsi="仿宋" w:eastAsia="仿宋_GB2312" w:cs="Times New Roman"/>
          <w:sz w:val="32"/>
          <w:szCs w:val="32"/>
          <w:highlight w:val="none"/>
          <w:lang w:eastAsia="zh-CN"/>
        </w:rPr>
        <w:t>；你单位提供的营业执照、厂长的身份证、《取水许可证》、《建设项目环境影响报告表》部分页、《关于以告知承诺制审批形式对广东福三象食品有限公司年加工生产排米粉和方块粉</w:t>
      </w:r>
      <w:r>
        <w:rPr>
          <w:rFonts w:hint="eastAsia" w:ascii="仿宋_GB2312" w:hAnsi="仿宋" w:eastAsia="仿宋_GB2312" w:cs="Times New Roman"/>
          <w:sz w:val="32"/>
          <w:szCs w:val="32"/>
          <w:highlight w:val="none"/>
          <w:lang w:val="en-US" w:eastAsia="zh-CN"/>
        </w:rPr>
        <w:t>110000吨、糯米粉和粘米粉39760吨建设项目环境影响报告表的批复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110号</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2023年12月至2024年6月西江水取用量明细表、广东福三象食品有限公司用水量明细表、2023年12月至2024年4月水资源费发票、2023年12月至2024年6月用水缴费通知单、关于广东福三象食品有限公司用水的情况说明</w:t>
      </w:r>
      <w:r>
        <w:rPr>
          <w:rFonts w:hint="eastAsia" w:ascii="仿宋_GB2312" w:hAnsi="仿宋" w:eastAsia="仿宋_GB2312" w:cs="Times New Roman"/>
          <w:sz w:val="32"/>
          <w:szCs w:val="32"/>
          <w:highlight w:val="none"/>
          <w:lang w:eastAsia="zh-CN"/>
        </w:rPr>
        <w:t>的复印件，授权委托书，送达地址确认书等为证。</w:t>
      </w:r>
    </w:p>
    <w:p w14:paraId="5A2E0AA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59824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违反了《中华人民共和国水污染防治法》第十条的规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2024年9月11日向你单位直接送达了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37.925万元，并告知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394620B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9月18日向我局提交《生态环境行政违法当事人公开道歉承诺守法从轻处罚申请书》。我局应你单位申请于2024年10月12日对你单位整改情况进行复查，发现你单位已改正违法行为。你单位于2024年10月24日在江门日报上刊登公开道歉承诺书。</w:t>
      </w:r>
    </w:p>
    <w:p w14:paraId="5E0FC6A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val="en-US" w:eastAsia="zh-CN"/>
        </w:rPr>
      </w:pPr>
      <w:r>
        <w:rPr>
          <w:rFonts w:hint="eastAsia" w:ascii="仿宋_GB2312" w:hAnsi="仿宋" w:eastAsia="仿宋_GB2312" w:cs="Times New Roman"/>
          <w:sz w:val="32"/>
          <w:szCs w:val="32"/>
          <w:highlight w:val="none"/>
          <w:lang w:eastAsia="zh-CN"/>
        </w:rPr>
        <w:t>经复核，你单位上述公开道歉承诺守法的行为符合《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江门市实施&lt;广东省生态环境行政处罚自由裁量权规定&gt;细则》第十条、附件3第三条第一款第二项的规定，可按拟处罚金额人民币</w:t>
      </w:r>
      <w:r>
        <w:rPr>
          <w:rFonts w:hint="eastAsia" w:ascii="仿宋_GB2312" w:hAnsi="仿宋" w:eastAsia="仿宋_GB2312"/>
          <w:color w:val="000000"/>
          <w:sz w:val="32"/>
          <w:szCs w:val="32"/>
          <w:highlight w:val="none"/>
          <w:lang w:val="en-US" w:eastAsia="zh-CN"/>
        </w:rPr>
        <w:t>33.825万元｛罚款金额33.825万元=初步罚款金额41万元[（裁量起点7%+超标因子数目3个以上8%+废水日排放量50吨以上200吨以下3%+超标20倍以上23%）×100万]+初步罚款金额41万×5%×调整系数总和（-3.5）[积极配合调查取证（-1.5），主动改正或者及时中止违法行为的（-2.0），近二年同类违法行为情况的情节已经在权重裁量中体现，则不再重复计算该情节]｝的50%进行减轻处罚，减轻后的处罚金额为人民币16.9125万元。</w:t>
      </w:r>
    </w:p>
    <w:p w14:paraId="7ADEB0B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sz w:val="32"/>
          <w:szCs w:val="32"/>
          <w:highlight w:val="none"/>
        </w:rPr>
        <w:t>中华人民共和国水污染防治法》第八十</w:t>
      </w:r>
      <w:r>
        <w:rPr>
          <w:rFonts w:hint="eastAsia" w:ascii="仿宋_GB2312" w:hAnsi="仿宋" w:eastAsia="仿宋_GB2312" w:cs="Times New Roman"/>
          <w:sz w:val="32"/>
          <w:szCs w:val="32"/>
          <w:highlight w:val="none"/>
          <w:lang w:eastAsia="zh-CN"/>
        </w:rPr>
        <w:t>三</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第二项，依据《广东省生态环境行政处罚自由裁量权规定》附件1</w:t>
      </w:r>
      <w:r>
        <w:rPr>
          <w:rFonts w:hint="eastAsia" w:ascii="仿宋_GB2312" w:hAnsi="仿宋" w:eastAsia="仿宋_GB2312" w:cs="Times New Roman"/>
          <w:sz w:val="32"/>
          <w:szCs w:val="32"/>
          <w:highlight w:val="none"/>
        </w:rPr>
        <w:t>§2.</w:t>
      </w:r>
      <w:r>
        <w:rPr>
          <w:rFonts w:hint="eastAsia" w:ascii="仿宋_GB2312" w:hAnsi="仿宋" w:eastAsia="仿宋_GB2312" w:cs="Times New Roman"/>
          <w:sz w:val="32"/>
          <w:szCs w:val="32"/>
          <w:highlight w:val="none"/>
          <w:lang w:val="en-US" w:eastAsia="zh-CN"/>
        </w:rPr>
        <w:t>7.1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eastAsia="zh-CN"/>
        </w:rPr>
        <w:t>目及第</w:t>
      </w:r>
      <w:r>
        <w:rPr>
          <w:rFonts w:hint="eastAsia" w:ascii="仿宋_GB2312" w:hAnsi="仿宋" w:eastAsia="仿宋_GB2312" w:cs="Times New Roman"/>
          <w:sz w:val="32"/>
          <w:szCs w:val="32"/>
          <w:highlight w:val="none"/>
          <w:lang w:val="en-US" w:eastAsia="zh-CN"/>
        </w:rPr>
        <w:t>4目、第十条、附件3第三条第一款第二项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b/>
          <w:bCs/>
          <w:color w:val="000000"/>
          <w:sz w:val="32"/>
          <w:szCs w:val="32"/>
          <w:highlight w:val="none"/>
          <w:lang w:val="en-US" w:eastAsia="zh-CN"/>
        </w:rPr>
        <w:t>16.9125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壹拾陆万玖仟壹佰贰拾伍</w:t>
      </w:r>
      <w:r>
        <w:rPr>
          <w:rFonts w:hint="eastAsia" w:ascii="仿宋_GB2312" w:hAnsi="仿宋" w:eastAsia="仿宋_GB2312" w:cs="Times New Roman"/>
          <w:b/>
          <w:bCs/>
          <w:sz w:val="32"/>
          <w:szCs w:val="32"/>
          <w:highlight w:val="none"/>
          <w:lang w:eastAsia="zh-CN"/>
        </w:rPr>
        <w:t>元）整的行政处罚。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2E104D8"/>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BF1A6D"/>
    <w:rsid w:val="7AFA3BD3"/>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2063</Words>
  <Characters>2326</Characters>
  <Lines>10</Lines>
  <Paragraphs>2</Paragraphs>
  <TotalTime>26</TotalTime>
  <ScaleCrop>false</ScaleCrop>
  <LinksUpToDate>false</LinksUpToDate>
  <CharactersWithSpaces>2438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2025-12-05T03:53:57Z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