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EE40C">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0378C4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47A9A52D">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D1E8B5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6608D117">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45</w:t>
      </w:r>
      <w:r>
        <w:rPr>
          <w:rFonts w:hint="eastAsia" w:ascii="仿宋_GB2312" w:hAnsi="仿宋" w:eastAsia="仿宋_GB2312"/>
          <w:color w:val="000000"/>
          <w:sz w:val="32"/>
          <w:szCs w:val="32"/>
          <w:highlight w:val="none"/>
        </w:rPr>
        <w:t>号</w:t>
      </w:r>
    </w:p>
    <w:p w14:paraId="78665D9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sz w:val="18"/>
          <w:szCs w:val="18"/>
          <w:highlight w:val="none"/>
        </w:rPr>
      </w:pPr>
    </w:p>
    <w:p w14:paraId="7417BA0A">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sz w:val="32"/>
          <w:szCs w:val="32"/>
          <w:highlight w:val="none"/>
          <w:lang w:eastAsia="zh-CN"/>
        </w:rPr>
        <w:t>江门市镪鑫五金制品有限公司</w:t>
      </w:r>
    </w:p>
    <w:p w14:paraId="0732E851">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sz w:val="32"/>
          <w:szCs w:val="32"/>
          <w:highlight w:val="none"/>
          <w:lang w:val="en-US" w:eastAsia="zh-CN"/>
        </w:rPr>
        <w:t>曹海鹏</w:t>
      </w:r>
    </w:p>
    <w:p w14:paraId="67776D1A">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sz w:val="32"/>
          <w:szCs w:val="32"/>
          <w:highlight w:val="none"/>
          <w:lang w:val="en-US" w:eastAsia="zh-CN"/>
        </w:rPr>
        <w:t>91440704MA56HKHL9C</w:t>
      </w:r>
    </w:p>
    <w:p w14:paraId="4FFF47AB">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住所：江门市江海区南山路</w:t>
      </w:r>
      <w:r>
        <w:rPr>
          <w:rFonts w:hint="eastAsia" w:ascii="仿宋_GB2312" w:hAnsi="仿宋" w:eastAsia="仿宋_GB2312"/>
          <w:sz w:val="32"/>
          <w:szCs w:val="32"/>
          <w:highlight w:val="none"/>
          <w:lang w:val="en-US" w:eastAsia="zh-CN"/>
        </w:rPr>
        <w:t>318号2幢5楼</w:t>
      </w:r>
    </w:p>
    <w:p w14:paraId="507D3BE3">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5E1EB62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2024年9月5日，我局执法人员对你单位进行现场检查，并委托了广东产品质量监督检验研究院对你单位喷底漆工序和喷面漆工序使用的已混合均匀的涂料进行采样检测。</w:t>
      </w:r>
      <w:r>
        <w:rPr>
          <w:rFonts w:hint="eastAsia" w:ascii="仿宋_GB2312" w:hAnsi="仿宋" w:eastAsia="仿宋_GB2312" w:cs="Times New Roman"/>
          <w:sz w:val="32"/>
          <w:szCs w:val="32"/>
          <w:highlight w:val="none"/>
        </w:rPr>
        <w:t>根据广东产品质量监督检验研究院出具的《检测报告》（报告编号：SH2402359）、《检测结果分析报告》[报告编号：广质涂（2024）-SH2402359）]，</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喷面漆工序使用的已混合均匀的涂料VOCs含量为496g/L。根据广东产品质量监督检验研究院出具的《检测报告》（报告编号：SH2402360）、《检测结果分析报告》[报告编号：广质涂（2024）-SH2402360）]，</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喷底漆工序使用的已混合均匀的涂料VOCs含量为463g/L。</w:t>
      </w:r>
      <w:r>
        <w:rPr>
          <w:rFonts w:hint="eastAsia" w:ascii="仿宋_GB2312" w:hAnsi="仿宋" w:eastAsia="仿宋_GB2312" w:cs="Times New Roman"/>
          <w:sz w:val="32"/>
          <w:szCs w:val="32"/>
          <w:highlight w:val="none"/>
          <w:lang w:eastAsia="zh-CN"/>
        </w:rPr>
        <w:t>上述涂料</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w:t>
      </w:r>
      <w:r>
        <w:rPr>
          <w:rFonts w:hint="eastAsia" w:ascii="仿宋_GB2312" w:hAnsi="仿宋" w:eastAsia="仿宋_GB2312" w:cs="Times New Roman"/>
          <w:sz w:val="32"/>
          <w:szCs w:val="32"/>
          <w:highlight w:val="none"/>
        </w:rPr>
        <w:t>均与</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《建设项目环境影响报告表》中核定的VOCs含量要求（≤270 g/L）不符。同时</w:t>
      </w:r>
      <w:r>
        <w:rPr>
          <w:rFonts w:hint="eastAsia" w:ascii="仿宋_GB2312" w:hAnsi="仿宋" w:eastAsia="仿宋_GB2312" w:cs="Times New Roman"/>
          <w:sz w:val="32"/>
          <w:szCs w:val="32"/>
          <w:highlight w:val="none"/>
          <w:lang w:eastAsia="zh-CN"/>
        </w:rPr>
        <w:t>，经核查发现你单位未建立、保存台账，</w:t>
      </w:r>
      <w:r>
        <w:rPr>
          <w:rFonts w:hint="eastAsia" w:ascii="仿宋_GB2312" w:hAnsi="仿宋" w:eastAsia="仿宋_GB2312" w:cs="Times New Roman"/>
          <w:kern w:val="2"/>
          <w:sz w:val="32"/>
          <w:szCs w:val="32"/>
          <w:highlight w:val="none"/>
          <w:lang w:val="en-US" w:eastAsia="zh-CN" w:bidi="ar"/>
        </w:rPr>
        <w:t>记录生产原料、辅料的使用量、废弃量、去向以及挥发性有机物含量。你单位存在</w:t>
      </w:r>
      <w:r>
        <w:rPr>
          <w:rFonts w:hint="eastAsia" w:ascii="仿宋_GB2312" w:hAnsi="仿宋" w:eastAsia="仿宋_GB2312" w:cs="Times New Roman"/>
          <w:b w:val="0"/>
          <w:bCs w:val="0"/>
          <w:sz w:val="32"/>
          <w:szCs w:val="32"/>
          <w:highlight w:val="none"/>
          <w:lang w:eastAsia="zh-CN"/>
        </w:rPr>
        <w:t>未使用低挥发性有机物含量涂料且未建立、保存台账的违法行为</w:t>
      </w:r>
      <w:r>
        <w:rPr>
          <w:rFonts w:hint="eastAsia" w:ascii="仿宋_GB2312" w:hAnsi="仿宋" w:eastAsia="仿宋_GB2312" w:cs="Times New Roman"/>
          <w:sz w:val="32"/>
          <w:szCs w:val="32"/>
          <w:highlight w:val="none"/>
        </w:rPr>
        <w:t>。</w:t>
      </w:r>
    </w:p>
    <w:p w14:paraId="4577594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rPr>
        <w:t>上述事实有江门市生态环境局现场检查（勘察）笔录、调查询问笔录、现场照片（图片、影像资料）证据</w:t>
      </w:r>
      <w:r>
        <w:rPr>
          <w:rFonts w:hint="eastAsia" w:ascii="仿宋_GB2312" w:hAnsi="仿宋" w:eastAsia="仿宋_GB2312" w:cs="Times New Roman"/>
          <w:sz w:val="32"/>
          <w:szCs w:val="32"/>
          <w:highlight w:val="none"/>
          <w:lang w:eastAsia="zh-CN"/>
        </w:rPr>
        <w:t>、《检测报告》</w:t>
      </w:r>
      <w:r>
        <w:rPr>
          <w:rFonts w:hint="eastAsia" w:ascii="仿宋_GB2312" w:hAnsi="仿宋" w:eastAsia="仿宋_GB2312" w:cs="Times New Roman"/>
          <w:sz w:val="32"/>
          <w:szCs w:val="32"/>
          <w:highlight w:val="none"/>
          <w:lang w:val="en-US" w:eastAsia="zh-CN"/>
        </w:rPr>
        <w:t>（报告编号：SH2402359、SH2402360）、《检测结果分析报告》[报告编号：广质涂（2024）-SH2402359、广质涂（2024）-SH2402360）]、移交记录表及送达回执等；你单位提供的营业执照、法定代表人身份证、《建设项目环境影响报告表》的部分页、《关于江门市镪鑫五金制品有限公司年加工铝部件200万件新建项目环境影响报告表的批复》（江江环审</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2022</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64号</w:t>
      </w:r>
      <w:r>
        <w:rPr>
          <w:rFonts w:hint="eastAsia" w:ascii="仿宋_GB2312" w:hAnsi="仿宋" w:eastAsia="仿宋_GB2312" w:cs="Times New Roman"/>
          <w:sz w:val="32"/>
          <w:szCs w:val="32"/>
          <w:highlight w:val="none"/>
          <w:lang w:val="en-US" w:eastAsia="zh-CN"/>
        </w:rPr>
        <w:t>）的复印件，</w:t>
      </w:r>
      <w:r>
        <w:rPr>
          <w:rFonts w:hint="eastAsia" w:ascii="仿宋_GB2312" w:hAnsi="仿宋" w:eastAsia="仿宋_GB2312" w:cs="Times New Roman"/>
          <w:sz w:val="32"/>
          <w:szCs w:val="32"/>
          <w:highlight w:val="none"/>
          <w:lang w:eastAsia="zh-CN"/>
        </w:rPr>
        <w:t>送达地址确认书等为证。</w:t>
      </w:r>
    </w:p>
    <w:p w14:paraId="007C752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0F56317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2024年11月11日向你单位直接送达了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16</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6B6A5B21">
      <w:pPr>
        <w:keepNext w:val="0"/>
        <w:keepLines w:val="0"/>
        <w:pageBreakBefore w:val="0"/>
        <w:widowControl w:val="0"/>
        <w:tabs>
          <w:tab w:val="left" w:pos="709"/>
        </w:tabs>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w:t>
      </w:r>
      <w:r>
        <w:rPr>
          <w:rFonts w:hint="eastAsia" w:ascii="仿宋_GB2312" w:hAnsi="仿宋" w:eastAsia="仿宋_GB2312" w:cs="Times New Roman"/>
          <w:sz w:val="32"/>
          <w:szCs w:val="32"/>
          <w:highlight w:val="none"/>
        </w:rPr>
        <w:t>裁量标准｛罚款金额3.275万元=初步罚款区间的中位金额3.5万元[（近二年同类违法行为情况2次以下，建设项目所在区域为环境敏感区或限批区以外的区域，罚款2万元以上5万元以下]+初步罚款区间高低限差额3万元×5%×调整系数总和（-1.5）[积极配合调查取证（-1.5），近二年同类违法行为情况的情节已经在权重裁量中体现，则不再重复计算该情节]｝的规定，</w:t>
      </w:r>
      <w:r>
        <w:rPr>
          <w:rFonts w:hint="eastAsia" w:ascii="仿宋_GB2312" w:hAnsi="仿宋" w:eastAsia="仿宋_GB2312"/>
          <w:b/>
          <w:bCs/>
          <w:color w:val="000000"/>
          <w:sz w:val="32"/>
          <w:szCs w:val="32"/>
          <w:highlight w:val="none"/>
        </w:rPr>
        <w:t>我局</w:t>
      </w:r>
      <w:r>
        <w:rPr>
          <w:rFonts w:hint="eastAsia" w:ascii="仿宋_GB2312" w:hAnsi="仿宋" w:eastAsia="仿宋_GB2312"/>
          <w:b/>
          <w:bCs/>
          <w:color w:val="000000"/>
          <w:sz w:val="32"/>
          <w:szCs w:val="32"/>
          <w:highlight w:val="none"/>
          <w:lang w:eastAsia="zh-CN"/>
        </w:rPr>
        <w:t>决定</w:t>
      </w:r>
      <w:r>
        <w:rPr>
          <w:rFonts w:hint="eastAsia" w:ascii="仿宋_GB2312" w:hAnsi="仿宋" w:eastAsia="仿宋_GB2312"/>
          <w:b/>
          <w:bCs/>
          <w:color w:val="000000"/>
          <w:sz w:val="32"/>
          <w:szCs w:val="32"/>
          <w:highlight w:val="none"/>
        </w:rPr>
        <w:t>对你单位作出罚款人民币</w:t>
      </w:r>
      <w:r>
        <w:rPr>
          <w:rFonts w:hint="eastAsia" w:ascii="仿宋_GB2312" w:hAnsi="仿宋" w:eastAsia="仿宋_GB2312"/>
          <w:b/>
          <w:bCs/>
          <w:color w:val="000000"/>
          <w:sz w:val="32"/>
          <w:szCs w:val="32"/>
          <w:highlight w:val="none"/>
          <w:lang w:val="en-US" w:eastAsia="zh-CN"/>
        </w:rPr>
        <w:t>3.275</w:t>
      </w:r>
      <w:r>
        <w:rPr>
          <w:rFonts w:hint="eastAsia" w:ascii="仿宋_GB2312" w:hAnsi="仿宋" w:eastAsia="仿宋_GB2312"/>
          <w:b/>
          <w:bCs/>
          <w:color w:val="000000"/>
          <w:sz w:val="32"/>
          <w:szCs w:val="32"/>
          <w:highlight w:val="none"/>
        </w:rPr>
        <w:t>万元（大写：</w:t>
      </w:r>
      <w:r>
        <w:rPr>
          <w:rFonts w:hint="eastAsia" w:ascii="仿宋_GB2312" w:hAnsi="仿宋" w:eastAsia="仿宋_GB2312"/>
          <w:b/>
          <w:bCs/>
          <w:color w:val="000000"/>
          <w:sz w:val="32"/>
          <w:szCs w:val="32"/>
          <w:highlight w:val="none"/>
          <w:lang w:eastAsia="zh-CN"/>
        </w:rPr>
        <w:t>叁万贰仟柒佰伍拾元</w:t>
      </w:r>
      <w:r>
        <w:rPr>
          <w:rFonts w:hint="eastAsia" w:ascii="仿宋_GB2312" w:hAnsi="仿宋" w:eastAsia="仿宋_GB2312"/>
          <w:b/>
          <w:bCs/>
          <w:color w:val="000000"/>
          <w:sz w:val="32"/>
          <w:szCs w:val="32"/>
          <w:highlight w:val="none"/>
        </w:rPr>
        <w:t>）整的行政处罚</w:t>
      </w:r>
      <w:r>
        <w:rPr>
          <w:rFonts w:hint="eastAsia" w:ascii="仿宋_GB2312" w:hAnsi="仿宋" w:eastAsia="仿宋_GB2312"/>
          <w:b/>
          <w:bCs/>
          <w:color w:val="000000"/>
          <w:sz w:val="32"/>
          <w:szCs w:val="32"/>
          <w:highlight w:val="none"/>
          <w:lang w:eastAsia="zh-CN"/>
        </w:rPr>
        <w:t>。</w:t>
      </w:r>
    </w:p>
    <w:p w14:paraId="36C271C0">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6DF3EC6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1FB1F335">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34497A29">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4B25F1FC">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6FB21522">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24B6EFEE">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705FCD26">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20</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4D5C3">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89248">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2989248">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79FDA01"/>
    <w:rsid w:val="795500AB"/>
    <w:rsid w:val="79BF1A6D"/>
    <w:rsid w:val="79FE2622"/>
    <w:rsid w:val="7AFA3BD3"/>
    <w:rsid w:val="7CCB4E53"/>
    <w:rsid w:val="7CD635D7"/>
    <w:rsid w:val="7D99FF67"/>
    <w:rsid w:val="7DF726FE"/>
    <w:rsid w:val="7E4E5D17"/>
    <w:rsid w:val="7E5E3C09"/>
    <w:rsid w:val="7E7E4DAD"/>
    <w:rsid w:val="7F3B6541"/>
    <w:rsid w:val="7FFF3DBE"/>
    <w:rsid w:val="BE2F87E8"/>
    <w:rsid w:val="C47BB29F"/>
    <w:rsid w:val="DFBFD5A3"/>
    <w:rsid w:val="F8DB189A"/>
    <w:rsid w:val="FBE69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脚 Char"/>
    <w:link w:val="3"/>
    <w:qFormat/>
    <w:uiPriority w:val="99"/>
    <w:rPr>
      <w:sz w:val="18"/>
      <w:szCs w:val="18"/>
    </w:rPr>
  </w:style>
  <w:style w:type="character" w:customStyle="1" w:styleId="10">
    <w:name w:val="页眉 Char"/>
    <w:link w:val="4"/>
    <w:semiHidden/>
    <w:qFormat/>
    <w:uiPriority w:val="99"/>
    <w:rPr>
      <w:sz w:val="18"/>
      <w:szCs w:val="18"/>
    </w:rPr>
  </w:style>
  <w:style w:type="character" w:customStyle="1" w:styleId="11">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1917</Words>
  <Characters>2113</Characters>
  <Lines>10</Lines>
  <Paragraphs>2</Paragraphs>
  <TotalTime>2</TotalTime>
  <ScaleCrop>false</ScaleCrop>
  <LinksUpToDate>false</LinksUpToDate>
  <CharactersWithSpaces>2226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2022-06-19T17:50:00Z</dcterms:created>
  <dc:creator>Administrator</dc:creator>
  <cp:lastModifiedBy>区凤婷2</cp:lastModifiedBy>
  <cp:lastPrinted>2024-05-16T06:54:00Z</cp:lastPrinted>
  <dcterms:modified xsi:type="dcterms:W3CDTF">2025-12-05T03:54:11Z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