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ms-word.document.macroEnabled.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8BB472C">
      <w:pPr>
        <w:keepNext w:val="0"/>
        <w:keepLines w:val="0"/>
        <w:pageBreakBefore w:val="0"/>
        <w:widowControl w:val="0"/>
        <w:kinsoku/>
        <w:wordWrap/>
        <w:overflowPunct/>
        <w:topLinePunct w:val="0"/>
        <w:autoSpaceDE/>
        <w:autoSpaceDN/>
        <w:bidi w:val="0"/>
        <w:spacing w:line="520" w:lineRule="exact"/>
        <w:jc w:val="right"/>
        <w:textAlignment w:val="auto"/>
        <w:rPr>
          <w:spacing w:val="120"/>
        </w:rPr>
      </w:pPr>
    </w:p>
    <w:p w14:paraId="28D72848">
      <w:pPr>
        <w:keepNext w:val="0"/>
        <w:keepLines w:val="0"/>
        <w:pageBreakBefore w:val="0"/>
        <w:widowControl w:val="0"/>
        <w:kinsoku/>
        <w:wordWrap/>
        <w:overflowPunct/>
        <w:topLinePunct w:val="0"/>
        <w:autoSpaceDE/>
        <w:autoSpaceDN/>
        <w:bidi w:val="0"/>
        <w:spacing w:line="520" w:lineRule="exact"/>
        <w:jc w:val="right"/>
        <w:textAlignment w:val="auto"/>
        <w:rPr>
          <w:spacing w:val="120"/>
        </w:rPr>
      </w:pPr>
    </w:p>
    <w:p w14:paraId="2638453B">
      <w:pPr>
        <w:keepNext w:val="0"/>
        <w:keepLines w:val="0"/>
        <w:pageBreakBefore w:val="0"/>
        <w:widowControl w:val="0"/>
        <w:kinsoku/>
        <w:wordWrap/>
        <w:overflowPunct/>
        <w:topLinePunct w:val="0"/>
        <w:autoSpaceDE/>
        <w:autoSpaceDN/>
        <w:bidi w:val="0"/>
        <w:spacing w:line="520" w:lineRule="exact"/>
        <w:jc w:val="center"/>
        <w:textAlignment w:val="auto"/>
        <w:rPr>
          <w:rFonts w:ascii="方正小标宋简体" w:hAnsi="宋体" w:eastAsia="方正小标宋简体"/>
          <w:b/>
          <w:sz w:val="44"/>
          <w:szCs w:val="44"/>
        </w:rPr>
      </w:pPr>
      <w:r>
        <w:rPr>
          <w:rFonts w:hint="eastAsia" w:ascii="方正小标宋简体" w:hAnsi="宋体" w:eastAsia="方正小标宋简体"/>
          <w:b/>
          <w:sz w:val="44"/>
          <w:szCs w:val="44"/>
        </w:rPr>
        <w:t>行政处罚决定书</w:t>
      </w:r>
    </w:p>
    <w:p w14:paraId="5946A9EB">
      <w:pPr>
        <w:keepNext w:val="0"/>
        <w:keepLines w:val="0"/>
        <w:pageBreakBefore w:val="0"/>
        <w:widowControl w:val="0"/>
        <w:kinsoku/>
        <w:wordWrap/>
        <w:overflowPunct/>
        <w:topLinePunct w:val="0"/>
        <w:autoSpaceDE/>
        <w:autoSpaceDN/>
        <w:bidi w:val="0"/>
        <w:spacing w:line="520" w:lineRule="exact"/>
        <w:jc w:val="center"/>
        <w:textAlignment w:val="auto"/>
        <w:rPr>
          <w:rFonts w:hint="eastAsia" w:ascii="仿宋_GB2312" w:hAnsi="仿宋" w:eastAsia="仿宋_GB2312"/>
          <w:color w:val="000000"/>
          <w:sz w:val="32"/>
          <w:szCs w:val="32"/>
        </w:rPr>
      </w:pPr>
      <w:bookmarkStart w:id="0" w:name="_GoBack"/>
      <w:bookmarkEnd w:id="0"/>
    </w:p>
    <w:p w14:paraId="2D2DA3D6">
      <w:pPr>
        <w:keepNext w:val="0"/>
        <w:keepLines w:val="0"/>
        <w:pageBreakBefore w:val="0"/>
        <w:widowControl w:val="0"/>
        <w:kinsoku/>
        <w:wordWrap/>
        <w:overflowPunct/>
        <w:topLinePunct w:val="0"/>
        <w:autoSpaceDE/>
        <w:autoSpaceDN/>
        <w:bidi w:val="0"/>
        <w:spacing w:line="560" w:lineRule="exact"/>
        <w:jc w:val="left"/>
        <w:textAlignment w:val="auto"/>
        <w:rPr>
          <w:rFonts w:ascii="仿宋_GB2312" w:hAnsi="仿宋" w:eastAsia="仿宋_GB2312"/>
          <w:color w:val="000000"/>
          <w:sz w:val="32"/>
          <w:szCs w:val="32"/>
          <w:highlight w:val="none"/>
        </w:rPr>
      </w:pPr>
      <w:r>
        <w:rPr>
          <w:rFonts w:hint="eastAsia" w:ascii="仿宋" w:hAnsi="仿宋" w:eastAsia="仿宋"/>
          <w:sz w:val="32"/>
          <w:szCs w:val="32"/>
        </w:rPr>
        <w:t xml:space="preserve">   </w:t>
      </w:r>
      <w:r>
        <w:rPr>
          <w:rFonts w:hint="eastAsia" w:ascii="仿宋" w:hAnsi="仿宋" w:eastAsia="仿宋"/>
          <w:sz w:val="32"/>
          <w:szCs w:val="32"/>
          <w:highlight w:val="none"/>
        </w:rPr>
        <w:t xml:space="preserve">                               </w:t>
      </w:r>
      <w:r>
        <w:rPr>
          <w:rFonts w:hint="eastAsia" w:ascii="仿宋_GB2312" w:hAnsi="仿宋" w:eastAsia="仿宋_GB2312"/>
          <w:color w:val="000000"/>
          <w:sz w:val="32"/>
          <w:szCs w:val="32"/>
          <w:highlight w:val="none"/>
        </w:rPr>
        <w:t>江江环罚〔202</w:t>
      </w:r>
      <w:r>
        <w:rPr>
          <w:rFonts w:hint="eastAsia" w:ascii="仿宋_GB2312" w:hAnsi="仿宋" w:eastAsia="仿宋_GB2312"/>
          <w:color w:val="000000"/>
          <w:sz w:val="32"/>
          <w:szCs w:val="32"/>
          <w:highlight w:val="none"/>
          <w:lang w:val="en-US" w:eastAsia="zh-CN"/>
        </w:rPr>
        <w:t>4</w:t>
      </w:r>
      <w:r>
        <w:rPr>
          <w:rFonts w:hint="eastAsia" w:ascii="仿宋_GB2312" w:hAnsi="仿宋" w:eastAsia="仿宋_GB2312"/>
          <w:color w:val="000000"/>
          <w:sz w:val="32"/>
          <w:szCs w:val="32"/>
          <w:highlight w:val="none"/>
        </w:rPr>
        <w:t>〕</w:t>
      </w:r>
      <w:r>
        <w:rPr>
          <w:rFonts w:hint="eastAsia" w:ascii="仿宋_GB2312" w:hAnsi="仿宋" w:eastAsia="仿宋_GB2312"/>
          <w:color w:val="000000"/>
          <w:sz w:val="32"/>
          <w:szCs w:val="32"/>
          <w:highlight w:val="none"/>
          <w:lang w:val="en-US" w:eastAsia="zh-CN"/>
        </w:rPr>
        <w:t>47</w:t>
      </w:r>
      <w:r>
        <w:rPr>
          <w:rFonts w:hint="eastAsia" w:ascii="仿宋_GB2312" w:hAnsi="仿宋" w:eastAsia="仿宋_GB2312"/>
          <w:color w:val="000000"/>
          <w:sz w:val="32"/>
          <w:szCs w:val="32"/>
          <w:highlight w:val="none"/>
        </w:rPr>
        <w:t>号</w:t>
      </w:r>
    </w:p>
    <w:p w14:paraId="24E26997">
      <w:pPr>
        <w:keepNext w:val="0"/>
        <w:keepLines w:val="0"/>
        <w:pageBreakBefore w:val="0"/>
        <w:widowControl w:val="0"/>
        <w:kinsoku/>
        <w:wordWrap/>
        <w:overflowPunct/>
        <w:topLinePunct w:val="0"/>
        <w:autoSpaceDE/>
        <w:autoSpaceDN/>
        <w:bidi w:val="0"/>
        <w:adjustRightInd w:val="0"/>
        <w:snapToGrid w:val="0"/>
        <w:spacing w:line="560" w:lineRule="exact"/>
        <w:jc w:val="left"/>
        <w:textAlignment w:val="auto"/>
        <w:rPr>
          <w:rFonts w:ascii="仿宋" w:hAnsi="仿宋" w:eastAsia="仿宋"/>
          <w:b/>
          <w:sz w:val="18"/>
          <w:szCs w:val="18"/>
          <w:highlight w:val="none"/>
        </w:rPr>
      </w:pPr>
    </w:p>
    <w:p w14:paraId="3436856C">
      <w:pPr>
        <w:keepNext w:val="0"/>
        <w:keepLines w:val="0"/>
        <w:pageBreakBefore w:val="0"/>
        <w:widowControl w:val="0"/>
        <w:kinsoku/>
        <w:wordWrap/>
        <w:overflowPunct/>
        <w:topLinePunct w:val="0"/>
        <w:autoSpaceDE/>
        <w:autoSpaceDN/>
        <w:bidi w:val="0"/>
        <w:spacing w:line="560" w:lineRule="exact"/>
        <w:jc w:val="left"/>
        <w:textAlignment w:val="auto"/>
        <w:rPr>
          <w:rFonts w:hint="eastAsia" w:ascii="仿宋_GB2312" w:hAnsi="仿宋" w:eastAsia="仿宋_GB2312"/>
          <w:sz w:val="32"/>
          <w:szCs w:val="32"/>
          <w:highlight w:val="none"/>
          <w:lang w:eastAsia="zh-CN"/>
        </w:rPr>
      </w:pPr>
      <w:r>
        <w:rPr>
          <w:rFonts w:hint="eastAsia" w:ascii="仿宋_GB2312" w:hAnsi="仿宋" w:eastAsia="仿宋_GB2312"/>
          <w:sz w:val="32"/>
          <w:szCs w:val="32"/>
          <w:highlight w:val="none"/>
        </w:rPr>
        <w:t>当事人：</w:t>
      </w:r>
      <w:r>
        <w:rPr>
          <w:rFonts w:hint="eastAsia" w:ascii="仿宋_GB2312" w:hAnsi="仿宋" w:eastAsia="仿宋_GB2312"/>
          <w:sz w:val="32"/>
          <w:szCs w:val="32"/>
          <w:lang w:eastAsia="zh-CN"/>
        </w:rPr>
        <w:t>江门中环检测技术有限公司</w:t>
      </w:r>
    </w:p>
    <w:p w14:paraId="0A8CBC8F">
      <w:pPr>
        <w:keepNext w:val="0"/>
        <w:keepLines w:val="0"/>
        <w:pageBreakBefore w:val="0"/>
        <w:widowControl w:val="0"/>
        <w:kinsoku/>
        <w:wordWrap/>
        <w:overflowPunct/>
        <w:topLinePunct w:val="0"/>
        <w:autoSpaceDE/>
        <w:autoSpaceDN/>
        <w:bidi w:val="0"/>
        <w:spacing w:line="560" w:lineRule="exact"/>
        <w:jc w:val="left"/>
        <w:textAlignment w:val="auto"/>
        <w:rPr>
          <w:rFonts w:hint="eastAsia" w:ascii="仿宋_GB2312" w:hAnsi="仿宋" w:eastAsia="仿宋_GB2312"/>
          <w:sz w:val="32"/>
          <w:szCs w:val="32"/>
          <w:highlight w:val="none"/>
          <w:lang w:val="en-US" w:eastAsia="zh-CN"/>
        </w:rPr>
      </w:pPr>
      <w:r>
        <w:rPr>
          <w:rFonts w:hint="eastAsia" w:ascii="仿宋_GB2312" w:hAnsi="仿宋" w:eastAsia="仿宋_GB2312"/>
          <w:sz w:val="32"/>
          <w:szCs w:val="32"/>
          <w:highlight w:val="none"/>
        </w:rPr>
        <w:t>法定代表人：</w:t>
      </w:r>
      <w:r>
        <w:rPr>
          <w:rFonts w:hint="eastAsia" w:ascii="仿宋_GB2312" w:hAnsi="仿宋" w:eastAsia="仿宋_GB2312"/>
          <w:sz w:val="32"/>
          <w:szCs w:val="32"/>
          <w:lang w:eastAsia="zh-CN"/>
        </w:rPr>
        <w:t>邬鹏</w:t>
      </w:r>
    </w:p>
    <w:p w14:paraId="0589012C">
      <w:pPr>
        <w:keepNext w:val="0"/>
        <w:keepLines w:val="0"/>
        <w:pageBreakBefore w:val="0"/>
        <w:widowControl w:val="0"/>
        <w:kinsoku/>
        <w:wordWrap/>
        <w:overflowPunct/>
        <w:topLinePunct w:val="0"/>
        <w:autoSpaceDE/>
        <w:autoSpaceDN/>
        <w:bidi w:val="0"/>
        <w:spacing w:line="560" w:lineRule="exact"/>
        <w:jc w:val="left"/>
        <w:textAlignment w:val="auto"/>
        <w:rPr>
          <w:rFonts w:hint="default" w:ascii="仿宋_GB2312" w:hAnsi="仿宋" w:eastAsia="仿宋_GB2312"/>
          <w:sz w:val="32"/>
          <w:szCs w:val="32"/>
          <w:highlight w:val="none"/>
          <w:lang w:val="en-US" w:eastAsia="zh-CN"/>
        </w:rPr>
      </w:pPr>
      <w:r>
        <w:rPr>
          <w:rFonts w:hint="eastAsia" w:ascii="仿宋_GB2312" w:hAnsi="仿宋" w:eastAsia="仿宋_GB2312"/>
          <w:sz w:val="32"/>
          <w:szCs w:val="32"/>
          <w:highlight w:val="none"/>
        </w:rPr>
        <w:t>统一社会信用代码：</w:t>
      </w:r>
      <w:r>
        <w:rPr>
          <w:rFonts w:hint="eastAsia" w:ascii="仿宋_GB2312" w:hAnsi="仿宋" w:eastAsia="仿宋_GB2312"/>
          <w:sz w:val="32"/>
          <w:szCs w:val="32"/>
          <w:lang w:val="en-US" w:eastAsia="zh-CN"/>
        </w:rPr>
        <w:t>91440704MA52LNAK2G</w:t>
      </w:r>
    </w:p>
    <w:p w14:paraId="68EE5A7A">
      <w:pPr>
        <w:keepNext w:val="0"/>
        <w:keepLines w:val="0"/>
        <w:pageBreakBefore w:val="0"/>
        <w:widowControl w:val="0"/>
        <w:kinsoku/>
        <w:wordWrap/>
        <w:overflowPunct/>
        <w:topLinePunct w:val="0"/>
        <w:autoSpaceDE/>
        <w:autoSpaceDN/>
        <w:bidi w:val="0"/>
        <w:spacing w:line="560" w:lineRule="exact"/>
        <w:jc w:val="left"/>
        <w:textAlignment w:val="auto"/>
        <w:rPr>
          <w:rFonts w:hint="eastAsia" w:ascii="仿宋_GB2312" w:hAnsi="仿宋" w:eastAsia="仿宋_GB2312"/>
          <w:sz w:val="32"/>
          <w:szCs w:val="32"/>
          <w:highlight w:val="none"/>
          <w:lang w:val="en-US" w:eastAsia="zh-CN"/>
        </w:rPr>
      </w:pPr>
      <w:r>
        <w:rPr>
          <w:rFonts w:hint="eastAsia" w:ascii="仿宋_GB2312" w:hAnsi="仿宋" w:eastAsia="仿宋_GB2312"/>
          <w:sz w:val="32"/>
          <w:szCs w:val="32"/>
          <w:highlight w:val="none"/>
          <w:lang w:eastAsia="zh-CN"/>
        </w:rPr>
        <w:t>住所：</w:t>
      </w:r>
      <w:r>
        <w:rPr>
          <w:rFonts w:hint="eastAsia" w:ascii="仿宋_GB2312" w:hAnsi="仿宋" w:eastAsia="仿宋_GB2312"/>
          <w:sz w:val="32"/>
          <w:szCs w:val="32"/>
          <w:lang w:eastAsia="zh-CN"/>
        </w:rPr>
        <w:t>江门市江海区彩虹路53号1幢二楼</w:t>
      </w:r>
    </w:p>
    <w:p w14:paraId="16A22FCD">
      <w:pPr>
        <w:keepNext w:val="0"/>
        <w:keepLines w:val="0"/>
        <w:pageBreakBefore w:val="0"/>
        <w:widowControl w:val="0"/>
        <w:kinsoku/>
        <w:wordWrap/>
        <w:overflowPunct/>
        <w:topLinePunct w:val="0"/>
        <w:autoSpaceDE/>
        <w:autoSpaceDN/>
        <w:bidi w:val="0"/>
        <w:spacing w:line="560" w:lineRule="exact"/>
        <w:ind w:firstLine="643" w:firstLineChars="200"/>
        <w:jc w:val="left"/>
        <w:textAlignment w:val="auto"/>
        <w:rPr>
          <w:rFonts w:ascii="黑体" w:hAnsi="黑体" w:eastAsia="黑体"/>
          <w:b/>
          <w:sz w:val="32"/>
          <w:szCs w:val="32"/>
          <w:highlight w:val="none"/>
        </w:rPr>
      </w:pPr>
      <w:r>
        <w:rPr>
          <w:rFonts w:hint="eastAsia" w:ascii="黑体" w:hAnsi="黑体" w:eastAsia="黑体"/>
          <w:b/>
          <w:sz w:val="32"/>
          <w:szCs w:val="32"/>
          <w:highlight w:val="none"/>
        </w:rPr>
        <w:t>一、调查情况及发现的环境违法事实、证据</w:t>
      </w:r>
    </w:p>
    <w:p w14:paraId="6ABD84F9">
      <w:pPr>
        <w:keepNext w:val="0"/>
        <w:keepLines w:val="0"/>
        <w:pageBreakBefore w:val="0"/>
        <w:widowControl w:val="0"/>
        <w:numPr>
          <w:ilvl w:val="0"/>
          <w:numId w:val="0"/>
        </w:numPr>
        <w:kinsoku/>
        <w:wordWrap/>
        <w:overflowPunct/>
        <w:topLinePunct w:val="0"/>
        <w:autoSpaceDE/>
        <w:autoSpaceDN/>
        <w:bidi w:val="0"/>
        <w:spacing w:line="560" w:lineRule="exact"/>
        <w:ind w:firstLine="640" w:firstLineChars="200"/>
        <w:textAlignment w:val="auto"/>
        <w:rPr>
          <w:rFonts w:hint="eastAsia" w:ascii="仿宋_GB2312" w:hAnsi="仿宋" w:eastAsia="仿宋_GB2312" w:cs="Times New Roman"/>
          <w:sz w:val="32"/>
          <w:szCs w:val="32"/>
          <w:highlight w:val="none"/>
        </w:rPr>
      </w:pPr>
      <w:r>
        <w:rPr>
          <w:rFonts w:hint="eastAsia" w:ascii="仿宋_GB2312" w:hAnsi="仿宋" w:eastAsia="仿宋_GB2312" w:cs="Times New Roman"/>
          <w:sz w:val="32"/>
          <w:szCs w:val="32"/>
          <w:highlight w:val="none"/>
          <w:lang w:val="en-US" w:eastAsia="zh-CN"/>
        </w:rPr>
        <w:t>2024年9月29日、10月23日，我局执法人员到你单位进行检查。经调查，发现你单位存在以下未按照环境监测规范从事环境监测活动的行为：一.通过调取检测报告（报告编号：JMZH20240328023）的烟气检测原始记录表发现，你单位对检测报告涉及企业的DA002压铸废气排放口的采样时间仅为5分钟，采样频次仅为1次，不符合《固定源废气监测技术规范》（HJ/T397-2007）10.2.2 的要求；二.通过调取检测报告（报告编号：JMZH20240328026、JMZH20240328032、</w:t>
      </w:r>
      <w:r>
        <w:rPr>
          <w:rFonts w:hint="eastAsia" w:ascii="仿宋_GB2312" w:hAnsi="仿宋" w:eastAsia="仿宋_GB2312" w:cs="Times New Roman"/>
          <w:color w:val="auto"/>
          <w:sz w:val="32"/>
          <w:szCs w:val="32"/>
          <w:highlight w:val="none"/>
          <w:lang w:val="en-US" w:eastAsia="zh-CN"/>
        </w:rPr>
        <w:t>JMZH20240830001、JMZH20240517004</w:t>
      </w:r>
      <w:r>
        <w:rPr>
          <w:rFonts w:hint="eastAsia" w:ascii="仿宋_GB2312" w:hAnsi="仿宋" w:eastAsia="仿宋_GB2312" w:cs="Times New Roman"/>
          <w:sz w:val="32"/>
          <w:szCs w:val="32"/>
          <w:highlight w:val="none"/>
          <w:lang w:val="en-US" w:eastAsia="zh-CN"/>
        </w:rPr>
        <w:t>）的原始数据记录表发现，同一采样人员在不同采样点进行采样的时间高度重合，你单位采样过程中，采样点仅有1名采样人员在场或完全没有采样人员在场，不符合《检验检测机构资质认定生态环境监测机构评审补充要求》（国市监检测〔2018〕245号）第十九条的要求；三.通过调取检测报告（报告编号：JMZH20240328023、JMZH20240328026、JMZH20240328032、JMZH20240722006、JMZH20240722007、JMZH20240722011、JMZH20240517004）的厂界噪声测量记录表发现，噪声检测时长均为1分钟，按照《工业企业厂界环境噪声排放标准》5.4.2稳态噪声的要求对报告涉及企业进行噪声监测，但根据生态环境部部长信箱中关于稳态与非稳态噪声区分问题的回复内容判断，上述报告涉及企业的噪声测量值的最大值Lmax和最小值Lmin差值大于3dB(A)，属于非稳态噪声，应按照《工业企业厂界环境噪声排放标准》5.4.3非稳态噪声的要求进行噪声监测，你单位存在未按照监测规范进行噪声监测的行为。综上，你单位存在未按照环境监测规范从事环境监测活动，造成监测数据失实的违法行为。</w:t>
      </w:r>
    </w:p>
    <w:p w14:paraId="0AB7FA1C">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default" w:ascii="仿宋_GB2312" w:hAnsi="仿宋" w:eastAsia="仿宋_GB2312" w:cs="Times New Roman"/>
          <w:sz w:val="32"/>
          <w:szCs w:val="32"/>
          <w:lang w:val="en-US" w:eastAsia="zh-CN"/>
        </w:rPr>
      </w:pPr>
      <w:r>
        <w:rPr>
          <w:rFonts w:hint="eastAsia" w:ascii="仿宋_GB2312" w:hAnsi="仿宋" w:eastAsia="仿宋_GB2312" w:cs="Times New Roman"/>
          <w:sz w:val="32"/>
          <w:szCs w:val="32"/>
          <w:lang w:val="en-US" w:eastAsia="zh-CN"/>
        </w:rPr>
        <w:t>上述事实有江门市生态环境局现场检查（勘察）</w:t>
      </w:r>
      <w:r>
        <w:rPr>
          <w:rFonts w:hint="eastAsia" w:ascii="仿宋_GB2312" w:hAnsi="仿宋" w:eastAsia="仿宋_GB2312" w:cs="Times New Roman"/>
          <w:sz w:val="32"/>
          <w:szCs w:val="32"/>
          <w:lang w:val="en-US" w:eastAsia="zh-CN"/>
        </w:rPr>
        <mc:AlternateContent>
          <mc:Choice Requires="wps">
            <w:drawing>
              <wp:anchor distT="0" distB="0" distL="114300" distR="114300" simplePos="0" relativeHeight="251660288" behindDoc="0" locked="0" layoutInCell="1" allowOverlap="1">
                <wp:simplePos x="0" y="0"/>
                <wp:positionH relativeFrom="column">
                  <wp:posOffset>841375</wp:posOffset>
                </wp:positionH>
                <wp:positionV relativeFrom="paragraph">
                  <wp:posOffset>9868535</wp:posOffset>
                </wp:positionV>
                <wp:extent cx="6120130" cy="0"/>
                <wp:effectExtent l="0" t="28575" r="13970" b="28575"/>
                <wp:wrapNone/>
                <wp:docPr id="4" name="直接连接符 4"/>
                <wp:cNvGraphicFramePr/>
                <a:graphic xmlns:a="http://schemas.openxmlformats.org/drawingml/2006/main">
                  <a:graphicData uri="http://schemas.microsoft.com/office/word/2010/wordprocessingShape">
                    <wps:wsp>
                      <wps:cNvCnPr>
                        <a:cxnSpLocks noChangeShapeType="1"/>
                      </wps:cNvCnPr>
                      <wps:spPr bwMode="auto">
                        <a:xfrm>
                          <a:off x="0" y="0"/>
                          <a:ext cx="6120130" cy="0"/>
                        </a:xfrm>
                        <a:prstGeom prst="line">
                          <a:avLst/>
                        </a:prstGeom>
                        <a:noFill/>
                        <a:ln w="57150" cmpd="thickThin">
                          <a:solidFill>
                            <a:srgbClr val="FF0000"/>
                          </a:solidFill>
                          <a:round/>
                        </a:ln>
                        <a:effectLst/>
                      </wps:spPr>
                      <wps:bodyPr/>
                    </wps:wsp>
                  </a:graphicData>
                </a:graphic>
              </wp:anchor>
            </w:drawing>
          </mc:Choice>
          <mc:Fallback>
            <w:pict>
              <v:line id="_x0000_s1026" o:spid="_x0000_s1026" o:spt="20" style="position:absolute;left:0pt;margin-left:66.25pt;margin-top:777.05pt;height:0pt;width:481.9pt;z-index:251660288;mso-width-relative:page;mso-height-relative:page;" filled="f" stroked="t" coordsize="21600,21600" o:gfxdata="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">
                <v:fill on="f" focussize="0,0"/>
                <v:stroke weight="4.5pt" color="#FF0000" linestyle="thickThin" joinstyle="round"/>
                <v:imagedata o:title=""/>
                <o:lock v:ext="edit" aspectratio="f"/>
              </v:line>
            </w:pict>
          </mc:Fallback>
        </mc:AlternateContent>
      </w:r>
      <w:r>
        <w:rPr>
          <w:rFonts w:hint="eastAsia" w:ascii="仿宋_GB2312" w:hAnsi="仿宋" w:eastAsia="仿宋_GB2312" w:cs="Times New Roman"/>
          <w:sz w:val="32"/>
          <w:szCs w:val="32"/>
          <w:lang w:val="en-US" w:eastAsia="zh-CN"/>
        </w:rPr>
        <w:t>笔录、调查询问笔录5份、现场照片（图片、影像资料）证据等；广州市生态环境局调查询问笔录2份的复印件；你单位提供的授权委托书、送达地址确认书，广东省社会保险参保证明（单位）、离职申请表、营业执照、资质认定书、法定代表人身份证、被询问人身份证、涉案检测报告及原始记录复印件等为证。</w:t>
      </w:r>
    </w:p>
    <w:p w14:paraId="2A82CEF2">
      <w:pPr>
        <w:keepNext w:val="0"/>
        <w:keepLines w:val="0"/>
        <w:pageBreakBefore w:val="0"/>
        <w:widowControl w:val="0"/>
        <w:kinsoku/>
        <w:wordWrap/>
        <w:overflowPunct/>
        <w:topLinePunct w:val="0"/>
        <w:autoSpaceDE/>
        <w:autoSpaceDN/>
        <w:bidi w:val="0"/>
        <w:spacing w:line="560" w:lineRule="exact"/>
        <w:ind w:firstLine="643" w:firstLineChars="200"/>
        <w:jc w:val="left"/>
        <w:textAlignment w:val="auto"/>
        <w:rPr>
          <w:rFonts w:ascii="黑体" w:hAnsi="黑体" w:eastAsia="黑体"/>
          <w:b/>
          <w:sz w:val="32"/>
          <w:szCs w:val="32"/>
          <w:highlight w:val="none"/>
        </w:rPr>
      </w:pPr>
      <w:r>
        <w:rPr>
          <w:rFonts w:hint="eastAsia" w:ascii="黑体" w:hAnsi="黑体" w:eastAsia="黑体"/>
          <w:b/>
          <w:sz w:val="32"/>
          <w:szCs w:val="32"/>
          <w:highlight w:val="none"/>
        </w:rPr>
        <w:t xml:space="preserve">二、行政处罚的依据、种类及其履行方式和期限  </w:t>
      </w:r>
    </w:p>
    <w:p w14:paraId="2ED7B0AD">
      <w:pPr>
        <w:keepNext w:val="0"/>
        <w:keepLines w:val="0"/>
        <w:pageBreakBefore w:val="0"/>
        <w:widowControl w:val="0"/>
        <w:kinsoku/>
        <w:wordWrap/>
        <w:overflowPunct/>
        <w:topLinePunct w:val="0"/>
        <w:autoSpaceDE/>
        <w:autoSpaceDN/>
        <w:bidi w:val="0"/>
        <w:spacing w:line="560" w:lineRule="exact"/>
        <w:ind w:firstLine="640" w:firstLineChars="200"/>
        <w:jc w:val="both"/>
        <w:textAlignment w:val="auto"/>
        <w:rPr>
          <w:rFonts w:hint="eastAsia" w:ascii="仿宋_GB2312" w:hAnsi="仿宋" w:eastAsia="仿宋_GB2312"/>
          <w:color w:val="auto"/>
          <w:sz w:val="32"/>
          <w:szCs w:val="32"/>
          <w:highlight w:val="none"/>
          <w:lang w:eastAsia="zh-CN"/>
        </w:rPr>
      </w:pPr>
      <w:r>
        <w:rPr>
          <w:rFonts w:hint="eastAsia" w:ascii="仿宋_GB2312" w:hAnsi="仿宋" w:eastAsia="仿宋_GB2312" w:cs="Times New Roman"/>
          <w:sz w:val="32"/>
          <w:szCs w:val="32"/>
          <w:highlight w:val="none"/>
          <w:lang w:eastAsia="zh-CN"/>
        </w:rPr>
        <w:t>你单位的上述行为，</w:t>
      </w:r>
      <w:r>
        <w:rPr>
          <w:rFonts w:hint="eastAsia" w:ascii="仿宋_GB2312" w:hAnsi="仿宋" w:eastAsia="仿宋_GB2312" w:cs="Times New Roman"/>
          <w:sz w:val="32"/>
          <w:szCs w:val="32"/>
          <w:lang w:eastAsia="zh-CN"/>
        </w:rPr>
        <w:t>违反了《广东省环境保护条例》第十二条第三款“环境监测机构应当按照环境监测规范从事环境监测活动，接受生态环境主管部门的监督，不得弄虚作假，隐瞒、伪造、篡改环境监测数据。任何单位和个人不得伪造、变造或者篡改环境监测机构的环境监测报告。”</w:t>
      </w:r>
      <w:r>
        <w:rPr>
          <w:rFonts w:hint="eastAsia" w:ascii="仿宋_GB2312" w:hAnsi="仿宋" w:eastAsia="仿宋_GB2312" w:cs="Times New Roman"/>
          <w:sz w:val="32"/>
          <w:szCs w:val="32"/>
          <w:highlight w:val="none"/>
        </w:rPr>
        <w:t>的规定。</w:t>
      </w:r>
      <w:r>
        <w:rPr>
          <w:rFonts w:hint="eastAsia" w:ascii="仿宋_GB2312" w:hAnsi="仿宋" w:eastAsia="仿宋_GB2312" w:cs="Times New Roman"/>
          <w:sz w:val="32"/>
          <w:szCs w:val="32"/>
          <w:highlight w:val="none"/>
          <w:lang w:eastAsia="zh-CN"/>
        </w:rPr>
        <w:t>我局于</w:t>
      </w:r>
      <w:r>
        <w:rPr>
          <w:rFonts w:hint="eastAsia" w:ascii="仿宋_GB2312" w:hAnsi="仿宋" w:eastAsia="仿宋_GB2312" w:cs="Times New Roman"/>
          <w:sz w:val="32"/>
          <w:szCs w:val="32"/>
          <w:highlight w:val="none"/>
          <w:lang w:val="en-US" w:eastAsia="zh-CN"/>
        </w:rPr>
        <w:t>2024年11月21日向你单位直接送达了</w:t>
      </w:r>
      <w:r>
        <w:rPr>
          <w:rFonts w:hint="eastAsia" w:ascii="仿宋_GB2312" w:hAnsi="仿宋" w:eastAsia="仿宋_GB2312"/>
          <w:sz w:val="32"/>
          <w:szCs w:val="32"/>
          <w:highlight w:val="none"/>
          <w:lang w:eastAsia="zh-CN"/>
        </w:rPr>
        <w:t>《行政处罚告知书》</w:t>
      </w:r>
      <w:r>
        <w:rPr>
          <w:rFonts w:hint="eastAsia" w:ascii="仿宋_GB2312" w:hAnsi="仿宋" w:eastAsia="仿宋_GB2312"/>
          <w:sz w:val="32"/>
          <w:szCs w:val="32"/>
          <w:highlight w:val="none"/>
        </w:rPr>
        <w:t>（江江环罚告</w:t>
      </w:r>
      <w:r>
        <w:rPr>
          <w:rFonts w:hint="eastAsia" w:ascii="仿宋_GB2312" w:hAnsi="仿宋" w:eastAsia="仿宋_GB2312"/>
          <w:color w:val="000000"/>
          <w:sz w:val="32"/>
          <w:szCs w:val="32"/>
          <w:highlight w:val="none"/>
        </w:rPr>
        <w:t>〔202</w:t>
      </w:r>
      <w:r>
        <w:rPr>
          <w:rFonts w:hint="eastAsia" w:ascii="仿宋_GB2312" w:hAnsi="仿宋" w:eastAsia="仿宋_GB2312"/>
          <w:color w:val="000000"/>
          <w:sz w:val="32"/>
          <w:szCs w:val="32"/>
          <w:highlight w:val="none"/>
          <w:lang w:val="en-US" w:eastAsia="zh-CN"/>
        </w:rPr>
        <w:t>4</w:t>
      </w:r>
      <w:r>
        <w:rPr>
          <w:rFonts w:hint="eastAsia" w:ascii="仿宋_GB2312" w:hAnsi="仿宋" w:eastAsia="仿宋_GB2312"/>
          <w:color w:val="000000"/>
          <w:sz w:val="32"/>
          <w:szCs w:val="32"/>
          <w:highlight w:val="none"/>
        </w:rPr>
        <w:t>〕</w:t>
      </w:r>
      <w:r>
        <w:rPr>
          <w:rFonts w:hint="eastAsia" w:ascii="仿宋_GB2312" w:hAnsi="仿宋" w:eastAsia="仿宋_GB2312"/>
          <w:color w:val="000000"/>
          <w:sz w:val="32"/>
          <w:szCs w:val="32"/>
          <w:highlight w:val="none"/>
          <w:lang w:val="en-US" w:eastAsia="zh-CN"/>
        </w:rPr>
        <w:t>17</w:t>
      </w:r>
      <w:r>
        <w:rPr>
          <w:rFonts w:hint="eastAsia" w:ascii="仿宋_GB2312" w:hAnsi="仿宋" w:eastAsia="仿宋_GB2312"/>
          <w:sz w:val="32"/>
          <w:szCs w:val="32"/>
          <w:highlight w:val="none"/>
        </w:rPr>
        <w:t>号）</w:t>
      </w:r>
      <w:r>
        <w:rPr>
          <w:rFonts w:hint="eastAsia" w:ascii="仿宋_GB2312" w:hAnsi="仿宋" w:eastAsia="仿宋_GB2312"/>
          <w:sz w:val="32"/>
          <w:szCs w:val="32"/>
          <w:highlight w:val="none"/>
          <w:lang w:eastAsia="zh-CN"/>
        </w:rPr>
        <w:t>和附件</w:t>
      </w:r>
      <w:r>
        <w:rPr>
          <w:rFonts w:hint="eastAsia" w:ascii="仿宋_GB2312" w:hAnsi="仿宋" w:eastAsia="仿宋_GB2312"/>
          <w:sz w:val="32"/>
          <w:szCs w:val="32"/>
          <w:highlight w:val="none"/>
          <w:lang w:val="en-US" w:eastAsia="zh-CN"/>
        </w:rPr>
        <w:t>3-1《生态环境违法主动公开道歉承诺申请指引》</w:t>
      </w:r>
      <w:r>
        <w:rPr>
          <w:rFonts w:hint="eastAsia" w:ascii="仿宋_GB2312" w:hAnsi="仿宋" w:eastAsia="仿宋_GB2312"/>
          <w:sz w:val="32"/>
          <w:szCs w:val="32"/>
          <w:highlight w:val="none"/>
          <w:lang w:eastAsia="zh-CN"/>
        </w:rPr>
        <w:t>，告知</w:t>
      </w:r>
      <w:r>
        <w:rPr>
          <w:rFonts w:hint="eastAsia" w:ascii="仿宋_GB2312" w:hAnsi="仿宋" w:eastAsia="仿宋_GB2312"/>
          <w:sz w:val="32"/>
          <w:szCs w:val="32"/>
          <w:highlight w:val="none"/>
        </w:rPr>
        <w:t>你</w:t>
      </w:r>
      <w:r>
        <w:rPr>
          <w:rFonts w:hint="eastAsia" w:ascii="仿宋_GB2312" w:hAnsi="仿宋" w:eastAsia="仿宋_GB2312"/>
          <w:sz w:val="32"/>
          <w:szCs w:val="32"/>
          <w:highlight w:val="none"/>
          <w:lang w:eastAsia="zh-CN"/>
        </w:rPr>
        <w:t>单位</w:t>
      </w:r>
      <w:r>
        <w:rPr>
          <w:rFonts w:hint="eastAsia" w:ascii="仿宋_GB2312" w:hAnsi="仿宋" w:eastAsia="仿宋_GB2312"/>
          <w:sz w:val="32"/>
          <w:szCs w:val="32"/>
          <w:highlight w:val="none"/>
        </w:rPr>
        <w:t>违法事实</w:t>
      </w:r>
      <w:r>
        <w:rPr>
          <w:rFonts w:hint="eastAsia" w:ascii="仿宋_GB2312" w:hAnsi="仿宋" w:eastAsia="仿宋_GB2312"/>
          <w:color w:val="auto"/>
          <w:sz w:val="32"/>
          <w:szCs w:val="32"/>
          <w:highlight w:val="none"/>
        </w:rPr>
        <w:t>、处罚依据和拟作出处罚人民币</w:t>
      </w:r>
      <w:r>
        <w:rPr>
          <w:rFonts w:hint="eastAsia" w:ascii="仿宋_GB2312" w:hAnsi="仿宋" w:eastAsia="仿宋_GB2312"/>
          <w:color w:val="auto"/>
          <w:sz w:val="32"/>
          <w:szCs w:val="32"/>
          <w:highlight w:val="none"/>
          <w:lang w:val="en-US" w:eastAsia="zh-CN"/>
        </w:rPr>
        <w:t>3.85万元，并告知</w:t>
      </w:r>
      <w:r>
        <w:rPr>
          <w:rFonts w:hint="eastAsia" w:ascii="仿宋_GB2312" w:hAnsi="仿宋" w:eastAsia="仿宋_GB2312"/>
          <w:color w:val="auto"/>
          <w:sz w:val="32"/>
          <w:szCs w:val="32"/>
          <w:highlight w:val="none"/>
        </w:rPr>
        <w:t>你</w:t>
      </w:r>
      <w:r>
        <w:rPr>
          <w:rFonts w:hint="eastAsia" w:ascii="仿宋_GB2312" w:hAnsi="仿宋" w:eastAsia="仿宋_GB2312"/>
          <w:color w:val="auto"/>
          <w:sz w:val="32"/>
          <w:szCs w:val="32"/>
          <w:highlight w:val="none"/>
          <w:lang w:eastAsia="zh-CN"/>
        </w:rPr>
        <w:t>单位</w:t>
      </w:r>
      <w:r>
        <w:rPr>
          <w:rFonts w:hint="eastAsia" w:ascii="仿宋_GB2312" w:hAnsi="仿宋" w:eastAsia="仿宋_GB2312"/>
          <w:color w:val="auto"/>
          <w:sz w:val="32"/>
          <w:szCs w:val="32"/>
          <w:highlight w:val="none"/>
        </w:rPr>
        <w:t>有权进行陈述</w:t>
      </w:r>
      <w:r>
        <w:rPr>
          <w:rFonts w:hint="eastAsia" w:ascii="仿宋_GB2312" w:hAnsi="仿宋" w:eastAsia="仿宋_GB2312"/>
          <w:color w:val="auto"/>
          <w:sz w:val="32"/>
          <w:szCs w:val="32"/>
          <w:highlight w:val="none"/>
          <w:lang w:eastAsia="zh-CN"/>
        </w:rPr>
        <w:t>、</w:t>
      </w:r>
      <w:r>
        <w:rPr>
          <w:rFonts w:hint="eastAsia" w:ascii="仿宋_GB2312" w:hAnsi="仿宋" w:eastAsia="仿宋_GB2312"/>
          <w:color w:val="auto"/>
          <w:sz w:val="32"/>
          <w:szCs w:val="32"/>
          <w:highlight w:val="none"/>
        </w:rPr>
        <w:t>申辩</w:t>
      </w:r>
      <w:r>
        <w:rPr>
          <w:rFonts w:hint="eastAsia" w:ascii="仿宋_GB2312" w:hAnsi="仿宋" w:eastAsia="仿宋_GB2312"/>
          <w:color w:val="auto"/>
          <w:sz w:val="32"/>
          <w:szCs w:val="32"/>
          <w:highlight w:val="none"/>
          <w:lang w:eastAsia="zh-CN"/>
        </w:rPr>
        <w:t>。你单位未在法定期限内向我局提交陈述、申辩意见。</w:t>
      </w:r>
    </w:p>
    <w:p w14:paraId="5F1AB7C4">
      <w:pPr>
        <w:keepNext w:val="0"/>
        <w:keepLines w:val="0"/>
        <w:pageBreakBefore w:val="0"/>
        <w:widowControl w:val="0"/>
        <w:tabs>
          <w:tab w:val="left" w:pos="709"/>
        </w:tabs>
        <w:kinsoku/>
        <w:wordWrap/>
        <w:overflowPunct/>
        <w:topLinePunct w:val="0"/>
        <w:autoSpaceDE/>
        <w:autoSpaceDN/>
        <w:bidi w:val="0"/>
        <w:spacing w:line="560" w:lineRule="exact"/>
        <w:ind w:firstLine="640" w:firstLineChars="200"/>
        <w:textAlignment w:val="auto"/>
        <w:rPr>
          <w:rFonts w:hint="eastAsia" w:ascii="仿宋_GB2312" w:hAnsi="仿宋" w:eastAsia="仿宋_GB2312" w:cs="Times New Roman"/>
          <w:sz w:val="32"/>
          <w:szCs w:val="32"/>
          <w:highlight w:val="none"/>
          <w:lang w:eastAsia="zh-CN"/>
        </w:rPr>
      </w:pPr>
      <w:r>
        <w:rPr>
          <w:rFonts w:hint="eastAsia" w:ascii="仿宋_GB2312" w:hAnsi="仿宋" w:eastAsia="仿宋_GB2312" w:cs="Times New Roman"/>
          <w:sz w:val="32"/>
          <w:szCs w:val="32"/>
          <w:highlight w:val="none"/>
          <w:lang w:eastAsia="zh-CN"/>
        </w:rPr>
        <w:t>综合你单位违法行为的事实、性质、情节、社会危害程度和相关证据，依据</w:t>
      </w:r>
      <w:r>
        <w:rPr>
          <w:rFonts w:hint="eastAsia" w:ascii="仿宋_GB2312" w:hAnsi="仿宋" w:eastAsia="仿宋_GB2312" w:cs="Times New Roman"/>
          <w:sz w:val="32"/>
          <w:szCs w:val="32"/>
          <w:lang w:eastAsia="zh-CN"/>
        </w:rPr>
        <w:t>《广东省环境保护条例》第六十四条第二款“违反本条例第十二条第三款规定，环境监测机构未按照环境监测规范从事环境监测活动，造成监测数据失实的，由县级以上生态环境主管部门责令改正，并可处二万元以上五万元以下罚款……”</w:t>
      </w:r>
      <w:r>
        <w:rPr>
          <w:rFonts w:hint="eastAsia" w:ascii="仿宋_GB2312" w:hAnsi="仿宋" w:eastAsia="仿宋_GB2312" w:cs="Times New Roman"/>
          <w:sz w:val="32"/>
          <w:szCs w:val="32"/>
          <w:highlight w:val="none"/>
          <w:lang w:eastAsia="zh-CN"/>
        </w:rPr>
        <w:t>的规定，参照</w:t>
      </w:r>
      <w:r>
        <w:rPr>
          <w:rFonts w:hint="eastAsia" w:ascii="仿宋_GB2312" w:hAnsi="仿宋" w:eastAsia="仿宋_GB2312" w:cs="Times New Roman"/>
          <w:sz w:val="32"/>
          <w:szCs w:val="32"/>
          <w:highlight w:val="none"/>
        </w:rPr>
        <w:t>《江门市实施&lt;广东省生态环境行政处罚自由裁量权规定&gt;细则》第六条、第七条第二项第4目、附件1§5.1裁量标准｛处罚金额3.85万元=初步处罚区间的中位金额4万元（违反环境监测规范3项以上或者涉及监测报告3份以上的罚款3万元以上5万元以下）+初步罚款区间高低限差额2万元×5%×调整系数总和（-1.5）[积极配合调查取证（-1.5）]｝的规定，</w:t>
      </w:r>
      <w:r>
        <w:rPr>
          <w:rFonts w:hint="eastAsia" w:ascii="仿宋_GB2312" w:hAnsi="仿宋" w:eastAsia="仿宋_GB2312"/>
          <w:b/>
          <w:bCs/>
          <w:color w:val="000000"/>
          <w:sz w:val="32"/>
          <w:szCs w:val="32"/>
          <w:highlight w:val="none"/>
        </w:rPr>
        <w:t>我局</w:t>
      </w:r>
      <w:r>
        <w:rPr>
          <w:rFonts w:hint="eastAsia" w:ascii="仿宋_GB2312" w:hAnsi="仿宋" w:eastAsia="仿宋_GB2312"/>
          <w:b/>
          <w:bCs/>
          <w:color w:val="000000"/>
          <w:sz w:val="32"/>
          <w:szCs w:val="32"/>
          <w:highlight w:val="none"/>
          <w:lang w:eastAsia="zh-CN"/>
        </w:rPr>
        <w:t>决定</w:t>
      </w:r>
      <w:r>
        <w:rPr>
          <w:rFonts w:hint="eastAsia" w:ascii="仿宋_GB2312" w:hAnsi="仿宋" w:eastAsia="仿宋_GB2312"/>
          <w:b/>
          <w:bCs/>
          <w:color w:val="000000"/>
          <w:sz w:val="32"/>
          <w:szCs w:val="32"/>
          <w:highlight w:val="none"/>
        </w:rPr>
        <w:t>对你单位作出罚款人民币</w:t>
      </w:r>
      <w:r>
        <w:rPr>
          <w:rFonts w:hint="eastAsia" w:ascii="仿宋_GB2312" w:hAnsi="仿宋" w:eastAsia="仿宋_GB2312"/>
          <w:b/>
          <w:bCs/>
          <w:color w:val="000000"/>
          <w:sz w:val="32"/>
          <w:szCs w:val="32"/>
          <w:highlight w:val="none"/>
          <w:lang w:val="en-US" w:eastAsia="zh-CN"/>
        </w:rPr>
        <w:t>3.85万元（大写：叁万捌仟伍佰元）</w:t>
      </w:r>
      <w:r>
        <w:rPr>
          <w:rFonts w:hint="eastAsia" w:ascii="仿宋_GB2312" w:hAnsi="仿宋" w:eastAsia="仿宋_GB2312"/>
          <w:b/>
          <w:bCs/>
          <w:color w:val="000000"/>
          <w:sz w:val="32"/>
          <w:szCs w:val="32"/>
          <w:highlight w:val="none"/>
        </w:rPr>
        <w:t>整的行政处罚</w:t>
      </w:r>
      <w:r>
        <w:rPr>
          <w:rFonts w:hint="eastAsia" w:ascii="仿宋_GB2312" w:hAnsi="仿宋" w:eastAsia="仿宋_GB2312"/>
          <w:b/>
          <w:bCs/>
          <w:color w:val="000000"/>
          <w:sz w:val="32"/>
          <w:szCs w:val="32"/>
          <w:highlight w:val="none"/>
          <w:lang w:eastAsia="zh-CN"/>
        </w:rPr>
        <w:t>。</w:t>
      </w:r>
    </w:p>
    <w:p w14:paraId="7076DDA3">
      <w:pPr>
        <w:keepNext w:val="0"/>
        <w:keepLines w:val="0"/>
        <w:pageBreakBefore w:val="0"/>
        <w:widowControl w:val="0"/>
        <w:kinsoku/>
        <w:wordWrap/>
        <w:overflowPunct/>
        <w:topLinePunct w:val="0"/>
        <w:autoSpaceDE/>
        <w:autoSpaceDN/>
        <w:bidi w:val="0"/>
        <w:spacing w:line="560" w:lineRule="exact"/>
        <w:ind w:firstLine="630" w:firstLineChars="196"/>
        <w:jc w:val="left"/>
        <w:textAlignment w:val="auto"/>
        <w:rPr>
          <w:rFonts w:ascii="黑体" w:hAnsi="黑体" w:eastAsia="黑体"/>
          <w:b/>
          <w:sz w:val="32"/>
          <w:szCs w:val="32"/>
          <w:highlight w:val="none"/>
        </w:rPr>
      </w:pPr>
      <w:r>
        <w:rPr>
          <w:rFonts w:hint="eastAsia" w:ascii="黑体" w:hAnsi="黑体" w:eastAsia="黑体"/>
          <w:b/>
          <w:sz w:val="32"/>
          <w:szCs w:val="32"/>
          <w:highlight w:val="none"/>
        </w:rPr>
        <w:t>三、行政处罚决定的履行方式及期限</w:t>
      </w:r>
    </w:p>
    <w:p w14:paraId="25E6F6B4">
      <w:pPr>
        <w:keepNext w:val="0"/>
        <w:keepLines w:val="0"/>
        <w:pageBreakBefore w:val="0"/>
        <w:widowControl w:val="0"/>
        <w:kinsoku/>
        <w:wordWrap/>
        <w:overflowPunct/>
        <w:topLinePunct w:val="0"/>
        <w:autoSpaceDE/>
        <w:autoSpaceDN/>
        <w:bidi w:val="0"/>
        <w:spacing w:line="560" w:lineRule="exact"/>
        <w:ind w:firstLine="640" w:firstLineChars="200"/>
        <w:jc w:val="both"/>
        <w:textAlignment w:val="auto"/>
        <w:rPr>
          <w:rFonts w:ascii="仿宋_GB2312" w:hAnsi="仿宋" w:eastAsia="仿宋_GB2312"/>
          <w:color w:val="000000"/>
          <w:sz w:val="32"/>
          <w:szCs w:val="32"/>
          <w:highlight w:val="none"/>
        </w:rPr>
      </w:pPr>
      <w:r>
        <w:rPr>
          <w:rFonts w:hint="eastAsia" w:ascii="仿宋_GB2312" w:hAnsi="仿宋" w:eastAsia="仿宋_GB2312"/>
          <w:color w:val="000000"/>
          <w:sz w:val="32"/>
          <w:szCs w:val="32"/>
          <w:highlight w:val="none"/>
        </w:rPr>
        <w:t>根据《中华人民共和国行政处罚法》第六十七条</w:t>
      </w:r>
      <w:r>
        <w:rPr>
          <w:rFonts w:hint="eastAsia" w:ascii="仿宋_GB2312" w:hAnsi="仿宋" w:eastAsia="仿宋_GB2312"/>
          <w:color w:val="000000"/>
          <w:sz w:val="32"/>
          <w:szCs w:val="32"/>
          <w:highlight w:val="none"/>
          <w:lang w:eastAsia="zh-CN"/>
        </w:rPr>
        <w:t>第三款</w:t>
      </w:r>
      <w:r>
        <w:rPr>
          <w:rFonts w:hint="eastAsia" w:ascii="仿宋_GB2312" w:hAnsi="仿宋" w:eastAsia="仿宋_GB2312"/>
          <w:color w:val="000000"/>
          <w:sz w:val="32"/>
          <w:szCs w:val="32"/>
          <w:highlight w:val="none"/>
        </w:rPr>
        <w:t>的规定，限于接到本处罚决定之日起15日内到</w:t>
      </w:r>
      <w:r>
        <w:rPr>
          <w:rFonts w:hint="eastAsia" w:ascii="仿宋_GB2312" w:hAnsi="仿宋" w:eastAsia="仿宋_GB2312"/>
          <w:color w:val="000000"/>
          <w:sz w:val="32"/>
          <w:szCs w:val="32"/>
          <w:highlight w:val="none"/>
          <w:lang w:eastAsia="zh-CN"/>
        </w:rPr>
        <w:t>江门市生态环境局江海分局</w:t>
      </w:r>
      <w:r>
        <w:rPr>
          <w:rFonts w:hint="eastAsia" w:ascii="仿宋_GB2312" w:hAnsi="仿宋" w:eastAsia="仿宋_GB2312"/>
          <w:color w:val="000000"/>
          <w:sz w:val="32"/>
          <w:szCs w:val="32"/>
          <w:highlight w:val="none"/>
        </w:rPr>
        <w:t>（地址：江门</w:t>
      </w:r>
      <w:r>
        <w:rPr>
          <w:rFonts w:hint="eastAsia" w:ascii="仿宋_GB2312" w:hAnsi="仿宋" w:eastAsia="仿宋_GB2312"/>
          <w:color w:val="000000"/>
          <w:sz w:val="32"/>
          <w:szCs w:val="32"/>
          <w:highlight w:val="none"/>
          <w:lang w:eastAsia="zh-CN"/>
        </w:rPr>
        <w:t>市江海区富民路</w:t>
      </w:r>
      <w:r>
        <w:rPr>
          <w:rFonts w:hint="eastAsia" w:ascii="仿宋_GB2312" w:hAnsi="仿宋" w:eastAsia="仿宋_GB2312"/>
          <w:color w:val="000000"/>
          <w:sz w:val="32"/>
          <w:szCs w:val="32"/>
          <w:highlight w:val="none"/>
          <w:lang w:val="en-US" w:eastAsia="zh-CN"/>
        </w:rPr>
        <w:t>15号</w:t>
      </w:r>
      <w:r>
        <w:rPr>
          <w:rFonts w:hint="eastAsia" w:ascii="仿宋_GB2312" w:hAnsi="仿宋" w:eastAsia="仿宋_GB2312"/>
          <w:color w:val="000000"/>
          <w:sz w:val="32"/>
          <w:szCs w:val="32"/>
          <w:highlight w:val="none"/>
        </w:rPr>
        <w:t>）开具《非税收入罚没</w:t>
      </w:r>
      <w:r>
        <w:rPr>
          <w:rFonts w:hint="eastAsia" w:ascii="仿宋_GB2312" w:hAnsi="仿宋" w:eastAsia="仿宋_GB2312"/>
          <w:color w:val="000000"/>
          <w:sz w:val="32"/>
          <w:szCs w:val="32"/>
          <w:highlight w:val="none"/>
          <w:lang w:eastAsia="zh-CN"/>
        </w:rPr>
        <w:t>通知</w:t>
      </w:r>
      <w:r>
        <w:rPr>
          <w:rFonts w:hint="eastAsia" w:ascii="仿宋_GB2312" w:hAnsi="仿宋" w:eastAsia="仿宋_GB2312"/>
          <w:color w:val="000000"/>
          <w:sz w:val="32"/>
          <w:szCs w:val="32"/>
          <w:highlight w:val="none"/>
        </w:rPr>
        <w:t>书》后，将罚款交到中国建设银行江门市分行指定账户。</w:t>
      </w:r>
      <w:r>
        <w:rPr>
          <w:rFonts w:hint="eastAsia" w:ascii="仿宋_GB2312" w:hAnsi="仿宋" w:eastAsia="仿宋_GB2312"/>
          <w:b/>
          <w:color w:val="000000"/>
          <w:sz w:val="32"/>
          <w:szCs w:val="32"/>
          <w:highlight w:val="none"/>
        </w:rPr>
        <w:t>逾期不缴纳罚款的，我局可按照《中华人民共和国行政处罚法》第七十二条</w:t>
      </w:r>
      <w:r>
        <w:rPr>
          <w:rFonts w:hint="eastAsia" w:ascii="仿宋_GB2312" w:hAnsi="仿宋" w:eastAsia="仿宋_GB2312"/>
          <w:b/>
          <w:color w:val="000000"/>
          <w:sz w:val="32"/>
          <w:szCs w:val="32"/>
          <w:highlight w:val="none"/>
          <w:lang w:eastAsia="zh-CN"/>
        </w:rPr>
        <w:t>第一款第一项</w:t>
      </w:r>
      <w:r>
        <w:rPr>
          <w:rFonts w:hint="eastAsia" w:ascii="仿宋_GB2312" w:hAnsi="仿宋" w:eastAsia="仿宋_GB2312"/>
          <w:b/>
          <w:color w:val="000000"/>
          <w:sz w:val="32"/>
          <w:szCs w:val="32"/>
          <w:highlight w:val="none"/>
        </w:rPr>
        <w:t>的规定，每日按罚款数额的百分之三加处罚款，加处罚款数额不超过行政处罚数额。</w:t>
      </w:r>
      <w:r>
        <w:rPr>
          <w:rFonts w:hint="eastAsia" w:ascii="仿宋_GB2312" w:hAnsi="仿宋" w:eastAsia="仿宋_GB2312"/>
          <w:color w:val="000000"/>
          <w:sz w:val="32"/>
          <w:szCs w:val="32"/>
          <w:highlight w:val="none"/>
        </w:rPr>
        <w:t>（咨询电话：0750-386</w:t>
      </w:r>
      <w:r>
        <w:rPr>
          <w:rFonts w:hint="eastAsia" w:ascii="仿宋_GB2312" w:hAnsi="仿宋" w:eastAsia="仿宋_GB2312"/>
          <w:color w:val="000000"/>
          <w:sz w:val="32"/>
          <w:szCs w:val="32"/>
          <w:highlight w:val="none"/>
          <w:lang w:val="en-US" w:eastAsia="zh-CN"/>
        </w:rPr>
        <w:t>1097</w:t>
      </w:r>
      <w:r>
        <w:rPr>
          <w:rFonts w:hint="eastAsia" w:ascii="仿宋_GB2312" w:hAnsi="仿宋" w:eastAsia="仿宋_GB2312"/>
          <w:color w:val="000000"/>
          <w:sz w:val="32"/>
          <w:szCs w:val="32"/>
          <w:highlight w:val="none"/>
        </w:rPr>
        <w:t>）</w:t>
      </w:r>
    </w:p>
    <w:p w14:paraId="51AE7270">
      <w:pPr>
        <w:keepNext w:val="0"/>
        <w:keepLines w:val="0"/>
        <w:pageBreakBefore w:val="0"/>
        <w:widowControl w:val="0"/>
        <w:tabs>
          <w:tab w:val="left" w:pos="709"/>
          <w:tab w:val="left" w:pos="851"/>
        </w:tabs>
        <w:kinsoku/>
        <w:wordWrap/>
        <w:overflowPunct/>
        <w:topLinePunct w:val="0"/>
        <w:autoSpaceDE/>
        <w:autoSpaceDN/>
        <w:bidi w:val="0"/>
        <w:spacing w:line="560" w:lineRule="exact"/>
        <w:jc w:val="left"/>
        <w:textAlignment w:val="auto"/>
        <w:rPr>
          <w:rFonts w:ascii="黑体" w:hAnsi="黑体" w:eastAsia="黑体"/>
          <w:b/>
          <w:sz w:val="32"/>
          <w:szCs w:val="32"/>
          <w:highlight w:val="none"/>
        </w:rPr>
      </w:pPr>
      <w:r>
        <w:rPr>
          <w:rFonts w:hint="eastAsia" w:ascii="黑体" w:hAnsi="黑体" w:eastAsia="黑体"/>
          <w:b/>
          <w:sz w:val="32"/>
          <w:szCs w:val="32"/>
          <w:highlight w:val="none"/>
        </w:rPr>
        <w:t xml:space="preserve">    四、申请复议或者提起诉讼的途径和期限</w:t>
      </w:r>
    </w:p>
    <w:p w14:paraId="207668F1">
      <w:pPr>
        <w:keepNext w:val="0"/>
        <w:keepLines w:val="0"/>
        <w:pageBreakBefore w:val="0"/>
        <w:widowControl w:val="0"/>
        <w:tabs>
          <w:tab w:val="left" w:pos="8222"/>
        </w:tabs>
        <w:kinsoku/>
        <w:wordWrap/>
        <w:overflowPunct/>
        <w:topLinePunct w:val="0"/>
        <w:autoSpaceDE/>
        <w:autoSpaceDN/>
        <w:bidi w:val="0"/>
        <w:spacing w:line="560" w:lineRule="exact"/>
        <w:ind w:firstLine="640" w:firstLineChars="200"/>
        <w:jc w:val="both"/>
        <w:textAlignment w:val="auto"/>
        <w:rPr>
          <w:rFonts w:hint="eastAsia" w:ascii="仿宋_GB2312" w:hAnsi="仿宋" w:eastAsia="仿宋_GB2312"/>
          <w:color w:val="000000"/>
          <w:sz w:val="32"/>
          <w:szCs w:val="32"/>
          <w:highlight w:val="none"/>
        </w:rPr>
      </w:pPr>
      <w:r>
        <w:rPr>
          <w:rFonts w:hint="eastAsia" w:ascii="仿宋_GB2312" w:hAnsi="仿宋" w:eastAsia="仿宋_GB2312"/>
          <w:color w:val="000000"/>
          <w:sz w:val="32"/>
          <w:szCs w:val="32"/>
          <w:highlight w:val="none"/>
        </w:rPr>
        <w:t>根据《中华人民共和国行政处罚法》第七条</w:t>
      </w:r>
      <w:r>
        <w:rPr>
          <w:rFonts w:hint="eastAsia" w:ascii="仿宋_GB2312" w:hAnsi="仿宋" w:eastAsia="仿宋_GB2312"/>
          <w:color w:val="000000"/>
          <w:sz w:val="32"/>
          <w:szCs w:val="32"/>
          <w:highlight w:val="none"/>
          <w:lang w:eastAsia="zh-CN"/>
        </w:rPr>
        <w:t>第一款</w:t>
      </w:r>
      <w:r>
        <w:rPr>
          <w:rFonts w:hint="eastAsia" w:ascii="仿宋_GB2312" w:hAnsi="仿宋" w:eastAsia="仿宋_GB2312"/>
          <w:color w:val="000000"/>
          <w:sz w:val="32"/>
          <w:szCs w:val="32"/>
          <w:highlight w:val="none"/>
        </w:rPr>
        <w:t>、</w:t>
      </w:r>
      <w:r>
        <w:rPr>
          <w:rFonts w:hint="eastAsia" w:ascii="仿宋_GB2312" w:hAnsi="仿宋" w:eastAsia="仿宋_GB2312"/>
          <w:color w:val="000000"/>
          <w:sz w:val="32"/>
          <w:szCs w:val="32"/>
          <w:highlight w:val="none"/>
          <w:lang w:eastAsia="zh-CN"/>
        </w:rPr>
        <w:t>《中华人民共和国行政复议法》第二十条和第二十四条第一款第一项、</w:t>
      </w:r>
      <w:r>
        <w:rPr>
          <w:rFonts w:hint="eastAsia" w:ascii="仿宋_GB2312" w:hAnsi="仿宋" w:eastAsia="仿宋_GB2312"/>
          <w:color w:val="000000"/>
          <w:sz w:val="32"/>
          <w:szCs w:val="32"/>
          <w:highlight w:val="none"/>
        </w:rPr>
        <w:t>《广东省人民政府关于县级以上人民政府统一行使行政复议职责有关事项的通告》（粤府函〔2021〕99号）</w:t>
      </w:r>
      <w:r>
        <w:rPr>
          <w:rFonts w:hint="eastAsia" w:ascii="仿宋_GB2312" w:hAnsi="仿宋" w:eastAsia="仿宋_GB2312"/>
          <w:color w:val="000000"/>
          <w:sz w:val="32"/>
          <w:szCs w:val="32"/>
          <w:highlight w:val="none"/>
          <w:lang w:eastAsia="zh-CN"/>
        </w:rPr>
        <w:t>以及</w:t>
      </w:r>
      <w:r>
        <w:rPr>
          <w:rFonts w:hint="eastAsia" w:ascii="仿宋_GB2312" w:hAnsi="仿宋" w:eastAsia="仿宋_GB2312"/>
          <w:color w:val="000000"/>
          <w:sz w:val="32"/>
          <w:szCs w:val="32"/>
          <w:highlight w:val="none"/>
        </w:rPr>
        <w:t>《中华人民共和国行政诉讼法》第四十六条第一款的规定，如不服本处罚决定，你</w:t>
      </w:r>
      <w:r>
        <w:rPr>
          <w:rFonts w:hint="eastAsia" w:ascii="仿宋_GB2312" w:hAnsi="仿宋" w:eastAsia="仿宋_GB2312"/>
          <w:color w:val="000000"/>
          <w:sz w:val="32"/>
          <w:szCs w:val="32"/>
          <w:highlight w:val="none"/>
          <w:lang w:eastAsia="zh-CN"/>
        </w:rPr>
        <w:t>单位</w:t>
      </w:r>
      <w:r>
        <w:rPr>
          <w:rFonts w:hint="eastAsia" w:ascii="仿宋_GB2312" w:hAnsi="仿宋" w:eastAsia="仿宋_GB2312"/>
          <w:color w:val="000000"/>
          <w:sz w:val="32"/>
          <w:szCs w:val="32"/>
          <w:highlight w:val="none"/>
        </w:rPr>
        <w:t>可在接到决定书之日起六十日内向江门市人民政府行政复议办公室申请复议</w:t>
      </w:r>
      <w:r>
        <w:rPr>
          <w:rFonts w:hint="eastAsia" w:ascii="仿宋_GB2312" w:hAnsi="仿宋" w:eastAsia="仿宋_GB2312"/>
          <w:color w:val="000000"/>
          <w:sz w:val="32"/>
          <w:szCs w:val="32"/>
          <w:highlight w:val="none"/>
          <w:lang w:eastAsia="zh-CN"/>
        </w:rPr>
        <w:t>（</w:t>
      </w:r>
      <w:r>
        <w:rPr>
          <w:rFonts w:hint="eastAsia" w:ascii="仿宋_GB2312" w:hAnsi="仿宋" w:eastAsia="仿宋_GB2312"/>
          <w:color w:val="000000"/>
          <w:sz w:val="32"/>
          <w:szCs w:val="32"/>
          <w:highlight w:val="none"/>
        </w:rPr>
        <w:t>受理地址：江门市人民政府行政复议办公室，江门市蓬江区西园里中三号之一江门市人民政府西侧门</w:t>
      </w:r>
      <w:r>
        <w:rPr>
          <w:rFonts w:hint="eastAsia" w:ascii="仿宋_GB2312" w:hAnsi="仿宋" w:eastAsia="仿宋_GB2312"/>
          <w:color w:val="000000"/>
          <w:sz w:val="32"/>
          <w:szCs w:val="32"/>
          <w:highlight w:val="none"/>
          <w:lang w:eastAsia="zh-CN"/>
        </w:rPr>
        <w:t>）</w:t>
      </w:r>
      <w:r>
        <w:rPr>
          <w:rFonts w:hint="eastAsia" w:ascii="仿宋_GB2312" w:hAnsi="仿宋" w:eastAsia="仿宋_GB2312"/>
          <w:color w:val="000000"/>
          <w:sz w:val="32"/>
          <w:szCs w:val="32"/>
          <w:highlight w:val="none"/>
        </w:rPr>
        <w:t>，也可在接到本决定书六个月内直接向江门市江海区人民法院提起诉讼。逾期不申请行政复议</w:t>
      </w:r>
      <w:r>
        <w:rPr>
          <w:rFonts w:hint="eastAsia" w:ascii="仿宋_GB2312" w:hAnsi="仿宋" w:eastAsia="仿宋_GB2312"/>
          <w:color w:val="000000"/>
          <w:sz w:val="32"/>
          <w:szCs w:val="32"/>
          <w:highlight w:val="none"/>
          <w:lang w:eastAsia="zh-CN"/>
        </w:rPr>
        <w:t>、</w:t>
      </w:r>
      <w:r>
        <w:rPr>
          <w:rFonts w:hint="eastAsia" w:ascii="仿宋_GB2312" w:hAnsi="仿宋" w:eastAsia="仿宋_GB2312"/>
          <w:color w:val="000000"/>
          <w:sz w:val="32"/>
          <w:szCs w:val="32"/>
          <w:highlight w:val="none"/>
        </w:rPr>
        <w:t>也不提起诉讼</w:t>
      </w:r>
      <w:r>
        <w:rPr>
          <w:rFonts w:hint="eastAsia" w:ascii="仿宋_GB2312" w:hAnsi="仿宋" w:eastAsia="仿宋_GB2312"/>
          <w:color w:val="000000"/>
          <w:sz w:val="32"/>
          <w:szCs w:val="32"/>
          <w:highlight w:val="none"/>
          <w:lang w:eastAsia="zh-CN"/>
        </w:rPr>
        <w:t>、</w:t>
      </w:r>
      <w:r>
        <w:rPr>
          <w:rFonts w:hint="eastAsia" w:ascii="仿宋_GB2312" w:hAnsi="仿宋" w:eastAsia="仿宋_GB2312"/>
          <w:color w:val="000000"/>
          <w:sz w:val="32"/>
          <w:szCs w:val="32"/>
          <w:highlight w:val="none"/>
        </w:rPr>
        <w:t>又不履行本处罚决定的，我局将依法申请人民法院强制执行。</w:t>
      </w:r>
    </w:p>
    <w:p w14:paraId="2F1B3339">
      <w:pPr>
        <w:keepNext w:val="0"/>
        <w:keepLines w:val="0"/>
        <w:pageBreakBefore w:val="0"/>
        <w:widowControl w:val="0"/>
        <w:tabs>
          <w:tab w:val="left" w:pos="8222"/>
        </w:tabs>
        <w:kinsoku/>
        <w:wordWrap/>
        <w:overflowPunct/>
        <w:topLinePunct w:val="0"/>
        <w:autoSpaceDE/>
        <w:autoSpaceDN/>
        <w:bidi w:val="0"/>
        <w:spacing w:line="560" w:lineRule="exact"/>
        <w:ind w:firstLine="640" w:firstLineChars="200"/>
        <w:jc w:val="both"/>
        <w:textAlignment w:val="auto"/>
        <w:rPr>
          <w:rFonts w:hint="eastAsia" w:ascii="仿宋_GB2312" w:hAnsi="仿宋" w:eastAsia="仿宋_GB2312"/>
          <w:color w:val="000000"/>
          <w:sz w:val="32"/>
          <w:szCs w:val="32"/>
          <w:highlight w:val="none"/>
        </w:rPr>
      </w:pPr>
    </w:p>
    <w:p w14:paraId="08147B90">
      <w:pPr>
        <w:keepNext w:val="0"/>
        <w:keepLines w:val="0"/>
        <w:pageBreakBefore w:val="0"/>
        <w:widowControl w:val="0"/>
        <w:tabs>
          <w:tab w:val="left" w:pos="8222"/>
        </w:tabs>
        <w:kinsoku/>
        <w:wordWrap/>
        <w:overflowPunct/>
        <w:topLinePunct w:val="0"/>
        <w:autoSpaceDE/>
        <w:autoSpaceDN/>
        <w:bidi w:val="0"/>
        <w:spacing w:line="560" w:lineRule="exact"/>
        <w:ind w:firstLine="640" w:firstLineChars="200"/>
        <w:jc w:val="both"/>
        <w:textAlignment w:val="auto"/>
        <w:rPr>
          <w:rFonts w:hint="eastAsia" w:ascii="仿宋_GB2312" w:hAnsi="仿宋" w:eastAsia="仿宋_GB2312"/>
          <w:color w:val="000000"/>
          <w:sz w:val="32"/>
          <w:szCs w:val="32"/>
          <w:highlight w:val="none"/>
        </w:rPr>
      </w:pPr>
    </w:p>
    <w:p w14:paraId="729E05A9">
      <w:pPr>
        <w:keepNext w:val="0"/>
        <w:keepLines w:val="0"/>
        <w:pageBreakBefore w:val="0"/>
        <w:widowControl w:val="0"/>
        <w:tabs>
          <w:tab w:val="left" w:pos="8222"/>
        </w:tabs>
        <w:kinsoku/>
        <w:wordWrap/>
        <w:overflowPunct/>
        <w:topLinePunct w:val="0"/>
        <w:autoSpaceDE/>
        <w:autoSpaceDN/>
        <w:bidi w:val="0"/>
        <w:adjustRightInd w:val="0"/>
        <w:snapToGrid w:val="0"/>
        <w:spacing w:line="560" w:lineRule="exact"/>
        <w:jc w:val="left"/>
        <w:textAlignment w:val="auto"/>
        <w:rPr>
          <w:rFonts w:ascii="仿宋_GB2312" w:hAnsi="仿宋" w:eastAsia="仿宋_GB2312"/>
          <w:color w:val="000000"/>
          <w:sz w:val="32"/>
          <w:szCs w:val="32"/>
          <w:highlight w:val="none"/>
        </w:rPr>
      </w:pPr>
      <w:r>
        <w:rPr>
          <w:rFonts w:hint="eastAsia" w:ascii="仿宋_GB2312" w:hAnsi="仿宋" w:eastAsia="仿宋_GB2312"/>
          <w:b/>
          <w:sz w:val="30"/>
          <w:szCs w:val="30"/>
          <w:highlight w:val="none"/>
        </w:rPr>
        <w:t xml:space="preserve">                                     </w:t>
      </w:r>
      <w:r>
        <w:rPr>
          <w:rFonts w:hint="eastAsia" w:ascii="仿宋_GB2312" w:hAnsi="仿宋" w:eastAsia="仿宋_GB2312"/>
          <w:color w:val="000000"/>
          <w:sz w:val="32"/>
          <w:szCs w:val="32"/>
          <w:highlight w:val="none"/>
        </w:rPr>
        <w:t>江门市生态环境局</w:t>
      </w:r>
    </w:p>
    <w:p w14:paraId="6282E8EC">
      <w:pPr>
        <w:keepNext w:val="0"/>
        <w:keepLines w:val="0"/>
        <w:pageBreakBefore w:val="0"/>
        <w:widowControl w:val="0"/>
        <w:tabs>
          <w:tab w:val="left" w:pos="567"/>
        </w:tabs>
        <w:kinsoku/>
        <w:wordWrap/>
        <w:overflowPunct/>
        <w:topLinePunct w:val="0"/>
        <w:autoSpaceDE/>
        <w:autoSpaceDN/>
        <w:bidi w:val="0"/>
        <w:spacing w:line="560" w:lineRule="exact"/>
        <w:jc w:val="left"/>
        <w:textAlignment w:val="auto"/>
        <w:rPr>
          <w:rFonts w:ascii="仿宋_GB2312" w:eastAsia="仿宋_GB2312"/>
          <w:sz w:val="32"/>
          <w:szCs w:val="32"/>
          <w:highlight w:val="none"/>
        </w:rPr>
      </w:pPr>
      <w:r>
        <w:rPr>
          <w:rFonts w:hint="eastAsia" w:ascii="仿宋_GB2312" w:hAnsi="仿宋" w:eastAsia="仿宋_GB2312"/>
          <w:color w:val="000000"/>
          <w:sz w:val="32"/>
          <w:szCs w:val="32"/>
          <w:highlight w:val="none"/>
        </w:rPr>
        <w:t xml:space="preserve">                                   202</w:t>
      </w:r>
      <w:r>
        <w:rPr>
          <w:rFonts w:hint="eastAsia" w:ascii="仿宋_GB2312" w:hAnsi="仿宋" w:eastAsia="仿宋_GB2312"/>
          <w:color w:val="000000"/>
          <w:sz w:val="32"/>
          <w:szCs w:val="32"/>
          <w:highlight w:val="none"/>
          <w:lang w:val="en-US" w:eastAsia="zh-CN"/>
        </w:rPr>
        <w:t>4</w:t>
      </w:r>
      <w:r>
        <w:rPr>
          <w:rFonts w:hint="eastAsia" w:ascii="仿宋_GB2312" w:hAnsi="仿宋" w:eastAsia="仿宋_GB2312"/>
          <w:color w:val="000000"/>
          <w:sz w:val="32"/>
          <w:szCs w:val="32"/>
          <w:highlight w:val="none"/>
        </w:rPr>
        <w:t>年</w:t>
      </w:r>
      <w:r>
        <w:rPr>
          <w:rFonts w:hint="eastAsia" w:ascii="仿宋_GB2312" w:hAnsi="仿宋" w:eastAsia="仿宋_GB2312"/>
          <w:color w:val="000000"/>
          <w:sz w:val="32"/>
          <w:szCs w:val="32"/>
          <w:highlight w:val="none"/>
          <w:lang w:val="en-US" w:eastAsia="zh-CN"/>
        </w:rPr>
        <w:t>12</w:t>
      </w:r>
      <w:r>
        <w:rPr>
          <w:rFonts w:hint="eastAsia" w:ascii="仿宋_GB2312" w:hAnsi="仿宋" w:eastAsia="仿宋_GB2312"/>
          <w:color w:val="000000"/>
          <w:sz w:val="32"/>
          <w:szCs w:val="32"/>
          <w:highlight w:val="none"/>
        </w:rPr>
        <w:t>月</w:t>
      </w:r>
      <w:r>
        <w:rPr>
          <w:rFonts w:hint="eastAsia" w:ascii="仿宋_GB2312" w:hAnsi="仿宋" w:eastAsia="仿宋_GB2312"/>
          <w:color w:val="000000"/>
          <w:sz w:val="32"/>
          <w:szCs w:val="32"/>
          <w:highlight w:val="none"/>
          <w:lang w:val="en-US" w:eastAsia="zh-CN"/>
        </w:rPr>
        <w:t>4</w:t>
      </w:r>
      <w:r>
        <w:rPr>
          <w:rFonts w:hint="eastAsia" w:ascii="仿宋_GB2312" w:hAnsi="仿宋" w:eastAsia="仿宋_GB2312"/>
          <w:color w:val="000000"/>
          <w:sz w:val="32"/>
          <w:szCs w:val="32"/>
          <w:highlight w:val="none"/>
        </w:rPr>
        <w:t>日</w:t>
      </w:r>
    </w:p>
    <w:sectPr>
      <w:footerReference r:id="rId3" w:type="default"/>
      <w:pgSz w:w="11906" w:h="16838"/>
      <w:pgMar w:top="1587" w:right="1474" w:bottom="1587" w:left="1588" w:header="851" w:footer="992"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文鼎CS大宋">
    <w:panose1 w:val="02010609010101010101"/>
    <w:charset w:val="86"/>
    <w:family w:val="modern"/>
    <w:pitch w:val="default"/>
    <w:sig w:usb0="00000000" w:usb1="00000000" w:usb2="00000000" w:usb3="00000000" w:csb0="00000000" w:csb1="00000000"/>
  </w:font>
  <w:font w:name="方正大标宋_GBK">
    <w:panose1 w:val="03000509000000000000"/>
    <w:charset w:val="86"/>
    <w:family w:val="auto"/>
    <w:pitch w:val="default"/>
    <w:sig w:usb0="00000001" w:usb1="080E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987880A">
    <w:pPr>
      <w:pStyle w:val="3"/>
      <w:jc w:val="cente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5C89851">
                          <w:pPr>
                            <w:pStyle w:val="3"/>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   \* MERGEFORMAT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lang w:val="zh-CN"/>
                            </w:rPr>
                            <w:t>3</w:t>
                          </w:r>
                          <w:r>
                            <w:rPr>
                              <w:rFonts w:hint="eastAsia" w:ascii="仿宋_GB2312" w:hAnsi="仿宋_GB2312" w:eastAsia="仿宋_GB2312" w:cs="仿宋_GB2312"/>
                              <w:sz w:val="32"/>
                              <w:szCs w:val="32"/>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OrREyAgAAY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f46tETICAABhBAAADgAAAAAAAAABACAAAAAfAQAAZHJzL2Uyb0RvYy54bWxQSwUG&#10;AAAAAAYABgBZAQAAwwUAAAAA&#10;">
              <v:fill on="f" focussize="0,0"/>
              <v:stroke on="f" weight="0.5pt"/>
              <v:imagedata o:title=""/>
              <o:lock v:ext="edit" aspectratio="f"/>
              <v:textbox inset="0mm,0mm,0mm,0mm" style="mso-fit-shape-to-text:t;">
                <w:txbxContent>
                  <w:p w14:paraId="65C89851">
                    <w:pPr>
                      <w:pStyle w:val="3"/>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   \* MERGEFORMAT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lang w:val="zh-CN"/>
                      </w:rPr>
                      <w:t>3</w:t>
                    </w:r>
                    <w:r>
                      <w:rPr>
                        <w:rFonts w:hint="eastAsia" w:ascii="仿宋_GB2312" w:hAnsi="仿宋_GB2312" w:eastAsia="仿宋_GB2312" w:cs="仿宋_GB2312"/>
                        <w:sz w:val="32"/>
                        <w:szCs w:val="32"/>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5"/>
  <w:bordersDoNotSurroundHeader w:val="1"/>
  <w:bordersDoNotSurroundFooter w:val="1"/>
  <w:revisionView w:markup="0"/>
  <w:trackRevisions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c5ZDA0ZDgwODMyYzA5YWE5Y2Q3N2FlYjQ2N2UyYzkifQ=="/>
  </w:docVars>
  <w:rsids>
    <w:rsidRoot w:val="3E123949"/>
    <w:rsid w:val="00040D35"/>
    <w:rsid w:val="0008108A"/>
    <w:rsid w:val="000B2738"/>
    <w:rsid w:val="001714E5"/>
    <w:rsid w:val="001A628F"/>
    <w:rsid w:val="001C23C3"/>
    <w:rsid w:val="001D6001"/>
    <w:rsid w:val="00200EBA"/>
    <w:rsid w:val="0020509C"/>
    <w:rsid w:val="00215B21"/>
    <w:rsid w:val="0026591A"/>
    <w:rsid w:val="002A0A4B"/>
    <w:rsid w:val="002A4B8A"/>
    <w:rsid w:val="002B61FE"/>
    <w:rsid w:val="00310DDE"/>
    <w:rsid w:val="00323629"/>
    <w:rsid w:val="00366482"/>
    <w:rsid w:val="00396446"/>
    <w:rsid w:val="003B2CFB"/>
    <w:rsid w:val="003F5B28"/>
    <w:rsid w:val="004339E7"/>
    <w:rsid w:val="004378B9"/>
    <w:rsid w:val="004604C0"/>
    <w:rsid w:val="00463D76"/>
    <w:rsid w:val="004748B2"/>
    <w:rsid w:val="00493DE0"/>
    <w:rsid w:val="004A22AA"/>
    <w:rsid w:val="004D1EDB"/>
    <w:rsid w:val="0050275D"/>
    <w:rsid w:val="005156A5"/>
    <w:rsid w:val="0053157A"/>
    <w:rsid w:val="00533822"/>
    <w:rsid w:val="00534DD3"/>
    <w:rsid w:val="00535C08"/>
    <w:rsid w:val="00557DD2"/>
    <w:rsid w:val="0056775C"/>
    <w:rsid w:val="005B6D46"/>
    <w:rsid w:val="00636F0C"/>
    <w:rsid w:val="00671840"/>
    <w:rsid w:val="00683457"/>
    <w:rsid w:val="006D2E68"/>
    <w:rsid w:val="00704519"/>
    <w:rsid w:val="007924FC"/>
    <w:rsid w:val="00792837"/>
    <w:rsid w:val="007C0CE3"/>
    <w:rsid w:val="007D291B"/>
    <w:rsid w:val="007D44B8"/>
    <w:rsid w:val="007D5867"/>
    <w:rsid w:val="007E00BC"/>
    <w:rsid w:val="007F0190"/>
    <w:rsid w:val="0080371F"/>
    <w:rsid w:val="008143B8"/>
    <w:rsid w:val="00820332"/>
    <w:rsid w:val="00837C4C"/>
    <w:rsid w:val="00871E73"/>
    <w:rsid w:val="00887BBE"/>
    <w:rsid w:val="008A0987"/>
    <w:rsid w:val="008E25FC"/>
    <w:rsid w:val="008E568C"/>
    <w:rsid w:val="009038E7"/>
    <w:rsid w:val="00913E59"/>
    <w:rsid w:val="0093145B"/>
    <w:rsid w:val="0093386A"/>
    <w:rsid w:val="00995876"/>
    <w:rsid w:val="009B4C85"/>
    <w:rsid w:val="009F54DA"/>
    <w:rsid w:val="00A72CB9"/>
    <w:rsid w:val="00AA4B5D"/>
    <w:rsid w:val="00AB3F60"/>
    <w:rsid w:val="00BE41F6"/>
    <w:rsid w:val="00BE7618"/>
    <w:rsid w:val="00C04697"/>
    <w:rsid w:val="00C14EA2"/>
    <w:rsid w:val="00C246CE"/>
    <w:rsid w:val="00C95BD1"/>
    <w:rsid w:val="00CA2BB4"/>
    <w:rsid w:val="00CC717F"/>
    <w:rsid w:val="00CC772B"/>
    <w:rsid w:val="00CD2CC1"/>
    <w:rsid w:val="00CF07F3"/>
    <w:rsid w:val="00CF7D26"/>
    <w:rsid w:val="00D43F12"/>
    <w:rsid w:val="00D55A95"/>
    <w:rsid w:val="00D87C9C"/>
    <w:rsid w:val="00DD730C"/>
    <w:rsid w:val="00E15A4E"/>
    <w:rsid w:val="00E27312"/>
    <w:rsid w:val="00E82E36"/>
    <w:rsid w:val="00E967BE"/>
    <w:rsid w:val="00E97564"/>
    <w:rsid w:val="00EB7E18"/>
    <w:rsid w:val="00EC4711"/>
    <w:rsid w:val="00EF3F0D"/>
    <w:rsid w:val="00F33C0A"/>
    <w:rsid w:val="00F522E5"/>
    <w:rsid w:val="00F57DCD"/>
    <w:rsid w:val="00F97211"/>
    <w:rsid w:val="00FA3A86"/>
    <w:rsid w:val="00FB2012"/>
    <w:rsid w:val="00FC7E8B"/>
    <w:rsid w:val="00FF4A5F"/>
    <w:rsid w:val="018D678B"/>
    <w:rsid w:val="02540C49"/>
    <w:rsid w:val="02833AA3"/>
    <w:rsid w:val="02AA45F1"/>
    <w:rsid w:val="02D326C9"/>
    <w:rsid w:val="03715BAF"/>
    <w:rsid w:val="03922815"/>
    <w:rsid w:val="040A4E45"/>
    <w:rsid w:val="04A973D8"/>
    <w:rsid w:val="05616B78"/>
    <w:rsid w:val="06CD5EE0"/>
    <w:rsid w:val="08392955"/>
    <w:rsid w:val="08B04283"/>
    <w:rsid w:val="09D92046"/>
    <w:rsid w:val="09E22693"/>
    <w:rsid w:val="0A54249D"/>
    <w:rsid w:val="0AA90837"/>
    <w:rsid w:val="0AAB579B"/>
    <w:rsid w:val="0B055BA6"/>
    <w:rsid w:val="0BB35B7A"/>
    <w:rsid w:val="0D7774E5"/>
    <w:rsid w:val="0D811A27"/>
    <w:rsid w:val="0DAC252E"/>
    <w:rsid w:val="0E287049"/>
    <w:rsid w:val="0E96654F"/>
    <w:rsid w:val="0EBB6EE7"/>
    <w:rsid w:val="0EBC578E"/>
    <w:rsid w:val="0FF13980"/>
    <w:rsid w:val="10D56BBA"/>
    <w:rsid w:val="111C5C2D"/>
    <w:rsid w:val="11B147AE"/>
    <w:rsid w:val="11C47BB0"/>
    <w:rsid w:val="12093B90"/>
    <w:rsid w:val="12316D61"/>
    <w:rsid w:val="12862EBD"/>
    <w:rsid w:val="14661013"/>
    <w:rsid w:val="146B4047"/>
    <w:rsid w:val="15213FFD"/>
    <w:rsid w:val="155112B2"/>
    <w:rsid w:val="15C42C46"/>
    <w:rsid w:val="16437091"/>
    <w:rsid w:val="1658540F"/>
    <w:rsid w:val="16C62ECB"/>
    <w:rsid w:val="17020ABF"/>
    <w:rsid w:val="177A156A"/>
    <w:rsid w:val="17AC07CE"/>
    <w:rsid w:val="186E3A00"/>
    <w:rsid w:val="18EF5A3F"/>
    <w:rsid w:val="18F95384"/>
    <w:rsid w:val="190344DA"/>
    <w:rsid w:val="193A544E"/>
    <w:rsid w:val="194C74AE"/>
    <w:rsid w:val="196575D7"/>
    <w:rsid w:val="19BD6B3B"/>
    <w:rsid w:val="19D164AD"/>
    <w:rsid w:val="1B485C9B"/>
    <w:rsid w:val="1C0007A5"/>
    <w:rsid w:val="1CCC4F47"/>
    <w:rsid w:val="1D385AE2"/>
    <w:rsid w:val="1D794E63"/>
    <w:rsid w:val="1D9B546D"/>
    <w:rsid w:val="1E336ED8"/>
    <w:rsid w:val="1F0C202B"/>
    <w:rsid w:val="1F3A12F9"/>
    <w:rsid w:val="1FF163E5"/>
    <w:rsid w:val="20B63F6D"/>
    <w:rsid w:val="20E64F75"/>
    <w:rsid w:val="215F640C"/>
    <w:rsid w:val="22533907"/>
    <w:rsid w:val="231F636F"/>
    <w:rsid w:val="23600875"/>
    <w:rsid w:val="23961225"/>
    <w:rsid w:val="23B67A29"/>
    <w:rsid w:val="23D85380"/>
    <w:rsid w:val="2593324A"/>
    <w:rsid w:val="27667709"/>
    <w:rsid w:val="27AB23B9"/>
    <w:rsid w:val="28790144"/>
    <w:rsid w:val="291A3E92"/>
    <w:rsid w:val="296F10A7"/>
    <w:rsid w:val="29B65A7F"/>
    <w:rsid w:val="29CD0CE3"/>
    <w:rsid w:val="29D17720"/>
    <w:rsid w:val="29E83C3A"/>
    <w:rsid w:val="2A0947BF"/>
    <w:rsid w:val="2A20689E"/>
    <w:rsid w:val="2AFC7094"/>
    <w:rsid w:val="2D7B45CB"/>
    <w:rsid w:val="2D8B152F"/>
    <w:rsid w:val="2E405189"/>
    <w:rsid w:val="2EEB0796"/>
    <w:rsid w:val="30745A25"/>
    <w:rsid w:val="31AC6F2B"/>
    <w:rsid w:val="34B239BD"/>
    <w:rsid w:val="35F14678"/>
    <w:rsid w:val="35FA5008"/>
    <w:rsid w:val="363F2197"/>
    <w:rsid w:val="364D2448"/>
    <w:rsid w:val="36AC3612"/>
    <w:rsid w:val="36DA769B"/>
    <w:rsid w:val="37262A72"/>
    <w:rsid w:val="375D05A0"/>
    <w:rsid w:val="378E4501"/>
    <w:rsid w:val="37B02950"/>
    <w:rsid w:val="37E607C5"/>
    <w:rsid w:val="38033706"/>
    <w:rsid w:val="38AA369B"/>
    <w:rsid w:val="39F41558"/>
    <w:rsid w:val="3AF311D3"/>
    <w:rsid w:val="3B8A37F6"/>
    <w:rsid w:val="3C281633"/>
    <w:rsid w:val="3C2D2B9F"/>
    <w:rsid w:val="3C376DF3"/>
    <w:rsid w:val="3C9E7DD5"/>
    <w:rsid w:val="3D2221BD"/>
    <w:rsid w:val="3D5F7975"/>
    <w:rsid w:val="3E123949"/>
    <w:rsid w:val="3EB75F2A"/>
    <w:rsid w:val="3ED930B3"/>
    <w:rsid w:val="3F6A1DD8"/>
    <w:rsid w:val="3F964E60"/>
    <w:rsid w:val="3FB159AB"/>
    <w:rsid w:val="41457624"/>
    <w:rsid w:val="415D593F"/>
    <w:rsid w:val="41642E7C"/>
    <w:rsid w:val="41790595"/>
    <w:rsid w:val="41932A81"/>
    <w:rsid w:val="41E94E20"/>
    <w:rsid w:val="42994B23"/>
    <w:rsid w:val="439112D9"/>
    <w:rsid w:val="43ED184B"/>
    <w:rsid w:val="440B07AF"/>
    <w:rsid w:val="4496544D"/>
    <w:rsid w:val="45706D26"/>
    <w:rsid w:val="46116B69"/>
    <w:rsid w:val="46122081"/>
    <w:rsid w:val="46C44E5D"/>
    <w:rsid w:val="473F271B"/>
    <w:rsid w:val="474A45BD"/>
    <w:rsid w:val="47753FE8"/>
    <w:rsid w:val="48081F25"/>
    <w:rsid w:val="48396BCF"/>
    <w:rsid w:val="48595198"/>
    <w:rsid w:val="48D11AC4"/>
    <w:rsid w:val="48DC13FA"/>
    <w:rsid w:val="49693B09"/>
    <w:rsid w:val="4A5A3968"/>
    <w:rsid w:val="4B455C85"/>
    <w:rsid w:val="4B8D5369"/>
    <w:rsid w:val="4BA660E7"/>
    <w:rsid w:val="4C4C79B8"/>
    <w:rsid w:val="4C827694"/>
    <w:rsid w:val="4C9D21EE"/>
    <w:rsid w:val="4CD23EC9"/>
    <w:rsid w:val="4CD40081"/>
    <w:rsid w:val="4CF406C0"/>
    <w:rsid w:val="4D2A27EC"/>
    <w:rsid w:val="4DB57DDF"/>
    <w:rsid w:val="4DC87477"/>
    <w:rsid w:val="4E4463D1"/>
    <w:rsid w:val="4EDF5626"/>
    <w:rsid w:val="4F122A03"/>
    <w:rsid w:val="4FB60134"/>
    <w:rsid w:val="4FFE6D78"/>
    <w:rsid w:val="50987A5C"/>
    <w:rsid w:val="50BE7D72"/>
    <w:rsid w:val="50E029F0"/>
    <w:rsid w:val="51080284"/>
    <w:rsid w:val="511750A2"/>
    <w:rsid w:val="519A433C"/>
    <w:rsid w:val="525E21B7"/>
    <w:rsid w:val="529E2848"/>
    <w:rsid w:val="52B23A5C"/>
    <w:rsid w:val="53496880"/>
    <w:rsid w:val="538C1DC7"/>
    <w:rsid w:val="53AC3999"/>
    <w:rsid w:val="53F74866"/>
    <w:rsid w:val="544A14CF"/>
    <w:rsid w:val="54CE705F"/>
    <w:rsid w:val="552D4350"/>
    <w:rsid w:val="55AA6129"/>
    <w:rsid w:val="575C6F8F"/>
    <w:rsid w:val="58C97806"/>
    <w:rsid w:val="5AB6185D"/>
    <w:rsid w:val="5ACA7114"/>
    <w:rsid w:val="5B156354"/>
    <w:rsid w:val="5B4708C4"/>
    <w:rsid w:val="5CAC6E0C"/>
    <w:rsid w:val="5D0C6103"/>
    <w:rsid w:val="5D8F6D1E"/>
    <w:rsid w:val="5E001C89"/>
    <w:rsid w:val="5F3D5BD5"/>
    <w:rsid w:val="603D12EC"/>
    <w:rsid w:val="60C121A6"/>
    <w:rsid w:val="615E28EC"/>
    <w:rsid w:val="616945BC"/>
    <w:rsid w:val="61C8147B"/>
    <w:rsid w:val="622D7AE2"/>
    <w:rsid w:val="625C2AAE"/>
    <w:rsid w:val="63B5695A"/>
    <w:rsid w:val="642D7291"/>
    <w:rsid w:val="65530DC6"/>
    <w:rsid w:val="66354692"/>
    <w:rsid w:val="670E7BDC"/>
    <w:rsid w:val="671D4807"/>
    <w:rsid w:val="67CA70E2"/>
    <w:rsid w:val="67E814EB"/>
    <w:rsid w:val="690237CE"/>
    <w:rsid w:val="6A0171F6"/>
    <w:rsid w:val="6A6A4F3E"/>
    <w:rsid w:val="6B6C452B"/>
    <w:rsid w:val="6B866AF7"/>
    <w:rsid w:val="6B8B1BAD"/>
    <w:rsid w:val="6C88775B"/>
    <w:rsid w:val="6C8E3253"/>
    <w:rsid w:val="6CF62181"/>
    <w:rsid w:val="6D036ADE"/>
    <w:rsid w:val="6E2B57CF"/>
    <w:rsid w:val="6E3F53B1"/>
    <w:rsid w:val="6FCB486D"/>
    <w:rsid w:val="6FDF0961"/>
    <w:rsid w:val="70121814"/>
    <w:rsid w:val="702E18B2"/>
    <w:rsid w:val="70AA2405"/>
    <w:rsid w:val="71521EB1"/>
    <w:rsid w:val="716167CC"/>
    <w:rsid w:val="72107463"/>
    <w:rsid w:val="72414600"/>
    <w:rsid w:val="72C60CC6"/>
    <w:rsid w:val="72EC5FE9"/>
    <w:rsid w:val="72F46C0F"/>
    <w:rsid w:val="73091B9C"/>
    <w:rsid w:val="732A0A8C"/>
    <w:rsid w:val="7345425E"/>
    <w:rsid w:val="73A816F0"/>
    <w:rsid w:val="741F4562"/>
    <w:rsid w:val="74AD7904"/>
    <w:rsid w:val="74FC0DD2"/>
    <w:rsid w:val="75CA0AE9"/>
    <w:rsid w:val="75D732ED"/>
    <w:rsid w:val="76FF44C8"/>
    <w:rsid w:val="77863E8D"/>
    <w:rsid w:val="778925D9"/>
    <w:rsid w:val="779506FC"/>
    <w:rsid w:val="779FDA01"/>
    <w:rsid w:val="795500AB"/>
    <w:rsid w:val="79BF1A6D"/>
    <w:rsid w:val="79FE2622"/>
    <w:rsid w:val="7AFA3BD3"/>
    <w:rsid w:val="7CD635D7"/>
    <w:rsid w:val="7D99FF67"/>
    <w:rsid w:val="7DF726FE"/>
    <w:rsid w:val="7E4E5D17"/>
    <w:rsid w:val="7E5E3C09"/>
    <w:rsid w:val="7E7E4DAD"/>
    <w:rsid w:val="7F3B6541"/>
    <w:rsid w:val="7FFF3DBE"/>
    <w:rsid w:val="BE2F87E8"/>
    <w:rsid w:val="C47BB29F"/>
    <w:rsid w:val="DFBFD5A3"/>
    <w:rsid w:val="F8DB189A"/>
    <w:rsid w:val="FBE6958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iPriority="99"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8">
    <w:name w:val="Default Paragraph Font"/>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1"/>
    <w:qFormat/>
    <w:uiPriority w:val="0"/>
    <w:rPr>
      <w:sz w:val="18"/>
      <w:szCs w:val="18"/>
    </w:rPr>
  </w:style>
  <w:style w:type="paragraph" w:styleId="3">
    <w:name w:val="footer"/>
    <w:basedOn w:val="1"/>
    <w:link w:val="9"/>
    <w:unhideWhenUsed/>
    <w:qFormat/>
    <w:uiPriority w:val="99"/>
    <w:pPr>
      <w:tabs>
        <w:tab w:val="center" w:pos="4153"/>
        <w:tab w:val="right" w:pos="8306"/>
      </w:tabs>
      <w:snapToGrid w:val="0"/>
      <w:jc w:val="left"/>
    </w:pPr>
    <w:rPr>
      <w:sz w:val="18"/>
      <w:szCs w:val="18"/>
    </w:rPr>
  </w:style>
  <w:style w:type="paragraph" w:styleId="4">
    <w:name w:val="header"/>
    <w:basedOn w:val="1"/>
    <w:link w:val="10"/>
    <w:unhideWhenUsed/>
    <w:qFormat/>
    <w:uiPriority w:val="99"/>
    <w:pPr>
      <w:pBdr>
        <w:bottom w:val="single" w:color="auto" w:sz="6" w:space="1"/>
      </w:pBdr>
      <w:tabs>
        <w:tab w:val="center" w:pos="4153"/>
        <w:tab w:val="right" w:pos="8306"/>
      </w:tabs>
      <w:snapToGrid w:val="0"/>
      <w:jc w:val="center"/>
    </w:pPr>
    <w:rPr>
      <w:sz w:val="18"/>
      <w:szCs w:val="18"/>
    </w:rPr>
  </w:style>
  <w:style w:type="paragraph" w:styleId="5">
    <w:name w:val="Normal (Web)"/>
    <w:basedOn w:val="1"/>
    <w:qFormat/>
    <w:uiPriority w:val="0"/>
    <w:pPr>
      <w:spacing w:before="100" w:beforeAutospacing="1" w:after="100" w:afterAutospacing="1"/>
      <w:ind w:left="0" w:right="0"/>
      <w:jc w:val="left"/>
    </w:pPr>
    <w:rPr>
      <w:kern w:val="0"/>
      <w:sz w:val="24"/>
      <w:lang w:val="en-US" w:eastAsia="zh-CN" w:bidi="ar"/>
    </w:rPr>
  </w:style>
  <w:style w:type="table" w:styleId="7">
    <w:name w:val="Table Grid"/>
    <w:basedOn w:val="6"/>
    <w:qFormat/>
    <w:uiPriority w:val="5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character" w:customStyle="1" w:styleId="9">
    <w:name w:val="页脚 Char"/>
    <w:link w:val="3"/>
    <w:qFormat/>
    <w:uiPriority w:val="99"/>
    <w:rPr>
      <w:sz w:val="18"/>
      <w:szCs w:val="18"/>
    </w:rPr>
  </w:style>
  <w:style w:type="character" w:customStyle="1" w:styleId="10">
    <w:name w:val="页眉 Char"/>
    <w:link w:val="4"/>
    <w:semiHidden/>
    <w:qFormat/>
    <w:uiPriority w:val="99"/>
    <w:rPr>
      <w:sz w:val="18"/>
      <w:szCs w:val="18"/>
    </w:rPr>
  </w:style>
  <w:style w:type="character" w:customStyle="1" w:styleId="11">
    <w:name w:val="批注框文本 Char"/>
    <w:basedOn w:val="8"/>
    <w:link w:val="2"/>
    <w:qFormat/>
    <w:uiPriority w:val="0"/>
    <w:rPr>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其他</Company>
  <Pages>4</Pages>
  <Words>1973</Words>
  <Characters>2263</Characters>
  <Lines>10</Lines>
  <Paragraphs>2</Paragraphs>
  <TotalTime>69</TotalTime>
  <ScaleCrop>false</ScaleCrop>
  <LinksUpToDate>false</LinksUpToDate>
  <CharactersWithSpaces>2376</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2022-06-20T09:50:00Z</dcterms:created>
  <dc:creator>Administrator</dc:creator>
  <cp:lastModifiedBy>区凤婷2</cp:lastModifiedBy>
  <cp:lastPrinted>2024-05-16T22:54:00Z</cp:lastPrinted>
  <dcterms:modified xsi:type="dcterms:W3CDTF">2025-12-05T03:55:06Z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FDCD593DE2634DCCA4C9C29DDD10CCCA</vt:lpwstr>
  </property>
  <property fmtid="{D5CDD505-2E9C-101B-9397-08002B2CF9AE}" pid="4" name="KSOTemplateDocerSaveRecord">
    <vt:lpwstr>eyJoZGlkIjoiNTc5NjBmYjU0MDc3MDBjMTRlZWQ4NzIwMjEwODQyZWYiLCJ1c2VySWQiOiIxMjU2Mzg5Nzc4In0=</vt:lpwstr>
  </property>
</Properties>
</file>