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35</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EA29EC2">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江门市佳凯五金制品有限公司</w:t>
      </w:r>
    </w:p>
    <w:p w14:paraId="4303EBD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周正</w:t>
      </w:r>
    </w:p>
    <w:p w14:paraId="26B27EEE">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91440704MA56KYQL07</w:t>
      </w:r>
    </w:p>
    <w:p w14:paraId="7441F61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江门市江海区高新6号地3号06厂房第一层自编A8（信息申报制）</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6C400A6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2024年6月21日，我局执法人员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进行现场检查</w:t>
      </w:r>
      <w:r>
        <w:rPr>
          <w:rFonts w:hint="eastAsia" w:ascii="仿宋_GB2312" w:hAnsi="仿宋" w:eastAsia="仿宋_GB2312" w:cs="Times New Roman"/>
          <w:sz w:val="32"/>
          <w:szCs w:val="32"/>
          <w:highlight w:val="none"/>
          <w:lang w:eastAsia="zh-CN"/>
        </w:rPr>
        <w:t>，现场检查时你单位正在生产，配套建设的废气治理设施及废水治理设施正在运行</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经调查，你单位建设项目（主要生产设备：</w:t>
      </w:r>
      <w:r>
        <w:rPr>
          <w:rFonts w:hint="eastAsia" w:ascii="仿宋_GB2312" w:hAnsi="仿宋" w:eastAsia="仿宋_GB2312" w:cs="Times New Roman"/>
          <w:sz w:val="32"/>
          <w:szCs w:val="32"/>
          <w:highlight w:val="none"/>
        </w:rPr>
        <w:t>自动除油喷粉线1条、喷漆水帘柜4台、固化炉1台、手工清洗槽2个</w:t>
      </w:r>
      <w:r>
        <w:rPr>
          <w:rFonts w:hint="eastAsia" w:ascii="仿宋_GB2312" w:hAnsi="仿宋" w:eastAsia="仿宋_GB2312" w:cs="Times New Roman"/>
          <w:sz w:val="32"/>
          <w:szCs w:val="32"/>
          <w:highlight w:val="none"/>
          <w:lang w:eastAsia="zh-CN"/>
        </w:rPr>
        <w:t>）于</w:t>
      </w:r>
      <w:r>
        <w:rPr>
          <w:rFonts w:hint="eastAsia" w:ascii="仿宋_GB2312" w:hAnsi="仿宋" w:eastAsia="仿宋_GB2312" w:cs="Times New Roman"/>
          <w:sz w:val="32"/>
          <w:szCs w:val="32"/>
          <w:highlight w:val="none"/>
          <w:lang w:val="en-US" w:eastAsia="zh-CN"/>
        </w:rPr>
        <w:t>2023年3月投产至今，</w:t>
      </w:r>
      <w:r>
        <w:rPr>
          <w:rFonts w:hint="eastAsia" w:ascii="仿宋_GB2312" w:hAnsi="仿宋" w:eastAsia="仿宋_GB2312" w:cs="Times New Roman"/>
          <w:sz w:val="32"/>
          <w:szCs w:val="32"/>
          <w:highlight w:val="none"/>
          <w:lang w:eastAsia="zh-CN"/>
        </w:rPr>
        <w:t>且</w:t>
      </w:r>
      <w:r>
        <w:rPr>
          <w:rFonts w:hint="eastAsia" w:ascii="仿宋_GB2312" w:hAnsi="仿宋" w:eastAsia="仿宋_GB2312" w:cs="Times New Roman"/>
          <w:sz w:val="32"/>
          <w:szCs w:val="32"/>
          <w:highlight w:val="none"/>
          <w:lang w:val="en-US" w:eastAsia="zh-CN"/>
        </w:rPr>
        <w:t>未实施建设项目竣工环境保护验收。经核实，该建设项目属于</w:t>
      </w:r>
      <w:r>
        <w:rPr>
          <w:rFonts w:hint="eastAsia" w:ascii="仿宋_GB2312" w:hAnsi="仿宋" w:eastAsia="仿宋_GB2312" w:cs="Times New Roman"/>
          <w:sz w:val="32"/>
          <w:szCs w:val="32"/>
          <w:highlight w:val="none"/>
        </w:rPr>
        <w:t>《建设项目环境影响评价分类管理名录》 (2021版)第三十项“金属制品业 33”类别 67 “金属表面处理及热处理加工”中的“其他（年用非溶剂型低VOCs含量涂料10吨以下的除外）”，应编制环境影响评价报告表。</w:t>
      </w:r>
      <w:r>
        <w:rPr>
          <w:rFonts w:hint="eastAsia" w:ascii="仿宋_GB2312" w:hAnsi="仿宋" w:eastAsia="仿宋_GB2312" w:cs="Times New Roman"/>
          <w:sz w:val="32"/>
          <w:szCs w:val="32"/>
          <w:highlight w:val="none"/>
          <w:lang w:eastAsia="zh-CN"/>
        </w:rPr>
        <w:t>其配套建设的环境保护设施经验收合格，方可投入生产或者使用</w:t>
      </w:r>
      <w:r>
        <w:rPr>
          <w:rFonts w:hint="eastAsia" w:ascii="仿宋_GB2312" w:hAnsi="仿宋" w:eastAsia="仿宋_GB2312" w:cs="Times New Roman"/>
          <w:sz w:val="32"/>
          <w:szCs w:val="32"/>
          <w:highlight w:val="none"/>
          <w:lang w:val="en-US" w:eastAsia="zh-CN"/>
        </w:rPr>
        <w:t>。你单位存在</w:t>
      </w:r>
      <w:r>
        <w:rPr>
          <w:rFonts w:hint="eastAsia" w:ascii="仿宋_GB2312" w:hAnsi="仿宋" w:eastAsia="仿宋_GB2312" w:cs="Times New Roman"/>
          <w:sz w:val="32"/>
          <w:szCs w:val="32"/>
          <w:highlight w:val="none"/>
        </w:rPr>
        <w:t>需要配套建设的环境保护设施未经验收，建设项目即投入生产或者使用的违法行为。</w:t>
      </w:r>
    </w:p>
    <w:p w14:paraId="46E9A74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4份、现场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；你单位提供的营业执照、法定代表人及厂长身份证、租赁合同、建设项目环境影响报告表部分页、个人账户交易明细、微信转账截图、</w:t>
      </w:r>
      <w:r>
        <w:rPr>
          <w:rFonts w:hint="eastAsia" w:ascii="仿宋_GB2312" w:hAnsi="仿宋" w:eastAsia="仿宋_GB2312" w:cs="Times New Roman"/>
          <w:sz w:val="32"/>
          <w:szCs w:val="32"/>
          <w:highlight w:val="none"/>
          <w:lang w:val="en-US" w:eastAsia="zh-CN"/>
        </w:rPr>
        <w:t>2023年7月至2024年6月水电费缴费通知单、4张江门市佳凯五金喷涂厂销售单</w:t>
      </w:r>
      <w:r>
        <w:rPr>
          <w:rFonts w:hint="eastAsia" w:ascii="仿宋_GB2312" w:hAnsi="仿宋" w:eastAsia="仿宋_GB2312" w:cs="Times New Roman"/>
          <w:sz w:val="32"/>
          <w:szCs w:val="32"/>
          <w:highlight w:val="none"/>
          <w:lang w:eastAsia="zh-CN"/>
        </w:rPr>
        <w:t>的复印件，授权委托书，送达地址确认书等；出租方提供的营业执照、员工身份证的复印件，授权委托书等为证。</w:t>
      </w:r>
    </w:p>
    <w:p w14:paraId="5A2E0AA6">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59824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val="en-US" w:eastAsia="zh-CN"/>
        </w:rPr>
        <w:t>建设项目环境保护管理条例</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第十九条第一款</w:t>
      </w:r>
      <w:r>
        <w:rPr>
          <w:rFonts w:hint="eastAsia" w:ascii="仿宋_GB2312" w:hAnsi="仿宋" w:eastAsia="仿宋_GB2312" w:cs="Times New Roman"/>
          <w:sz w:val="32"/>
          <w:szCs w:val="32"/>
          <w:highlight w:val="none"/>
        </w:rPr>
        <w:t>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2024年8月23日向你单位直接送达了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31万元，并告知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053944F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yellow"/>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2024年8月30日向我局提交《申诉说明》，主要内容如下：</w:t>
      </w:r>
      <w:r>
        <w:rPr>
          <w:rFonts w:hint="eastAsia" w:ascii="仿宋_GB2312" w:hAnsi="仿宋" w:eastAsia="仿宋_GB2312"/>
          <w:color w:val="auto"/>
          <w:sz w:val="32"/>
          <w:szCs w:val="32"/>
          <w:highlight w:val="none"/>
        </w:rPr>
        <w:t>本公司于2022年7月交江海区环保局环评审批，一直等待贵局审批完成通过，出具批复批文。但当时处于疫情期间贵局</w:t>
      </w:r>
      <w:r>
        <w:rPr>
          <w:rFonts w:hint="eastAsia" w:ascii="仿宋_GB2312" w:hAnsi="仿宋" w:eastAsia="仿宋_GB2312"/>
          <w:color w:val="auto"/>
          <w:sz w:val="32"/>
          <w:szCs w:val="32"/>
          <w:highlight w:val="none"/>
          <w:lang w:eastAsia="zh-CN"/>
        </w:rPr>
        <w:t>审批进度较为缓慢，至</w:t>
      </w:r>
      <w:r>
        <w:rPr>
          <w:rFonts w:hint="eastAsia" w:ascii="仿宋_GB2312" w:hAnsi="仿宋" w:eastAsia="仿宋_GB2312"/>
          <w:color w:val="auto"/>
          <w:sz w:val="32"/>
          <w:szCs w:val="32"/>
          <w:highlight w:val="none"/>
          <w:lang w:val="en-US" w:eastAsia="zh-CN"/>
        </w:rPr>
        <w:t>2023年贵局因</w:t>
      </w:r>
      <w:r>
        <w:rPr>
          <w:rFonts w:hint="eastAsia" w:ascii="仿宋_GB2312" w:hAnsi="仿宋" w:eastAsia="仿宋_GB2312"/>
          <w:color w:val="auto"/>
          <w:sz w:val="32"/>
          <w:szCs w:val="32"/>
          <w:highlight w:val="none"/>
        </w:rPr>
        <w:t>新政策以本公司生产规模不大，并不是成品企业退稿。由于这几年市场行情较差，本公司已转让出去并由新公司申报环评，环评资料已写完计划9月5日出资质申报贵局，希望贵局对本公司行政处罚给予解除。</w:t>
      </w:r>
      <w:r>
        <w:rPr>
          <w:rFonts w:hint="eastAsia" w:ascii="仿宋_GB2312" w:hAnsi="仿宋" w:eastAsia="仿宋_GB2312"/>
          <w:color w:val="auto"/>
          <w:sz w:val="32"/>
          <w:szCs w:val="32"/>
          <w:highlight w:val="none"/>
          <w:lang w:val="en-US" w:eastAsia="zh-CN"/>
        </w:rPr>
        <w:t>经复核，现回复意见如下：</w:t>
      </w: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单位陈述：“于2022年7月交</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成品企业退稿。”（1）在你单位项目环评提交后，我局立刻委托江门市环境科学研究所对报告进行技术评估，期间因为报告编制质量问题多次退回修改，属于企业和第三方原因，并非审批进度缓慢。（2）根据《江海产业集聚发展区规划环境影响报告书》，应严格限制专门从事喷涂、喷粉、注塑、挤塑等工序的附加值低的小微型企业，你单位项目位于江海产业集聚发展区，进行专业的表面清洗、喷涂加工，不符合规划环评准入要求，我局据此作退件处理。</w:t>
      </w:r>
      <w:r>
        <w:rPr>
          <w:rFonts w:hint="eastAsia" w:ascii="仿宋_GB2312" w:hAnsi="仿宋" w:eastAsia="仿宋_GB2312"/>
          <w:color w:val="auto"/>
          <w:sz w:val="32"/>
          <w:szCs w:val="32"/>
          <w:highlight w:val="none"/>
          <w:lang w:eastAsia="zh-CN"/>
        </w:rPr>
        <w:t>同时，你单位提交过环评申请的情况无法改变其需要配套建设的环境保护设施未经验收，建设项目即投入生产或者使用的违法事实。</w:t>
      </w: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.你</w:t>
      </w:r>
      <w:r>
        <w:rPr>
          <w:rFonts w:hint="eastAsia" w:ascii="仿宋_GB2312" w:hAnsi="仿宋" w:eastAsia="仿宋_GB2312"/>
          <w:color w:val="auto"/>
          <w:sz w:val="32"/>
          <w:szCs w:val="32"/>
          <w:highlight w:val="none"/>
        </w:rPr>
        <w:t>单位陈述“由于这几年市场行情较差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行政处罚给予解除”。</w:t>
      </w:r>
      <w:r>
        <w:rPr>
          <w:rFonts w:hint="eastAsia" w:ascii="仿宋_GB2312" w:hAnsi="仿宋" w:eastAsia="仿宋_GB2312"/>
          <w:color w:val="auto"/>
          <w:sz w:val="32"/>
          <w:szCs w:val="32"/>
          <w:highlight w:val="none"/>
          <w:lang w:eastAsia="zh-CN"/>
        </w:rPr>
        <w:t>该</w:t>
      </w:r>
      <w:r>
        <w:rPr>
          <w:rFonts w:hint="eastAsia" w:ascii="仿宋_GB2312" w:hAnsi="仿宋" w:eastAsia="仿宋_GB2312"/>
          <w:color w:val="auto"/>
          <w:sz w:val="32"/>
          <w:szCs w:val="32"/>
          <w:highlight w:val="none"/>
        </w:rPr>
        <w:t>情况与</w:t>
      </w:r>
      <w:r>
        <w:rPr>
          <w:rFonts w:hint="eastAsia" w:ascii="仿宋_GB2312" w:hAnsi="仿宋" w:eastAsia="仿宋_GB2312"/>
          <w:color w:val="auto"/>
          <w:sz w:val="32"/>
          <w:szCs w:val="32"/>
          <w:highlight w:val="none"/>
          <w:lang w:eastAsia="zh-CN"/>
        </w:rPr>
        <w:t>你单位</w:t>
      </w:r>
      <w:r>
        <w:rPr>
          <w:rFonts w:hint="eastAsia" w:ascii="仿宋_GB2312" w:hAnsi="仿宋" w:eastAsia="仿宋_GB2312"/>
          <w:color w:val="auto"/>
          <w:sz w:val="32"/>
          <w:szCs w:val="32"/>
          <w:highlight w:val="none"/>
        </w:rPr>
        <w:t>需要配套建设的环境保护设施未经验收，建设项目即投入生产或者使用的违法事实无关。</w:t>
      </w:r>
      <w:r>
        <w:rPr>
          <w:rFonts w:hint="eastAsia" w:ascii="仿宋_GB2312" w:hAnsi="仿宋" w:eastAsia="仿宋_GB2312"/>
          <w:color w:val="auto"/>
          <w:sz w:val="32"/>
          <w:szCs w:val="32"/>
          <w:highlight w:val="none"/>
          <w:lang w:eastAsia="zh-CN"/>
        </w:rPr>
        <w:t>综上所述，我局</w:t>
      </w:r>
      <w:r>
        <w:rPr>
          <w:rFonts w:hint="eastAsia" w:ascii="仿宋_GB2312" w:hAnsi="仿宋" w:eastAsia="仿宋_GB2312"/>
          <w:color w:val="auto"/>
          <w:sz w:val="32"/>
          <w:szCs w:val="32"/>
          <w:highlight w:val="none"/>
          <w:lang w:val="en-US" w:eastAsia="zh-CN"/>
        </w:rPr>
        <w:t>对你单位提出的意见不予采纳。</w:t>
      </w:r>
    </w:p>
    <w:p w14:paraId="7ADEB0B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综合你单位违法行为的事实、性质、情节、社会危害程度和相关证据，根据《建设项目环境保护管理条例》第二十三条第一款，依据《广东省生态环境行政处罚自由裁量权规定》附件1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1.8</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和《江门市实施＜广东省生态环境行政处罚自由裁量权规定＞细则》第五条、第七条第二项裁量标准｛罚款金额</w:t>
      </w:r>
      <w:r>
        <w:rPr>
          <w:rFonts w:hint="eastAsia" w:ascii="仿宋_GB2312" w:hAnsi="仿宋" w:eastAsia="仿宋_GB2312" w:cs="Times New Roman"/>
          <w:sz w:val="32"/>
          <w:szCs w:val="32"/>
          <w:highlight w:val="none"/>
          <w:lang w:val="en-US" w:eastAsia="zh-CN"/>
        </w:rPr>
        <w:t>31万元=初步罚款金额31万元</w:t>
      </w:r>
      <w:r>
        <w:rPr>
          <w:rFonts w:hint="eastAsia" w:ascii="仿宋_GB2312" w:hAnsi="仿宋" w:eastAsia="仿宋_GB2312" w:cs="Times New Roman"/>
          <w:sz w:val="32"/>
          <w:szCs w:val="32"/>
          <w:highlight w:val="none"/>
        </w:rPr>
        <w:t>[（裁量起点</w:t>
      </w:r>
      <w:r>
        <w:rPr>
          <w:rFonts w:hint="eastAsia" w:ascii="仿宋_GB2312" w:hAnsi="仿宋" w:eastAsia="仿宋_GB2312" w:cs="Times New Roman"/>
          <w:sz w:val="32"/>
          <w:szCs w:val="32"/>
          <w:highlight w:val="none"/>
          <w:lang w:eastAsia="zh-CN"/>
        </w:rPr>
        <w:t>对单位限期内改正</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
        </w:rPr>
        <w:t>违法行为持续时间12个月以上11%</w:t>
      </w:r>
      <w:r>
        <w:rPr>
          <w:rFonts w:hint="eastAsia" w:ascii="仿宋_GB2312" w:hAnsi="仿宋" w:eastAsia="仿宋_GB2312" w:cs="Times New Roman"/>
          <w:sz w:val="32"/>
          <w:szCs w:val="32"/>
          <w:highlight w:val="none"/>
          <w:lang w:eastAsia="zh-CN" w:bidi="ar-SA"/>
        </w:rPr>
        <w:t>）×100万元]+[初步罚款金额</w:t>
      </w:r>
      <w:r>
        <w:rPr>
          <w:rFonts w:hint="eastAsia" w:ascii="仿宋_GB2312" w:hAnsi="仿宋" w:eastAsia="仿宋_GB2312" w:cs="Times New Roman"/>
          <w:sz w:val="32"/>
          <w:szCs w:val="32"/>
          <w:highlight w:val="none"/>
          <w:lang w:val="en-US" w:eastAsia="zh-CN" w:bidi="ar-SA"/>
        </w:rPr>
        <w:t>31</w:t>
      </w:r>
      <w:r>
        <w:rPr>
          <w:rFonts w:hint="eastAsia" w:ascii="仿宋_GB2312" w:hAnsi="仿宋" w:eastAsia="仿宋_GB2312" w:cs="Times New Roman"/>
          <w:sz w:val="32"/>
          <w:szCs w:val="32"/>
          <w:highlight w:val="none"/>
          <w:lang w:eastAsia="zh-CN" w:bidi="ar-SA"/>
        </w:rPr>
        <w:t>万元×5%×调整</w:t>
      </w:r>
      <w:r>
        <w:rPr>
          <w:rFonts w:hint="eastAsia" w:ascii="仿宋_GB2312" w:hAnsi="仿宋" w:eastAsia="仿宋_GB2312" w:cs="Times New Roman"/>
          <w:sz w:val="32"/>
          <w:szCs w:val="32"/>
          <w:highlight w:val="none"/>
        </w:rPr>
        <w:t>系数总和（</w:t>
      </w:r>
      <w:r>
        <w:rPr>
          <w:rFonts w:hint="eastAsia" w:ascii="仿宋_GB2312" w:hAnsi="仿宋" w:eastAsia="仿宋_GB2312" w:cs="Times New Roman"/>
          <w:sz w:val="32"/>
          <w:szCs w:val="32"/>
          <w:highlight w:val="none"/>
          <w:lang w:val="en-US" w:eastAsia="zh-CN"/>
        </w:rPr>
        <w:t>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积极配合调查取证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31</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叁拾壹万元</w:t>
      </w:r>
      <w:r>
        <w:rPr>
          <w:rFonts w:hint="eastAsia" w:ascii="仿宋_GB2312" w:hAnsi="仿宋" w:eastAsia="仿宋_GB2312" w:cs="Times New Roman"/>
          <w:b/>
          <w:bCs/>
          <w:sz w:val="32"/>
          <w:szCs w:val="32"/>
          <w:highlight w:val="none"/>
          <w:lang w:eastAsia="zh-CN"/>
        </w:rPr>
        <w:t>）整的行政处罚。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3B727B4"/>
    <w:rsid w:val="040A4E45"/>
    <w:rsid w:val="04A973D8"/>
    <w:rsid w:val="05616B78"/>
    <w:rsid w:val="06CD5EE0"/>
    <w:rsid w:val="08392955"/>
    <w:rsid w:val="08B04283"/>
    <w:rsid w:val="09D92046"/>
    <w:rsid w:val="09E22693"/>
    <w:rsid w:val="0A54249D"/>
    <w:rsid w:val="0AA90837"/>
    <w:rsid w:val="0AAB579B"/>
    <w:rsid w:val="0B055BA6"/>
    <w:rsid w:val="0BB35B7A"/>
    <w:rsid w:val="0C1B6763"/>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4A3283"/>
    <w:rsid w:val="27667709"/>
    <w:rsid w:val="27AB23B9"/>
    <w:rsid w:val="28790144"/>
    <w:rsid w:val="291A3E92"/>
    <w:rsid w:val="296F10A7"/>
    <w:rsid w:val="29CD0CE3"/>
    <w:rsid w:val="29D17720"/>
    <w:rsid w:val="2A0947BF"/>
    <w:rsid w:val="2A20689E"/>
    <w:rsid w:val="2D7B45CB"/>
    <w:rsid w:val="2D8B152F"/>
    <w:rsid w:val="2E405189"/>
    <w:rsid w:val="2EEB0796"/>
    <w:rsid w:val="30745A25"/>
    <w:rsid w:val="31AC6F2B"/>
    <w:rsid w:val="34B239BD"/>
    <w:rsid w:val="35847294"/>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5DA5851"/>
    <w:rsid w:val="575C6F8F"/>
    <w:rsid w:val="58C97806"/>
    <w:rsid w:val="5AB6185D"/>
    <w:rsid w:val="5ACA7114"/>
    <w:rsid w:val="5B156354"/>
    <w:rsid w:val="5B4708C4"/>
    <w:rsid w:val="5CAC6E0C"/>
    <w:rsid w:val="5D0C6103"/>
    <w:rsid w:val="5D8F6D1E"/>
    <w:rsid w:val="5E001C89"/>
    <w:rsid w:val="5EF66DBA"/>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96B5434"/>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346876"/>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2199</Words>
  <Characters>2313</Characters>
  <Lines>10</Lines>
  <Paragraphs>2</Paragraphs>
  <TotalTime>22</TotalTime>
  <ScaleCrop>false</ScaleCrop>
  <LinksUpToDate>false</LinksUpToDate>
  <CharactersWithSpaces>2429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2025-12-05T03:48:56Z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