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63469C">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10AC99B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35F2372">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42C6B43E">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51389AEE">
      <w:pPr>
        <w:keepNext w:val="0"/>
        <w:keepLines w:val="0"/>
        <w:pageBreakBefore w:val="0"/>
        <w:widowControl w:val="0"/>
        <w:kinsoku/>
        <w:wordWrap/>
        <w:overflowPunct/>
        <w:topLinePunct w:val="0"/>
        <w:autoSpaceDE/>
        <w:autoSpaceDN/>
        <w:bidi w:val="0"/>
        <w:spacing w:line="52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16</w:t>
      </w:r>
      <w:r>
        <w:rPr>
          <w:rFonts w:hint="eastAsia" w:ascii="仿宋_GB2312" w:hAnsi="仿宋" w:eastAsia="仿宋_GB2312"/>
          <w:color w:val="000000"/>
          <w:sz w:val="32"/>
          <w:szCs w:val="32"/>
          <w:highlight w:val="none"/>
        </w:rPr>
        <w:t>号</w:t>
      </w:r>
    </w:p>
    <w:p w14:paraId="7A891FD6">
      <w:pPr>
        <w:keepNext w:val="0"/>
        <w:keepLines w:val="0"/>
        <w:pageBreakBefore w:val="0"/>
        <w:widowControl w:val="0"/>
        <w:kinsoku/>
        <w:wordWrap/>
        <w:overflowPunct/>
        <w:topLinePunct w:val="0"/>
        <w:autoSpaceDE/>
        <w:autoSpaceDN/>
        <w:bidi w:val="0"/>
        <w:adjustRightInd w:val="0"/>
        <w:snapToGrid w:val="0"/>
        <w:spacing w:line="520" w:lineRule="exact"/>
        <w:jc w:val="left"/>
        <w:textAlignment w:val="auto"/>
        <w:rPr>
          <w:rFonts w:ascii="仿宋" w:hAnsi="仿宋" w:eastAsia="仿宋"/>
          <w:b/>
          <w:sz w:val="18"/>
          <w:szCs w:val="18"/>
          <w:highlight w:val="none"/>
        </w:rPr>
      </w:pPr>
    </w:p>
    <w:p w14:paraId="1054F594">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u w:val="none"/>
          <w:lang w:eastAsia="zh-CN"/>
        </w:rPr>
        <w:t>江门市彩瑞五金制品有限公司</w:t>
      </w:r>
    </w:p>
    <w:p w14:paraId="07158C14">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法定代表人</w:t>
      </w:r>
      <w:r>
        <w:rPr>
          <w:rFonts w:hint="eastAsia" w:ascii="仿宋_GB2312" w:hAnsi="仿宋" w:eastAsia="仿宋_GB2312"/>
          <w:sz w:val="32"/>
          <w:szCs w:val="32"/>
          <w:highlight w:val="none"/>
        </w:rPr>
        <w:t>：</w:t>
      </w:r>
      <w:r>
        <w:rPr>
          <w:rFonts w:hint="eastAsia" w:ascii="仿宋_GB2312" w:hAnsi="仿宋" w:eastAsia="仿宋_GB2312" w:cs="Times New Roman"/>
          <w:sz w:val="32"/>
          <w:szCs w:val="32"/>
          <w:highlight w:val="none"/>
          <w:u w:val="none"/>
          <w:lang w:eastAsia="zh-CN"/>
        </w:rPr>
        <w:t>彭维孝</w:t>
      </w:r>
    </w:p>
    <w:p w14:paraId="7C2104AB">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统一社会信用代码：</w:t>
      </w:r>
      <w:r>
        <w:rPr>
          <w:rFonts w:hint="eastAsia" w:ascii="仿宋_GB2312" w:hAnsi="仿宋" w:eastAsia="仿宋_GB2312" w:cs="Times New Roman"/>
          <w:sz w:val="32"/>
          <w:szCs w:val="32"/>
          <w:highlight w:val="none"/>
          <w:lang w:val="en-US" w:eastAsia="zh-CN"/>
        </w:rPr>
        <w:t>9</w:t>
      </w:r>
      <w:r>
        <w:rPr>
          <w:rFonts w:hint="eastAsia" w:ascii="仿宋_GB2312" w:hAnsi="仿宋" w:eastAsia="仿宋_GB2312" w:cs="Times New Roman"/>
          <w:sz w:val="32"/>
          <w:szCs w:val="32"/>
          <w:highlight w:val="none"/>
          <w:u w:val="none"/>
          <w:lang w:eastAsia="zh-CN"/>
        </w:rPr>
        <w:t>1440704MA54EW863W</w:t>
      </w:r>
    </w:p>
    <w:p w14:paraId="1031060B">
      <w:pPr>
        <w:keepNext w:val="0"/>
        <w:keepLines w:val="0"/>
        <w:pageBreakBefore w:val="0"/>
        <w:widowControl w:val="0"/>
        <w:kinsoku/>
        <w:wordWrap/>
        <w:overflowPunct/>
        <w:topLinePunct w:val="0"/>
        <w:autoSpaceDE/>
        <w:autoSpaceDN/>
        <w:bidi w:val="0"/>
        <w:spacing w:line="560" w:lineRule="exact"/>
        <w:ind w:left="960" w:hanging="960" w:hangingChars="300"/>
        <w:textAlignment w:val="auto"/>
        <w:rPr>
          <w:rFonts w:hint="eastAsia" w:ascii="仿宋_GB2312" w:hAnsi="仿宋" w:eastAsia="仿宋_GB2312"/>
          <w:sz w:val="32"/>
          <w:szCs w:val="32"/>
          <w:highlight w:val="none"/>
          <w:lang w:val="en-US" w:eastAsia="zh-CN"/>
        </w:rPr>
      </w:pPr>
      <w:r>
        <w:rPr>
          <w:rFonts w:hint="eastAsia" w:ascii="仿宋_GB2312" w:hAnsi="仿宋" w:eastAsia="仿宋_GB2312"/>
          <w:sz w:val="32"/>
          <w:szCs w:val="32"/>
          <w:highlight w:val="none"/>
          <w:lang w:val="en-US" w:eastAsia="zh-CN"/>
        </w:rPr>
        <w:t>住所：</w:t>
      </w:r>
      <w:r>
        <w:rPr>
          <w:rFonts w:hint="eastAsia" w:ascii="仿宋_GB2312" w:hAnsi="仿宋" w:eastAsia="仿宋_GB2312" w:cs="Times New Roman"/>
          <w:sz w:val="32"/>
          <w:szCs w:val="32"/>
          <w:highlight w:val="none"/>
          <w:u w:val="none"/>
          <w:lang w:eastAsia="zh-CN"/>
        </w:rPr>
        <w:t>江门市江海区高新区6号地前进横海南工业区4#厂房向北自编A2#厂房</w:t>
      </w:r>
    </w:p>
    <w:p w14:paraId="20A92E52">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34F3E470">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default" w:ascii="仿宋_GB2312" w:hAnsi="仿宋" w:eastAsia="仿宋_GB2312" w:cs="Times New Roman"/>
          <w:sz w:val="21"/>
          <w:szCs w:val="21"/>
          <w:highlight w:val="none"/>
          <w:lang w:val="en-US" w:eastAsia="zh-CN"/>
        </w:rPr>
      </w:pPr>
      <w:r>
        <w:rPr>
          <w:rFonts w:hint="eastAsia" w:ascii="仿宋_GB2312" w:hAnsi="仿宋" w:eastAsia="仿宋_GB2312" w:cs="Times New Roman"/>
          <w:sz w:val="32"/>
          <w:szCs w:val="32"/>
          <w:highlight w:val="none"/>
          <w:lang w:val="en-US" w:eastAsia="zh-CN"/>
        </w:rPr>
        <w:t>2024年3月21日，我局执法人员对你单位进行检查，你单位正在生产。经调查，你单位的建设项目（主要生产设备：3条自动除油喷粉线、2条手动除油线、3套固化炉）于2024年2月开始投产至今。经核实，该建设项目属于《建设项目环境影响评价分类管理名录》（2021年版）</w:t>
      </w:r>
      <w:r>
        <w:rPr>
          <w:rFonts w:hint="eastAsia" w:ascii="仿宋_GB2312" w:hAnsi="仿宋" w:eastAsia="仿宋_GB2312" w:cs="Times New Roman"/>
          <w:sz w:val="32"/>
          <w:szCs w:val="32"/>
          <w:highlight w:val="none"/>
          <w:u w:val="none"/>
          <w:lang w:val="en-US" w:eastAsia="zh-CN"/>
        </w:rPr>
        <w:t>第三十五项“电气机械和器材制造业38”中“ 77照明器具制造 387”的“其他（仅分割、焊接、组装的除外；年用非溶剂型低VOCs含量涂料10吨以下的除外）”类别，</w:t>
      </w:r>
      <w:r>
        <w:rPr>
          <w:rFonts w:hint="eastAsia" w:ascii="仿宋_GB2312" w:hAnsi="仿宋" w:eastAsia="仿宋_GB2312" w:cs="Times New Roman"/>
          <w:sz w:val="32"/>
          <w:szCs w:val="32"/>
          <w:highlight w:val="none"/>
          <w:lang w:val="en-US" w:eastAsia="zh-CN"/>
        </w:rPr>
        <w:t>应当编制环境影响报告表。</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存在建设项目需要配套建设的环境保护设施未经验收，建设项目即投入生产或者使用的违法行为。</w:t>
      </w:r>
    </w:p>
    <w:p w14:paraId="239490D3">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_GB2312" w:hAnsi="仿宋" w:eastAsia="仿宋_GB2312" w:cs="Times New Roman"/>
          <w:sz w:val="32"/>
          <w:szCs w:val="32"/>
          <w:highlight w:val="yellow"/>
        </w:rPr>
      </w:pPr>
      <w:r>
        <w:rPr>
          <w:rFonts w:hint="eastAsia" w:ascii="仿宋_GB2312" w:hAnsi="仿宋" w:eastAsia="仿宋_GB2312" w:cs="Times New Roman"/>
          <w:sz w:val="32"/>
          <w:szCs w:val="32"/>
          <w:highlight w:val="none"/>
        </w:rPr>
        <w:t>上述事实有江门市生态环境局现场检查（勘察）笔录、调查询问笔录</w:t>
      </w:r>
      <w:r>
        <w:rPr>
          <w:rFonts w:hint="eastAsia" w:ascii="仿宋_GB2312" w:hAnsi="仿宋" w:eastAsia="仿宋_GB2312" w:cs="Times New Roman"/>
          <w:sz w:val="32"/>
          <w:szCs w:val="32"/>
          <w:highlight w:val="none"/>
          <w:lang w:val="en-US" w:eastAsia="zh-CN"/>
        </w:rPr>
        <w:t>2份、</w:t>
      </w:r>
      <w:r>
        <w:rPr>
          <w:rFonts w:hint="eastAsia" w:ascii="仿宋_GB2312" w:hAnsi="仿宋" w:eastAsia="仿宋_GB2312" w:cs="Times New Roman"/>
          <w:sz w:val="32"/>
          <w:szCs w:val="32"/>
          <w:highlight w:val="none"/>
        </w:rPr>
        <w:t>现场照片（图片、影像资料）证据等</w:t>
      </w:r>
      <w:r>
        <w:rPr>
          <w:rFonts w:hint="eastAsia" w:ascii="仿宋_GB2312" w:hAnsi="仿宋" w:eastAsia="仿宋_GB2312" w:cs="Times New Roman"/>
          <w:sz w:val="32"/>
          <w:szCs w:val="32"/>
          <w:highlight w:val="none"/>
          <w:lang w:eastAsia="zh-CN"/>
        </w:rPr>
        <w:t>；你单位提供的营业执照、法定代表人身份证、建设项目环境影响报告表部分页的复印件，送达地址确认书等；江门市造极五金制造有限公司提供的营业执照及员工刘雄的身份证复印件、租赁合同、江门市彩瑞五金制品有限公司</w:t>
      </w:r>
      <w:r>
        <w:rPr>
          <w:rFonts w:hint="eastAsia" w:ascii="仿宋_GB2312" w:hAnsi="仿宋" w:eastAsia="仿宋_GB2312" w:cs="Times New Roman"/>
          <w:sz w:val="32"/>
          <w:szCs w:val="32"/>
          <w:highlight w:val="none"/>
          <w:lang w:val="en-US" w:eastAsia="zh-CN"/>
        </w:rPr>
        <w:t>2023年12月至2024年3月的水电费收据、</w:t>
      </w:r>
      <w:r>
        <w:rPr>
          <w:rFonts w:hint="eastAsia" w:ascii="仿宋_GB2312" w:hAnsi="仿宋" w:eastAsia="仿宋_GB2312" w:cs="Times New Roman"/>
          <w:sz w:val="32"/>
          <w:szCs w:val="32"/>
          <w:highlight w:val="none"/>
          <w:lang w:eastAsia="zh-CN"/>
        </w:rPr>
        <w:t>授权委托书等</w:t>
      </w:r>
      <w:r>
        <w:rPr>
          <w:rFonts w:hint="eastAsia" w:ascii="仿宋_GB2312" w:hAnsi="仿宋" w:eastAsia="仿宋_GB2312" w:cs="Times New Roman"/>
          <w:sz w:val="32"/>
          <w:szCs w:val="32"/>
          <w:highlight w:val="none"/>
        </w:rPr>
        <w:t>为证。</w:t>
      </w:r>
    </w:p>
    <w:p w14:paraId="3BD4002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73E9F82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sz w:val="32"/>
          <w:szCs w:val="32"/>
          <w:highlight w:val="none"/>
          <w:lang w:eastAsia="zh-CN"/>
        </w:rPr>
        <w:t>你单位的上述行为，</w:t>
      </w:r>
      <w:r>
        <w:rPr>
          <w:rFonts w:hint="eastAsia" w:ascii="仿宋_GB2312" w:hAnsi="仿宋" w:eastAsia="仿宋_GB2312" w:cs="Times New Roman"/>
          <w:sz w:val="32"/>
          <w:szCs w:val="32"/>
          <w:highlight w:val="none"/>
        </w:rPr>
        <w:t>违</w:t>
      </w:r>
      <w:r>
        <w:rPr>
          <w:rFonts w:hint="eastAsia" w:ascii="仿宋_GB2312" w:hAnsi="仿宋" w:eastAsia="仿宋_GB2312" w:cs="Times New Roman"/>
          <w:sz w:val="32"/>
          <w:szCs w:val="32"/>
          <w:highlight w:val="none"/>
          <w:lang w:eastAsia="zh-CN"/>
        </w:rPr>
        <w:t>反了</w:t>
      </w:r>
      <w:r>
        <w:rPr>
          <w:rFonts w:hint="eastAsia" w:ascii="仿宋_GB2312" w:hAnsi="仿宋" w:eastAsia="仿宋_GB2312" w:cs="Times New Roman"/>
          <w:sz w:val="32"/>
          <w:szCs w:val="32"/>
          <w:highlight w:val="none"/>
          <w:lang w:val="en-US" w:eastAsia="zh-CN"/>
        </w:rPr>
        <w:t>《建设项目环境保护管理条例》第十五条和第十九条第一款</w:t>
      </w:r>
      <w:r>
        <w:rPr>
          <w:rFonts w:hint="eastAsia" w:ascii="仿宋_GB2312" w:hAnsi="仿宋" w:eastAsia="仿宋_GB2312" w:cs="Times New Roman"/>
          <w:sz w:val="32"/>
          <w:szCs w:val="32"/>
          <w:highlight w:val="none"/>
          <w:lang w:eastAsia="zh-CN"/>
        </w:rPr>
        <w:t>的规定。我局于</w:t>
      </w:r>
      <w:r>
        <w:rPr>
          <w:rFonts w:hint="eastAsia" w:ascii="仿宋_GB2312" w:hAnsi="仿宋" w:eastAsia="仿宋_GB2312" w:cs="Times New Roman"/>
          <w:sz w:val="32"/>
          <w:szCs w:val="32"/>
          <w:highlight w:val="none"/>
          <w:lang w:val="en-US" w:eastAsia="zh-CN"/>
        </w:rPr>
        <w:t>2024年4月23日向你单位送达了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w:t>
      </w:r>
      <w:r>
        <w:rPr>
          <w:rFonts w:hint="eastAsia" w:ascii="仿宋_GB2312" w:hAnsi="仿宋" w:eastAsia="仿宋_GB2312"/>
          <w:sz w:val="32"/>
          <w:szCs w:val="32"/>
          <w:highlight w:val="none"/>
          <w:lang w:eastAsia="zh-CN"/>
        </w:rPr>
        <w:t>听</w:t>
      </w:r>
      <w:r>
        <w:rPr>
          <w:rFonts w:hint="eastAsia" w:ascii="仿宋_GB2312" w:hAnsi="仿宋" w:eastAsia="仿宋_GB2312"/>
          <w:sz w:val="32"/>
          <w:szCs w:val="32"/>
          <w:highlight w:val="none"/>
        </w:rPr>
        <w:t>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20万元，并告知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和要求听证。你单位未在法定期限内向我局提交陈述、申辩意见和申请听证。</w:t>
      </w:r>
    </w:p>
    <w:p w14:paraId="4A4B813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建设项目环境保护管理条例》第二十三条第一款，依据《广东省生态环境行政处罚自由裁量权规定》附件1§1.8和《江门市实施＜广东省生态环境行政处罚自由裁量权规定＞细则》第五条、第七条第二项裁量标准｛罚款金额</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万元=初步罚款金额</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万元[（裁量起点对单位限期内改正20%）×100万元]+初步罚款金额</w:t>
      </w:r>
      <w:r>
        <w:rPr>
          <w:rFonts w:hint="eastAsia" w:ascii="仿宋_GB2312" w:hAnsi="仿宋" w:eastAsia="仿宋_GB2312" w:cs="Times New Roman"/>
          <w:sz w:val="32"/>
          <w:szCs w:val="32"/>
          <w:highlight w:val="none"/>
          <w:lang w:val="en-US" w:eastAsia="zh-CN"/>
        </w:rPr>
        <w:t>20</w:t>
      </w:r>
      <w:r>
        <w:rPr>
          <w:rFonts w:hint="eastAsia" w:ascii="仿宋_GB2312" w:hAnsi="仿宋" w:eastAsia="仿宋_GB2312" w:cs="Times New Roman"/>
          <w:sz w:val="32"/>
          <w:szCs w:val="32"/>
          <w:highlight w:val="none"/>
          <w:lang w:eastAsia="zh-CN"/>
        </w:rPr>
        <w:t>万元×5%×调整系数总和0[积极配合调查取证、近二年同类违法行为情况的情节已经在权重裁量中体现，则不再重复计算该情节]｝的规定，</w:t>
      </w:r>
      <w:r>
        <w:rPr>
          <w:rFonts w:hint="eastAsia" w:ascii="仿宋_GB2312" w:hAnsi="仿宋" w:eastAsia="仿宋_GB2312" w:cs="Times New Roman"/>
          <w:b/>
          <w:bCs/>
          <w:sz w:val="32"/>
          <w:szCs w:val="32"/>
          <w:highlight w:val="none"/>
          <w:lang w:eastAsia="zh-CN"/>
        </w:rPr>
        <w:t>我局决定对你单位作出罚款人民币</w:t>
      </w:r>
      <w:r>
        <w:rPr>
          <w:rFonts w:hint="eastAsia" w:ascii="仿宋_GB2312" w:hAnsi="仿宋" w:eastAsia="仿宋_GB2312" w:cs="Times New Roman"/>
          <w:b/>
          <w:bCs/>
          <w:sz w:val="32"/>
          <w:szCs w:val="32"/>
          <w:highlight w:val="none"/>
          <w:lang w:val="en-US" w:eastAsia="zh-CN"/>
        </w:rPr>
        <w:t>20</w:t>
      </w:r>
      <w:r>
        <w:rPr>
          <w:rFonts w:hint="eastAsia" w:ascii="仿宋_GB2312" w:hAnsi="仿宋" w:eastAsia="仿宋_GB2312" w:cs="Times New Roman"/>
          <w:b/>
          <w:bCs/>
          <w:sz w:val="32"/>
          <w:szCs w:val="32"/>
          <w:highlight w:val="none"/>
          <w:lang w:eastAsia="zh-CN"/>
        </w:rPr>
        <w:t>万元（大写：贰拾万元）整的行政处罚。</w:t>
      </w:r>
    </w:p>
    <w:p w14:paraId="4CA1D882">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4A3171D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1007</w:t>
      </w:r>
      <w:r>
        <w:rPr>
          <w:rFonts w:hint="eastAsia" w:ascii="仿宋_GB2312" w:hAnsi="仿宋" w:eastAsia="仿宋_GB2312"/>
          <w:color w:val="000000"/>
          <w:sz w:val="32"/>
          <w:szCs w:val="32"/>
          <w:highlight w:val="none"/>
        </w:rPr>
        <w:t>）</w:t>
      </w:r>
    </w:p>
    <w:p w14:paraId="7260263D">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242ABAB7">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06D0187D">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032361D0">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p>
    <w:p w14:paraId="24E58F07">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50A44F7C">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5</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6</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CC5F">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F8FB4C">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FF8FB4C">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961225"/>
    <w:rsid w:val="23B67A29"/>
    <w:rsid w:val="23D85380"/>
    <w:rsid w:val="2593324A"/>
    <w:rsid w:val="27667709"/>
    <w:rsid w:val="27AB23B9"/>
    <w:rsid w:val="291A3E92"/>
    <w:rsid w:val="296F10A7"/>
    <w:rsid w:val="29CD0CE3"/>
    <w:rsid w:val="29D17720"/>
    <w:rsid w:val="2A0947BF"/>
    <w:rsid w:val="2A20689E"/>
    <w:rsid w:val="2D7B45CB"/>
    <w:rsid w:val="2D8B152F"/>
    <w:rsid w:val="2E405189"/>
    <w:rsid w:val="2EEB0796"/>
    <w:rsid w:val="2FF745EB"/>
    <w:rsid w:val="30745A25"/>
    <w:rsid w:val="31AC6F2B"/>
    <w:rsid w:val="35F14678"/>
    <w:rsid w:val="35FA5008"/>
    <w:rsid w:val="363F2197"/>
    <w:rsid w:val="364D2448"/>
    <w:rsid w:val="36AC3612"/>
    <w:rsid w:val="36DA769B"/>
    <w:rsid w:val="37262A72"/>
    <w:rsid w:val="375D05A0"/>
    <w:rsid w:val="378E4501"/>
    <w:rsid w:val="37E607C5"/>
    <w:rsid w:val="38033706"/>
    <w:rsid w:val="38AA369B"/>
    <w:rsid w:val="39F41558"/>
    <w:rsid w:val="3AF311D3"/>
    <w:rsid w:val="3B8A37F6"/>
    <w:rsid w:val="3C281633"/>
    <w:rsid w:val="3C2D2B9F"/>
    <w:rsid w:val="3C376DF3"/>
    <w:rsid w:val="3C9E7DD5"/>
    <w:rsid w:val="3D2221BD"/>
    <w:rsid w:val="3D5F7975"/>
    <w:rsid w:val="3E123949"/>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4F948FA"/>
    <w:rsid w:val="45706D26"/>
    <w:rsid w:val="46116B69"/>
    <w:rsid w:val="46122081"/>
    <w:rsid w:val="46C44E5D"/>
    <w:rsid w:val="474A45BD"/>
    <w:rsid w:val="47753FE8"/>
    <w:rsid w:val="48081F25"/>
    <w:rsid w:val="48396BCF"/>
    <w:rsid w:val="48595198"/>
    <w:rsid w:val="48D11AC4"/>
    <w:rsid w:val="48DC13FA"/>
    <w:rsid w:val="49693B09"/>
    <w:rsid w:val="4A5A3968"/>
    <w:rsid w:val="4B455C85"/>
    <w:rsid w:val="4B8D5369"/>
    <w:rsid w:val="4C4C79B8"/>
    <w:rsid w:val="4C827694"/>
    <w:rsid w:val="4C9D21EE"/>
    <w:rsid w:val="4CD23EC9"/>
    <w:rsid w:val="4CD40081"/>
    <w:rsid w:val="4CF406C0"/>
    <w:rsid w:val="4D2A27EC"/>
    <w:rsid w:val="4DB57DDF"/>
    <w:rsid w:val="4DC87477"/>
    <w:rsid w:val="4E4463D1"/>
    <w:rsid w:val="4F122A03"/>
    <w:rsid w:val="4FB60134"/>
    <w:rsid w:val="4FFE6D78"/>
    <w:rsid w:val="50987A5C"/>
    <w:rsid w:val="50BE7D72"/>
    <w:rsid w:val="50E029F0"/>
    <w:rsid w:val="51080284"/>
    <w:rsid w:val="511750A2"/>
    <w:rsid w:val="519A433C"/>
    <w:rsid w:val="529E2848"/>
    <w:rsid w:val="52B23A5C"/>
    <w:rsid w:val="53496880"/>
    <w:rsid w:val="538C1DC7"/>
    <w:rsid w:val="53AC3999"/>
    <w:rsid w:val="53F74866"/>
    <w:rsid w:val="544A14CF"/>
    <w:rsid w:val="54CE705F"/>
    <w:rsid w:val="552D4350"/>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A0171F6"/>
    <w:rsid w:val="6A6A4F3E"/>
    <w:rsid w:val="6B6C452B"/>
    <w:rsid w:val="6B866AF7"/>
    <w:rsid w:val="6B8B1BAD"/>
    <w:rsid w:val="6C88775B"/>
    <w:rsid w:val="6E2B57CF"/>
    <w:rsid w:val="6E3F53B1"/>
    <w:rsid w:val="6FCB486D"/>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D732ED"/>
    <w:rsid w:val="77863E8D"/>
    <w:rsid w:val="778925D9"/>
    <w:rsid w:val="779506FC"/>
    <w:rsid w:val="795500AB"/>
    <w:rsid w:val="79BF1A6D"/>
    <w:rsid w:val="7AFA3BD3"/>
    <w:rsid w:val="7CD635D7"/>
    <w:rsid w:val="7D99FF67"/>
    <w:rsid w:val="7DF726FE"/>
    <w:rsid w:val="7E4E5D17"/>
    <w:rsid w:val="7E5E3C09"/>
    <w:rsid w:val="7E7E4DAD"/>
    <w:rsid w:val="7F3B6541"/>
    <w:rsid w:val="C47BB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qFormat/>
    <w:uiPriority w:val="0"/>
    <w:rPr>
      <w:sz w:val="18"/>
      <w:szCs w:val="18"/>
    </w:rPr>
  </w:style>
  <w:style w:type="paragraph" w:styleId="3">
    <w:name w:val="footer"/>
    <w:basedOn w:val="1"/>
    <w:link w:val="8"/>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脚 Char"/>
    <w:link w:val="3"/>
    <w:autoRedefine/>
    <w:qFormat/>
    <w:uiPriority w:val="99"/>
    <w:rPr>
      <w:sz w:val="18"/>
      <w:szCs w:val="18"/>
    </w:rPr>
  </w:style>
  <w:style w:type="character" w:customStyle="1" w:styleId="9">
    <w:name w:val="页眉 Char"/>
    <w:link w:val="4"/>
    <w:autoRedefine/>
    <w:semiHidden/>
    <w:qFormat/>
    <w:uiPriority w:val="99"/>
    <w:rPr>
      <w:sz w:val="18"/>
      <w:szCs w:val="18"/>
    </w:rPr>
  </w:style>
  <w:style w:type="character" w:customStyle="1" w:styleId="10">
    <w:name w:val="批注框文本 Char"/>
    <w:basedOn w:val="7"/>
    <w:link w:val="2"/>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3</Pages>
  <Words>1519</Words>
  <Characters>1609</Characters>
  <Lines>10</Lines>
  <Paragraphs>2</Paragraphs>
  <TotalTime>29</TotalTime>
  <ScaleCrop>false</ScaleCrop>
  <LinksUpToDate>false</LinksUpToDate>
  <CharactersWithSpaces>1723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2022-06-17T17:50:00Z</dcterms:created>
  <dc:creator>Administrator</dc:creator>
  <cp:lastModifiedBy>区凤婷2</cp:lastModifiedBy>
  <cp:lastPrinted>2024-01-18T07:39:00Z</cp:lastPrinted>
  <dcterms:modified xsi:type="dcterms:W3CDTF">2025-12-05T03:38:38Z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