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B0C61">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3B0B255">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A28BE7B">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6BC70BE">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13424198">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24</w:t>
      </w:r>
      <w:r>
        <w:rPr>
          <w:rFonts w:hint="eastAsia" w:ascii="仿宋_GB2312" w:hAnsi="仿宋" w:eastAsia="仿宋_GB2312"/>
          <w:color w:val="000000"/>
          <w:sz w:val="32"/>
          <w:szCs w:val="32"/>
          <w:highlight w:val="none"/>
        </w:rPr>
        <w:t>号</w:t>
      </w:r>
    </w:p>
    <w:p w14:paraId="3AE2FFE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13F3D066">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江门市江海区振宏五金制品有限公司</w:t>
      </w:r>
    </w:p>
    <w:p w14:paraId="02D190A6">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val="en-US" w:eastAsia="zh-CN" w:bidi="ar-SA"/>
        </w:rPr>
        <w:t>周宏</w:t>
      </w:r>
    </w:p>
    <w:p w14:paraId="14503C0F">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91440704MA536HF46U</w:t>
      </w:r>
    </w:p>
    <w:p w14:paraId="034B71E0">
      <w:pPr>
        <w:keepNext w:val="0"/>
        <w:keepLines w:val="0"/>
        <w:pageBreakBefore w:val="0"/>
        <w:widowControl w:val="0"/>
        <w:kinsoku/>
        <w:wordWrap/>
        <w:overflowPunct/>
        <w:topLinePunct w:val="0"/>
        <w:autoSpaceDE/>
        <w:autoSpaceDN/>
        <w:bidi w:val="0"/>
        <w:spacing w:line="560" w:lineRule="exact"/>
        <w:ind w:left="0" w:firstLine="0" w:firstLineChars="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住所：</w:t>
      </w:r>
      <w:r>
        <w:rPr>
          <w:rFonts w:hint="eastAsia" w:ascii="仿宋_GB2312" w:hAnsi="仿宋" w:eastAsia="仿宋_GB2312" w:cs="Times New Roman"/>
          <w:sz w:val="32"/>
          <w:szCs w:val="32"/>
          <w:highlight w:val="none"/>
          <w:lang w:eastAsia="zh-CN" w:bidi="ar-SA"/>
        </w:rPr>
        <w:t>江门市江海区高新区</w:t>
      </w:r>
      <w:r>
        <w:rPr>
          <w:rFonts w:hint="eastAsia" w:ascii="仿宋_GB2312" w:hAnsi="仿宋" w:eastAsia="仿宋_GB2312" w:cs="Times New Roman"/>
          <w:sz w:val="32"/>
          <w:szCs w:val="32"/>
          <w:highlight w:val="none"/>
          <w:lang w:val="en-US" w:eastAsia="zh-CN" w:bidi="ar-SA"/>
        </w:rPr>
        <w:t>6号地前进横海南工业区6号之二厂房（信息申报制）</w:t>
      </w:r>
    </w:p>
    <w:p w14:paraId="3501A5BE">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0EFECD2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yellow"/>
          <w:lang w:val="en-US" w:eastAsia="zh-CN"/>
        </w:rPr>
      </w:pPr>
      <w:r>
        <w:rPr>
          <w:rFonts w:hint="eastAsia" w:ascii="仿宋_GB2312" w:hAnsi="仿宋" w:eastAsia="仿宋_GB2312" w:cs="Times New Roman"/>
          <w:sz w:val="32"/>
          <w:szCs w:val="32"/>
          <w:highlight w:val="none"/>
          <w:lang w:val="en-US" w:eastAsia="zh-CN"/>
        </w:rPr>
        <w:t xml:space="preserve">2024年5月16日，我局执法人员对你单位进行现场检查，你单位正在生产。经调查，你单位建设项目（主要生产设备：自动除油清洗喷粉线2条、隧道炉2台、炭化炉1台）于2023年5月底投产至今，已配套建设污染治理设施。经核实，该建设项目属于《建设项目环境影响评价分类管理名录》（2021年版）第三十项“金属制品业 33”中“67 </w:t>
      </w:r>
      <w:r>
        <w:rPr>
          <w:rFonts w:hint="eastAsia" w:ascii="仿宋_GB2312" w:hAnsi="仿宋" w:eastAsia="仿宋_GB2312" w:cs="Times New Roman"/>
          <w:sz w:val="32"/>
          <w:szCs w:val="32"/>
          <w:highlight w:val="none"/>
        </w:rPr>
        <w:t>金属表面处理及热处理加工</w:t>
      </w:r>
      <w:r>
        <w:rPr>
          <w:rFonts w:hint="eastAsia" w:ascii="仿宋_GB2312" w:hAnsi="仿宋" w:eastAsia="仿宋_GB2312" w:cs="Times New Roman"/>
          <w:sz w:val="32"/>
          <w:szCs w:val="32"/>
          <w:highlight w:val="none"/>
          <w:lang w:val="en-US" w:eastAsia="zh-CN"/>
        </w:rPr>
        <w:t>”的“其他（年用非溶剂型低VOCs含量涂料10吨以下的除外）”类别，需编制环境影响评价报告表，其配套建设的环境保护设施经验收合格，方可投入生产或者使用。你单位存在</w:t>
      </w:r>
      <w:r>
        <w:rPr>
          <w:rFonts w:hint="eastAsia" w:ascii="仿宋_GB2312" w:hAnsi="仿宋" w:eastAsia="仿宋_GB2312" w:cs="Times New Roman"/>
          <w:sz w:val="32"/>
          <w:szCs w:val="32"/>
          <w:highlight w:val="none"/>
        </w:rPr>
        <w:t>需要配套建设的环境保护设施未经验收，建设项目即投入生产或者使用的违法行为。</w:t>
      </w:r>
    </w:p>
    <w:p w14:paraId="7FFA4F8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yellow"/>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2份、现场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；你单位提供的营业执照、法定代表人及厂长身份证、《建设项目环境影响报告表》部分页、登记通知书、技术服务合同书、《关于江门市江海区振宏五金制品有限公司年产灯饰五金配件</w:t>
      </w:r>
      <w:r>
        <w:rPr>
          <w:rFonts w:hint="eastAsia" w:ascii="仿宋_GB2312" w:hAnsi="仿宋" w:eastAsia="仿宋_GB2312" w:cs="Times New Roman"/>
          <w:sz w:val="32"/>
          <w:szCs w:val="32"/>
          <w:highlight w:val="none"/>
          <w:lang w:val="en-US" w:eastAsia="zh-CN"/>
        </w:rPr>
        <w:t>100万套项目环境影响报告表的批复</w:t>
      </w:r>
      <w:r>
        <w:rPr>
          <w:rFonts w:hint="eastAsia" w:ascii="仿宋_GB2312" w:hAnsi="仿宋" w:eastAsia="仿宋_GB2312" w:cs="Times New Roman"/>
          <w:sz w:val="32"/>
          <w:szCs w:val="32"/>
          <w:highlight w:val="none"/>
          <w:lang w:eastAsia="zh-CN"/>
        </w:rPr>
        <w:t>》（江江环审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10号</w:t>
      </w:r>
      <w:r>
        <w:rPr>
          <w:rFonts w:hint="eastAsia" w:ascii="仿宋_GB2312" w:hAnsi="仿宋" w:eastAsia="仿宋_GB2312" w:cs="Times New Roman"/>
          <w:sz w:val="32"/>
          <w:szCs w:val="32"/>
          <w:highlight w:val="none"/>
          <w:lang w:eastAsia="zh-CN"/>
        </w:rPr>
        <w:t>）及竣工验收系统截图、江门市江海区振宏五金制品有限公司新旧厂房位置示意图、厂房租赁合同</w:t>
      </w:r>
      <w:r>
        <w:rPr>
          <w:rFonts w:hint="eastAsia" w:ascii="仿宋_GB2312" w:hAnsi="仿宋" w:eastAsia="仿宋_GB2312" w:cs="Times New Roman"/>
          <w:sz w:val="32"/>
          <w:szCs w:val="32"/>
          <w:highlight w:val="none"/>
          <w:lang w:val="en-US" w:eastAsia="zh-CN"/>
        </w:rPr>
        <w:t>2份、系统重新申请环评截图</w:t>
      </w:r>
      <w:r>
        <w:rPr>
          <w:rFonts w:hint="eastAsia" w:ascii="仿宋_GB2312" w:hAnsi="仿宋" w:eastAsia="仿宋_GB2312" w:cs="Times New Roman"/>
          <w:sz w:val="32"/>
          <w:szCs w:val="32"/>
          <w:highlight w:val="none"/>
          <w:lang w:eastAsia="zh-CN"/>
        </w:rPr>
        <w:t>的复印件，</w:t>
      </w:r>
      <w:r>
        <w:rPr>
          <w:rFonts w:hint="eastAsia" w:ascii="仿宋_GB2312" w:hAnsi="仿宋" w:eastAsia="仿宋_GB2312" w:cs="Times New Roman"/>
          <w:sz w:val="32"/>
          <w:szCs w:val="32"/>
          <w:highlight w:val="none"/>
          <w:lang w:val="en-US" w:eastAsia="zh-CN"/>
        </w:rPr>
        <w:t>2023年6月至2024年4月用水清单，2023年5月至2024年4月电费发票，</w:t>
      </w:r>
      <w:r>
        <w:rPr>
          <w:rFonts w:hint="eastAsia" w:ascii="仿宋_GB2312" w:hAnsi="仿宋" w:eastAsia="仿宋_GB2312" w:cs="Times New Roman"/>
          <w:sz w:val="32"/>
          <w:szCs w:val="32"/>
          <w:highlight w:val="none"/>
          <w:lang w:eastAsia="zh-CN"/>
        </w:rPr>
        <w:t>授权委托书，送达地址确认书等为证。</w:t>
      </w:r>
    </w:p>
    <w:p w14:paraId="17305934">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4CFE805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w:t>
      </w:r>
      <w:r>
        <w:rPr>
          <w:rFonts w:hint="eastAsia" w:ascii="仿宋_GB2312" w:hAnsi="仿宋" w:eastAsia="仿宋_GB2312" w:cs="Times New Roman"/>
          <w:sz w:val="32"/>
          <w:szCs w:val="32"/>
          <w:highlight w:val="none"/>
          <w:lang w:eastAsia="zh-CN"/>
        </w:rPr>
        <w:t>反了</w:t>
      </w:r>
      <w:r>
        <w:rPr>
          <w:rFonts w:hint="eastAsia" w:ascii="仿宋_GB2312" w:hAnsi="仿宋" w:eastAsia="仿宋_GB2312" w:cs="Times New Roman"/>
          <w:sz w:val="32"/>
          <w:szCs w:val="32"/>
          <w:highlight w:val="none"/>
          <w:lang w:val="en-US" w:eastAsia="zh-CN"/>
        </w:rPr>
        <w:t>《建设项目环境保护管理条例》第十九条第一款</w:t>
      </w:r>
      <w:r>
        <w:rPr>
          <w:rFonts w:hint="eastAsia" w:ascii="仿宋_GB2312" w:hAnsi="仿宋" w:eastAsia="仿宋_GB2312" w:cs="Times New Roman"/>
          <w:sz w:val="32"/>
          <w:szCs w:val="32"/>
          <w:highlight w:val="none"/>
          <w:lang w:eastAsia="zh-CN"/>
        </w:rPr>
        <w:t>的规定。我局于</w:t>
      </w:r>
      <w:r>
        <w:rPr>
          <w:rFonts w:hint="eastAsia" w:ascii="仿宋_GB2312" w:hAnsi="仿宋" w:eastAsia="仿宋_GB2312" w:cs="Times New Roman"/>
          <w:sz w:val="32"/>
          <w:szCs w:val="32"/>
          <w:highlight w:val="none"/>
          <w:lang w:val="en-US" w:eastAsia="zh-CN"/>
        </w:rPr>
        <w:t>2024年6月18日向你单位送达了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12</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26万元，并告知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和要求听证。你单位未在法定期限内向我局申请听证。</w:t>
      </w:r>
    </w:p>
    <w:p w14:paraId="37FE52BA">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sz w:val="32"/>
          <w:szCs w:val="32"/>
          <w:highlight w:val="none"/>
          <w:lang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6月20日向我局提交《生态环境行政违法当事人公开道歉承诺守法从轻处罚申请书》，于2024年7月3日向我局提交《停产说明》。我局应你单位申请于2024年7月3日对你单位整改情况进行复查，发现你单位已主动停产，但违法行为未整改完成。因你单位未能改正违法行为，不能根据</w:t>
      </w:r>
      <w:r>
        <w:rPr>
          <w:rFonts w:hint="eastAsia" w:ascii="仿宋_GB2312" w:hAnsi="仿宋" w:eastAsia="仿宋_GB2312" w:cs="Times New Roman"/>
          <w:sz w:val="32"/>
          <w:szCs w:val="32"/>
          <w:highlight w:val="none"/>
        </w:rPr>
        <w:t>《江门市实施&lt;广东省生态环境行政处罚自由裁量权规定&gt;细则》</w:t>
      </w:r>
      <w:r>
        <w:rPr>
          <w:rFonts w:hint="eastAsia" w:ascii="仿宋_GB2312" w:hAnsi="仿宋" w:eastAsia="仿宋_GB2312" w:cs="Times New Roman"/>
          <w:sz w:val="32"/>
          <w:szCs w:val="32"/>
          <w:highlight w:val="none"/>
          <w:lang w:eastAsia="zh-CN"/>
        </w:rPr>
        <w:t>第十条、附件</w:t>
      </w:r>
      <w:r>
        <w:rPr>
          <w:rFonts w:hint="eastAsia" w:ascii="仿宋_GB2312" w:hAnsi="仿宋" w:eastAsia="仿宋_GB2312" w:cs="Times New Roman"/>
          <w:sz w:val="32"/>
          <w:szCs w:val="32"/>
          <w:highlight w:val="none"/>
          <w:lang w:val="en-US" w:eastAsia="zh-CN"/>
        </w:rPr>
        <w:t>3的规定进行从轻处罚。</w:t>
      </w:r>
    </w:p>
    <w:p w14:paraId="3A67923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olor w:val="auto"/>
          <w:sz w:val="32"/>
          <w:szCs w:val="32"/>
          <w:highlight w:val="none"/>
          <w:lang w:val="en-US" w:eastAsia="zh-CN"/>
        </w:rPr>
        <w:t>因你单位主动停止生产，及时中止违法行为，根据你单位违法行为的事实、</w:t>
      </w:r>
      <w:r>
        <w:rPr>
          <w:rFonts w:hint="eastAsia" w:ascii="仿宋_GB2312" w:hAnsi="仿宋" w:eastAsia="仿宋_GB2312" w:cs="Times New Roman"/>
          <w:sz w:val="32"/>
          <w:szCs w:val="32"/>
          <w:highlight w:val="none"/>
          <w:lang w:eastAsia="zh-CN"/>
        </w:rPr>
        <w:t>性质、情节、社会危害程度和相关证据，根据《建设项目环境保护管理条例》第二十三条第一款，依据《广东省生态环境行政处罚自由裁量权规定》附件1§1.8和《江门市实施＜广东省生态环境行政处罚自由裁量权规定＞细则》第五条、第七条第二项第二目裁量标准｛罚款金额</w:t>
      </w:r>
      <w:r>
        <w:rPr>
          <w:rFonts w:hint="eastAsia" w:ascii="仿宋_GB2312" w:hAnsi="仿宋" w:eastAsia="仿宋_GB2312" w:cs="Times New Roman"/>
          <w:sz w:val="32"/>
          <w:szCs w:val="32"/>
          <w:highlight w:val="none"/>
          <w:lang w:val="en-US" w:eastAsia="zh-CN"/>
        </w:rPr>
        <w:t>23.4</w:t>
      </w:r>
      <w:r>
        <w:rPr>
          <w:rFonts w:hint="eastAsia" w:ascii="仿宋_GB2312" w:hAnsi="仿宋" w:eastAsia="仿宋_GB2312" w:cs="Times New Roman"/>
          <w:sz w:val="32"/>
          <w:szCs w:val="32"/>
          <w:highlight w:val="none"/>
          <w:lang w:eastAsia="zh-CN"/>
        </w:rPr>
        <w:t>万元=初步罚款金额</w:t>
      </w:r>
      <w:r>
        <w:rPr>
          <w:rFonts w:hint="eastAsia" w:ascii="仿宋_GB2312" w:hAnsi="仿宋" w:eastAsia="仿宋_GB2312" w:cs="Times New Roman"/>
          <w:sz w:val="32"/>
          <w:szCs w:val="32"/>
          <w:highlight w:val="none"/>
          <w:lang w:val="en-US" w:eastAsia="zh-CN"/>
        </w:rPr>
        <w:t>26</w:t>
      </w:r>
      <w:r>
        <w:rPr>
          <w:rFonts w:hint="eastAsia" w:ascii="仿宋_GB2312" w:hAnsi="仿宋" w:eastAsia="仿宋_GB2312" w:cs="Times New Roman"/>
          <w:sz w:val="32"/>
          <w:szCs w:val="32"/>
          <w:highlight w:val="none"/>
          <w:lang w:eastAsia="zh-CN"/>
        </w:rPr>
        <w:t>万元[（裁量起点对单位限期内改正20%</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kern w:val="2"/>
          <w:sz w:val="32"/>
          <w:szCs w:val="32"/>
          <w:highlight w:val="none"/>
          <w:lang w:val="en-US" w:eastAsia="zh-CN" w:bidi="ar"/>
        </w:rPr>
        <w:t>违法行为持续时间6个月以上12个月以下6%</w:t>
      </w:r>
      <w:r>
        <w:rPr>
          <w:rFonts w:hint="eastAsia" w:ascii="仿宋_GB2312" w:hAnsi="仿宋" w:eastAsia="仿宋_GB2312" w:cs="Times New Roman"/>
          <w:sz w:val="32"/>
          <w:szCs w:val="32"/>
          <w:highlight w:val="none"/>
          <w:lang w:eastAsia="zh-CN"/>
        </w:rPr>
        <w:t>）×100万元]+初步罚款金额</w:t>
      </w:r>
      <w:r>
        <w:rPr>
          <w:rFonts w:hint="eastAsia" w:ascii="仿宋_GB2312" w:hAnsi="仿宋" w:eastAsia="仿宋_GB2312" w:cs="Times New Roman"/>
          <w:sz w:val="32"/>
          <w:szCs w:val="32"/>
          <w:highlight w:val="none"/>
          <w:lang w:val="en-US" w:eastAsia="zh-CN"/>
        </w:rPr>
        <w:t>26</w:t>
      </w:r>
      <w:r>
        <w:rPr>
          <w:rFonts w:hint="eastAsia" w:ascii="仿宋_GB2312" w:hAnsi="仿宋" w:eastAsia="仿宋_GB2312" w:cs="Times New Roman"/>
          <w:sz w:val="32"/>
          <w:szCs w:val="32"/>
          <w:highlight w:val="none"/>
          <w:lang w:eastAsia="zh-CN"/>
        </w:rPr>
        <w:t>万元×5%×调整系数总和（</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lang w:eastAsia="zh-CN"/>
        </w:rPr>
        <w:t>）[主动改正或者及时中止违法行为的（</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lang w:eastAsia="zh-CN"/>
        </w:rPr>
        <w:t>），积极配合调查取证、近二年同类违法行为情况的情节已经在权重裁量中体现，则不再重复计算该情节]｝的规定，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23.4</w:t>
      </w:r>
      <w:r>
        <w:rPr>
          <w:rFonts w:hint="eastAsia" w:ascii="仿宋_GB2312" w:hAnsi="仿宋" w:eastAsia="仿宋_GB2312" w:cs="Times New Roman"/>
          <w:b/>
          <w:bCs/>
          <w:sz w:val="32"/>
          <w:szCs w:val="32"/>
          <w:highlight w:val="none"/>
          <w:lang w:eastAsia="zh-CN"/>
        </w:rPr>
        <w:t>万元（大写：贰拾叁万肆仟元）整的行政处罚。</w:t>
      </w:r>
    </w:p>
    <w:p w14:paraId="2D5F3FE5">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1D656ED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28DE9A4E">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8E37B79">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81F902E">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72DC7579">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6B7FFB2C">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3739906E">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17</w:t>
      </w:r>
      <w:r>
        <w:rPr>
          <w:rFonts w:hint="eastAsia" w:ascii="仿宋_GB2312" w:hAnsi="仿宋" w:eastAsia="仿宋_GB2312"/>
          <w:color w:val="000000"/>
          <w:sz w:val="32"/>
          <w:szCs w:val="32"/>
          <w:highlight w:val="none"/>
        </w:rPr>
        <w:t>日</w:t>
      </w:r>
    </w:p>
    <w:p w14:paraId="6EFAB412">
      <w:bookmarkStart w:id="0" w:name="_GoBack"/>
      <w:bookmarkEnd w:id="0"/>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8B7C5">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334BE">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F334BE">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A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2025-12-05T08:06:13Z</dcterms:created>
  <dc:creator>Administrator</dc:creator>
  <cp:lastModifiedBy>区凤婷2</cp:lastModifiedBy>
  <dcterms:modified xsi:type="dcterms:W3CDTF">2025-12-05T08:06:36Z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eyJoZGlkIjoiNTc5NjBmYjU0MDc3MDBjMTRlZWQ4NzIwMjEwODQyZWYiLCJ1c2VySWQiOiIxMjU2Mzg5Nzc4In0=</vt:lpwstr>
  </property>
  <property fmtid="{D5CDD505-2E9C-101B-9397-08002B2CF9AE}" pid="4" name="ICV">
    <vt:lpwstr>F34C91EB61CE4B0596EDC2E5EA86CE61_12</vt:lpwstr>
  </property>
</Properties>
</file>