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8817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8BA28CE">
      <w:pPr>
        <w:keepNext w:val="0"/>
        <w:keepLines w:val="0"/>
        <w:pageBreakBefore w:val="0"/>
        <w:widowControl w:val="0"/>
        <w:kinsoku/>
        <w:wordWrap/>
        <w:overflowPunct/>
        <w:topLinePunct w:val="0"/>
        <w:autoSpaceDE/>
        <w:autoSpaceDN/>
        <w:bidi w:val="0"/>
        <w:spacing w:line="520" w:lineRule="exact"/>
        <w:jc w:val="right"/>
        <w:textAlignment w:val="auto"/>
        <w:rPr>
          <w:spacing w:val="120"/>
          <w:highlight w:val="none"/>
        </w:rPr>
      </w:pPr>
    </w:p>
    <w:p w14:paraId="3C532DD5">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rPr>
        <w:t>行政处罚决定书</w:t>
      </w:r>
    </w:p>
    <w:p w14:paraId="1878327D">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highlight w:val="none"/>
        </w:rPr>
      </w:pPr>
    </w:p>
    <w:p w14:paraId="4292B48B">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30</w:t>
      </w:r>
      <w:r>
        <w:rPr>
          <w:rFonts w:hint="eastAsia" w:ascii="仿宋_GB2312" w:hAnsi="仿宋" w:eastAsia="仿宋_GB2312"/>
          <w:color w:val="000000"/>
          <w:sz w:val="32"/>
          <w:szCs w:val="32"/>
          <w:highlight w:val="none"/>
        </w:rPr>
        <w:t>号</w:t>
      </w:r>
    </w:p>
    <w:p w14:paraId="3AF9559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307ECB44">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rPr>
        <w:t>当</w:t>
      </w:r>
      <w:r>
        <w:rPr>
          <w:rFonts w:hint="eastAsia" w:ascii="仿宋_GB2312" w:hAnsi="仿宋" w:eastAsia="仿宋_GB2312"/>
          <w:sz w:val="32"/>
          <w:szCs w:val="32"/>
          <w:highlight w:val="none"/>
        </w:rPr>
        <w:t>事人：</w:t>
      </w:r>
      <w:r>
        <w:rPr>
          <w:rFonts w:hint="eastAsia" w:ascii="仿宋_GB2312" w:hAnsi="仿宋" w:eastAsia="仿宋_GB2312" w:cs="Times New Roman"/>
          <w:sz w:val="32"/>
          <w:szCs w:val="32"/>
          <w:highlight w:val="none"/>
          <w:lang w:eastAsia="zh-CN" w:bidi="ar-SA"/>
        </w:rPr>
        <w:t>江门市恒亦达电子有限公司</w:t>
      </w:r>
    </w:p>
    <w:p w14:paraId="27F6EFCF">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法定代表人</w:t>
      </w:r>
      <w:r>
        <w:rPr>
          <w:rFonts w:hint="eastAsia" w:ascii="仿宋_GB2312" w:hAnsi="仿宋" w:eastAsia="仿宋_GB2312"/>
          <w:sz w:val="32"/>
          <w:szCs w:val="32"/>
          <w:highlight w:val="none"/>
        </w:rPr>
        <w:t>：</w:t>
      </w:r>
      <w:r>
        <w:rPr>
          <w:rFonts w:hint="eastAsia" w:ascii="仿宋_GB2312" w:hAnsi="仿宋" w:eastAsia="仿宋_GB2312" w:cs="Times New Roman"/>
          <w:sz w:val="32"/>
          <w:szCs w:val="32"/>
          <w:highlight w:val="none"/>
          <w:lang w:val="en-US" w:eastAsia="zh-CN" w:bidi="ar-SA"/>
        </w:rPr>
        <w:t>陈利兰</w:t>
      </w:r>
    </w:p>
    <w:p w14:paraId="138B8C8B">
      <w:pPr>
        <w:keepNext w:val="0"/>
        <w:keepLines w:val="0"/>
        <w:pageBreakBefore w:val="0"/>
        <w:widowControl w:val="0"/>
        <w:kinsoku/>
        <w:wordWrap/>
        <w:overflowPunct/>
        <w:topLinePunct w:val="0"/>
        <w:autoSpaceDE/>
        <w:autoSpaceDN/>
        <w:bidi w:val="0"/>
        <w:spacing w:line="52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914407047730504210</w:t>
      </w:r>
    </w:p>
    <w:p w14:paraId="61ED2436">
      <w:pPr>
        <w:spacing w:line="520" w:lineRule="exact"/>
        <w:jc w:val="left"/>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住所：</w:t>
      </w:r>
      <w:r>
        <w:rPr>
          <w:rFonts w:hint="eastAsia" w:ascii="仿宋_GB2312" w:hAnsi="仿宋" w:eastAsia="仿宋_GB2312" w:cs="Times New Roman"/>
          <w:sz w:val="32"/>
          <w:szCs w:val="32"/>
          <w:highlight w:val="none"/>
          <w:lang w:eastAsia="zh-CN" w:bidi="ar-SA"/>
        </w:rPr>
        <w:t>江门市高新区</w:t>
      </w:r>
      <w:r>
        <w:rPr>
          <w:rFonts w:hint="eastAsia" w:ascii="仿宋_GB2312" w:hAnsi="仿宋" w:eastAsia="仿宋_GB2312" w:cs="Times New Roman"/>
          <w:sz w:val="32"/>
          <w:szCs w:val="32"/>
          <w:highlight w:val="none"/>
          <w:lang w:val="en-US" w:eastAsia="zh-CN" w:bidi="ar-SA"/>
        </w:rPr>
        <w:t>21号地（东南工业区）</w:t>
      </w:r>
    </w:p>
    <w:p w14:paraId="50B637A8">
      <w:pPr>
        <w:keepNext w:val="0"/>
        <w:keepLines w:val="0"/>
        <w:pageBreakBefore w:val="0"/>
        <w:widowControl w:val="0"/>
        <w:kinsoku/>
        <w:wordWrap/>
        <w:overflowPunct/>
        <w:topLinePunct w:val="0"/>
        <w:autoSpaceDE/>
        <w:autoSpaceDN/>
        <w:bidi w:val="0"/>
        <w:spacing w:line="520" w:lineRule="exact"/>
        <w:ind w:firstLine="0" w:firstLineChars="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4DE855E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4月17日，我局执法人员对你单位进行现场检查，并委托江门市江海区环境监测站对你单位外排水污染物进行采样监测。根据江门市江海区环境监测站出具的《监测报告》[报告编号：（江海）环境监测（2024）第JH041702号]，你单位外排水污染物中总氮为31.7mg/L，已超出广东省《电镀水污染物排放标准》（DB 44/1597-2015）表1现有项目水污染物排放限值及单位产品基准排水量中总氮20mg/L的要求，超标0.585倍。</w:t>
      </w:r>
    </w:p>
    <w:p w14:paraId="5FBB25F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b/>
          <w:sz w:val="32"/>
          <w:szCs w:val="32"/>
          <w:highlight w:val="none"/>
        </w:rPr>
      </w:pPr>
      <w:r>
        <w:rPr>
          <w:rFonts w:hint="eastAsia" w:ascii="仿宋_GB2312" w:hAnsi="仿宋" w:eastAsia="仿宋_GB2312" w:cs="Times New Roman"/>
          <w:sz w:val="32"/>
          <w:szCs w:val="32"/>
          <w:highlight w:val="none"/>
          <w:lang w:val="en-US" w:eastAsia="zh-CN"/>
        </w:rPr>
        <w:t>上述事实有江门市生态环境局现场检查（勘察）笔录、调查询问笔录2份、现场照片（图片、影像资料）证据、《监测报告》[报告编号：（江海）环境监测（2024）第JH041702号]、移交记录表及送达回证；你单位提供的营业执照、环保主管的身份证、《关于江门市恒亦达电子有限公司年产44万平方米电子线路板建设项目环境影响报告书审批意见的函》、《城镇污水排入排水管网许可证》及副本的复印件，江门市恒亦达电子有限公司江海恒亦达电子总排口企业监测数据时段20230917至20240417水流量统计表，授权委托书、送达地址确认书等为证。</w:t>
      </w:r>
    </w:p>
    <w:p w14:paraId="5C07675A">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496DDF5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sz w:val="32"/>
          <w:szCs w:val="32"/>
          <w:highlight w:val="none"/>
        </w:rPr>
        <w:t>违反了</w:t>
      </w:r>
      <w:r>
        <w:rPr>
          <w:rFonts w:hint="eastAsia" w:ascii="仿宋_GB2312" w:hAnsi="仿宋" w:eastAsia="仿宋_GB2312" w:cs="Times New Roman"/>
          <w:sz w:val="32"/>
          <w:szCs w:val="32"/>
          <w:highlight w:val="none"/>
          <w:lang w:val="en-US" w:eastAsia="zh-CN"/>
        </w:rPr>
        <w:t>《中华人民共和国水污染防治法》第十条</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2024年6月21日向你单位送达了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16</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 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23.125万元，并告知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和申请听证。你单位未在法定期限内向我局提交听证申请。</w:t>
      </w:r>
    </w:p>
    <w:p w14:paraId="04202DD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6月26日向我局提交《生态环境行政违法当事人公开道歉承诺守法从轻处罚申请书》。我局执法人员应你单位申请于2024年7月4日对你单位整改情况进行复查并现场委托江门市江海区环境监测站对你单位进行复测，根据江门市江海区环境监测站出具的《监测报告》[报告编号：（江海）环境监测（2024）第JH070401号]结果显示达标，经复查你单位已改正违法行为。你单位已于2024年8月27日在江门日报A05版进行登报道歉。</w:t>
      </w:r>
    </w:p>
    <w:p w14:paraId="0A1A57C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经复核，你单位上述公开道歉承诺守法的行为符合《江门市</w:t>
      </w:r>
      <w:r>
        <w:rPr>
          <w:rFonts w:hint="eastAsia" w:ascii="仿宋_GB2312" w:hAnsi="仿宋" w:eastAsia="仿宋_GB2312"/>
          <w:sz w:val="32"/>
          <w:szCs w:val="32"/>
          <w:highlight w:val="none"/>
        </w:rPr>
        <w:t>实施＜广东省生态环境行政处罚自由裁量权规定＞细则</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第十条、附件3第三条第一款第一项的规定，</w:t>
      </w:r>
      <w:r>
        <w:rPr>
          <w:rFonts w:hint="eastAsia" w:ascii="仿宋_GB2312" w:hAnsi="仿宋" w:eastAsia="仿宋_GB2312"/>
          <w:color w:val="auto"/>
          <w:sz w:val="32"/>
          <w:szCs w:val="32"/>
          <w:highlight w:val="none"/>
          <w:lang w:eastAsia="zh-CN"/>
        </w:rPr>
        <w:t>可</w:t>
      </w:r>
      <w:r>
        <w:rPr>
          <w:rFonts w:hint="eastAsia" w:ascii="仿宋_GB2312" w:hAnsi="仿宋" w:eastAsia="仿宋_GB2312"/>
          <w:color w:val="auto"/>
          <w:sz w:val="32"/>
          <w:szCs w:val="32"/>
          <w:highlight w:val="none"/>
        </w:rPr>
        <w:t>按照拟处罚金额的18.125万元</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罚款金额</w:t>
      </w:r>
      <w:r>
        <w:rPr>
          <w:rFonts w:hint="eastAsia" w:ascii="仿宋_GB2312" w:hAnsi="仿宋" w:eastAsia="仿宋_GB2312" w:cs="Times New Roman"/>
          <w:sz w:val="32"/>
          <w:szCs w:val="32"/>
          <w:highlight w:val="none"/>
          <w:lang w:val="en-US" w:eastAsia="zh-CN"/>
        </w:rPr>
        <w:t>18.125万元=初步罚款金额25万元</w:t>
      </w:r>
      <w:r>
        <w:rPr>
          <w:rFonts w:hint="eastAsia" w:ascii="仿宋_GB2312" w:hAnsi="仿宋" w:eastAsia="仿宋_GB2312" w:cs="Times New Roman"/>
          <w:sz w:val="32"/>
          <w:szCs w:val="32"/>
          <w:highlight w:val="none"/>
        </w:rPr>
        <w:t>[（裁量起点</w:t>
      </w:r>
      <w:r>
        <w:rPr>
          <w:rFonts w:hint="eastAsia" w:ascii="仿宋_GB2312" w:hAnsi="仿宋" w:eastAsia="仿宋_GB2312" w:cs="Times New Roman"/>
          <w:sz w:val="32"/>
          <w:szCs w:val="32"/>
          <w:highlight w:val="none"/>
          <w:lang w:val="en-US" w:eastAsia="zh-CN"/>
        </w:rPr>
        <w:t>7</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bidi="ar-SA"/>
        </w:rPr>
        <w:t>+</w:t>
      </w:r>
      <w:r>
        <w:rPr>
          <w:rFonts w:hint="eastAsia" w:ascii="仿宋_GB2312" w:hAnsi="仿宋" w:eastAsia="仿宋_GB2312" w:cs="Times New Roman"/>
          <w:sz w:val="32"/>
          <w:szCs w:val="32"/>
          <w:highlight w:val="none"/>
          <w:u w:val="none"/>
          <w:lang w:val="en-US" w:eastAsia="zh-CN"/>
        </w:rPr>
        <w:t>废水日排放量200吨以上</w:t>
      </w:r>
      <w:r>
        <w:rPr>
          <w:rFonts w:hint="eastAsia" w:ascii="仿宋_GB2312" w:hAnsi="仿宋" w:eastAsia="仿宋_GB2312" w:cs="Times New Roman"/>
          <w:sz w:val="32"/>
          <w:szCs w:val="32"/>
          <w:highlight w:val="none"/>
          <w:lang w:val="en-US" w:eastAsia="zh-CN" w:bidi="ar-SA"/>
        </w:rPr>
        <w:t>10</w:t>
      </w:r>
      <w:r>
        <w:rPr>
          <w:rFonts w:hint="default" w:ascii="仿宋_GB2312" w:hAnsi="仿宋" w:eastAsia="仿宋_GB2312" w:cs="Times New Roman"/>
          <w:sz w:val="32"/>
          <w:szCs w:val="32"/>
          <w:highlight w:val="none"/>
          <w:lang w:val="en-US" w:eastAsia="zh-CN" w:bidi="ar-SA"/>
        </w:rPr>
        <w:t>%</w:t>
      </w:r>
      <w:r>
        <w:rPr>
          <w:rFonts w:hint="eastAsia" w:ascii="仿宋_GB2312" w:hAnsi="仿宋" w:eastAsia="仿宋_GB2312" w:cs="Times New Roman"/>
          <w:sz w:val="32"/>
          <w:szCs w:val="32"/>
          <w:highlight w:val="none"/>
          <w:lang w:val="en-US" w:eastAsia="zh-CN" w:bidi="ar-SA"/>
        </w:rPr>
        <w:t>+</w:t>
      </w:r>
      <w:r>
        <w:rPr>
          <w:rFonts w:hint="eastAsia" w:ascii="仿宋_GB2312" w:hAnsi="仿宋" w:eastAsia="仿宋_GB2312" w:cs="Times New Roman"/>
          <w:kern w:val="2"/>
          <w:sz w:val="32"/>
          <w:szCs w:val="32"/>
          <w:highlight w:val="none"/>
          <w:lang w:val="en-US" w:eastAsia="zh-CN" w:bidi="ar"/>
        </w:rPr>
        <w:t>超标情况超标3倍以下或超量30%以下5%+近二年同类违法行为情况（含本次）2次3%</w:t>
      </w:r>
      <w:r>
        <w:rPr>
          <w:rFonts w:hint="eastAsia" w:ascii="仿宋_GB2312" w:hAnsi="仿宋" w:eastAsia="仿宋_GB2312" w:cs="Times New Roman"/>
          <w:sz w:val="32"/>
          <w:szCs w:val="32"/>
          <w:highlight w:val="none"/>
          <w:lang w:eastAsia="zh-CN" w:bidi="ar-SA"/>
        </w:rPr>
        <w:t>）×100万元]+[初步罚款金额</w:t>
      </w:r>
      <w:r>
        <w:rPr>
          <w:rFonts w:hint="eastAsia" w:ascii="仿宋_GB2312" w:hAnsi="仿宋" w:eastAsia="仿宋_GB2312" w:cs="Times New Roman"/>
          <w:sz w:val="32"/>
          <w:szCs w:val="32"/>
          <w:highlight w:val="none"/>
          <w:lang w:val="en-US" w:eastAsia="zh-CN" w:bidi="ar-SA"/>
        </w:rPr>
        <w:t>25</w:t>
      </w:r>
      <w:r>
        <w:rPr>
          <w:rFonts w:hint="eastAsia" w:ascii="仿宋_GB2312" w:hAnsi="仿宋" w:eastAsia="仿宋_GB2312" w:cs="Times New Roman"/>
          <w:sz w:val="32"/>
          <w:szCs w:val="32"/>
          <w:highlight w:val="none"/>
          <w:lang w:eastAsia="zh-CN" w:bidi="ar-SA"/>
        </w:rPr>
        <w:t>万元×5%×调整</w:t>
      </w:r>
      <w:r>
        <w:rPr>
          <w:rFonts w:hint="eastAsia" w:ascii="仿宋_GB2312" w:hAnsi="仿宋" w:eastAsia="仿宋_GB2312" w:cs="Times New Roman"/>
          <w:sz w:val="32"/>
          <w:szCs w:val="32"/>
          <w:highlight w:val="none"/>
        </w:rPr>
        <w:t>系数总和（</w:t>
      </w:r>
      <w:r>
        <w:rPr>
          <w:rFonts w:hint="eastAsia" w:ascii="仿宋_GB2312" w:hAnsi="仿宋" w:eastAsia="仿宋_GB2312" w:cs="Times New Roman"/>
          <w:sz w:val="32"/>
          <w:szCs w:val="32"/>
          <w:highlight w:val="none"/>
          <w:lang w:val="en-US" w:eastAsia="zh-CN"/>
        </w:rPr>
        <w:t>-5.5</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sz w:val="32"/>
          <w:szCs w:val="32"/>
          <w:highlight w:val="none"/>
        </w:rPr>
        <w:t>主动消除或者减轻违法行为危害后果的-2.0</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主动改正或者及时中止违法行为的-2.0</w:t>
      </w:r>
      <w:r>
        <w:rPr>
          <w:rFonts w:hint="eastAsia" w:ascii="仿宋_GB2312" w:hAnsi="仿宋" w:eastAsia="仿宋_GB2312"/>
          <w:sz w:val="32"/>
          <w:szCs w:val="32"/>
          <w:highlight w:val="none"/>
          <w:lang w:eastAsia="zh-CN"/>
        </w:rPr>
        <w:t>；</w:t>
      </w:r>
      <w:r>
        <w:rPr>
          <w:rFonts w:hint="eastAsia" w:ascii="仿宋_GB2312" w:hAnsi="仿宋" w:eastAsia="仿宋_GB2312" w:cs="Times New Roman"/>
          <w:sz w:val="32"/>
          <w:szCs w:val="32"/>
          <w:highlight w:val="none"/>
        </w:rPr>
        <w:t>积极配合调查取证</w:t>
      </w:r>
      <w:r>
        <w:rPr>
          <w:rFonts w:hint="eastAsia" w:ascii="仿宋_GB2312" w:hAnsi="仿宋" w:eastAsia="仿宋_GB2312" w:cs="Times New Roman"/>
          <w:sz w:val="32"/>
          <w:szCs w:val="32"/>
          <w:highlight w:val="none"/>
          <w:lang w:val="en-US" w:eastAsia="zh-CN"/>
        </w:rPr>
        <w:t>-1.5；</w:t>
      </w:r>
      <w:r>
        <w:rPr>
          <w:rFonts w:hint="eastAsia" w:ascii="仿宋_GB2312" w:hAnsi="仿宋" w:eastAsia="仿宋_GB2312" w:cs="Times New Roman"/>
          <w:sz w:val="32"/>
          <w:szCs w:val="32"/>
          <w:highlight w:val="none"/>
        </w:rPr>
        <w:t>近二年同类违法行为情况的情节已经在权重裁量中体现，则不再重复计算该情节</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w:t>
      </w:r>
      <w:r>
        <w:rPr>
          <w:rFonts w:hint="eastAsia" w:ascii="仿宋_GB2312" w:hAnsi="仿宋" w:eastAsia="仿宋_GB2312"/>
          <w:color w:val="auto"/>
          <w:sz w:val="32"/>
          <w:szCs w:val="32"/>
          <w:highlight w:val="none"/>
        </w:rPr>
        <w:t>的30%</w:t>
      </w:r>
      <w:r>
        <w:rPr>
          <w:rFonts w:hint="eastAsia" w:ascii="仿宋_GB2312" w:hAnsi="仿宋" w:eastAsia="仿宋_GB2312"/>
          <w:color w:val="auto"/>
          <w:sz w:val="32"/>
          <w:szCs w:val="32"/>
          <w:highlight w:val="none"/>
          <w:lang w:eastAsia="zh-CN"/>
        </w:rPr>
        <w:t>进行从轻</w:t>
      </w:r>
      <w:r>
        <w:rPr>
          <w:rFonts w:hint="eastAsia" w:ascii="仿宋_GB2312" w:hAnsi="仿宋" w:eastAsia="仿宋_GB2312"/>
          <w:color w:val="auto"/>
          <w:sz w:val="32"/>
          <w:szCs w:val="32"/>
          <w:highlight w:val="none"/>
        </w:rPr>
        <w:t>处罚，为12.6875万元。</w:t>
      </w:r>
    </w:p>
    <w:p w14:paraId="66EFE08B">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olor w:val="auto"/>
          <w:sz w:val="32"/>
          <w:szCs w:val="32"/>
          <w:highlight w:val="none"/>
          <w:lang w:val="en-US" w:eastAsia="zh-CN"/>
        </w:rPr>
        <w:t>综合你单位违法行为的事实、</w:t>
      </w:r>
      <w:r>
        <w:rPr>
          <w:rFonts w:hint="eastAsia" w:ascii="仿宋_GB2312" w:hAnsi="仿宋" w:eastAsia="仿宋_GB2312" w:cs="Times New Roman"/>
          <w:sz w:val="32"/>
          <w:szCs w:val="32"/>
          <w:highlight w:val="none"/>
          <w:lang w:eastAsia="zh-CN"/>
        </w:rPr>
        <w:t>性质、情节、社会危害程度和相关证据，</w:t>
      </w:r>
      <w:r>
        <w:rPr>
          <w:rFonts w:hint="eastAsia" w:ascii="仿宋_GB2312" w:hAnsi="仿宋" w:eastAsia="仿宋_GB2312"/>
          <w:sz w:val="32"/>
          <w:szCs w:val="32"/>
          <w:highlight w:val="none"/>
        </w:rPr>
        <w:t>根据</w:t>
      </w:r>
      <w:r>
        <w:rPr>
          <w:rFonts w:hint="eastAsia" w:ascii="仿宋_GB2312" w:hAnsi="仿宋" w:eastAsia="仿宋_GB2312" w:cs="Times New Roman"/>
          <w:sz w:val="32"/>
          <w:szCs w:val="32"/>
          <w:highlight w:val="none"/>
        </w:rPr>
        <w:t>《中华人民共和国水污染防治法》第八十三条第二项</w:t>
      </w:r>
      <w:r>
        <w:rPr>
          <w:rFonts w:hint="eastAsia" w:ascii="仿宋_GB2312" w:hAnsi="仿宋" w:eastAsia="仿宋_GB2312"/>
          <w:sz w:val="32"/>
          <w:szCs w:val="32"/>
          <w:highlight w:val="none"/>
        </w:rPr>
        <w:t>，依据</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2.7.1</w:t>
      </w:r>
      <w:r>
        <w:rPr>
          <w:rFonts w:hint="eastAsia" w:ascii="仿宋_GB2312" w:hAnsi="仿宋" w:eastAsia="仿宋_GB2312"/>
          <w:sz w:val="32"/>
          <w:szCs w:val="32"/>
          <w:highlight w:val="none"/>
        </w:rPr>
        <w:t>和《江门市实施＜广东省生态环境行政处罚自由裁量权规定＞细则》</w:t>
      </w:r>
      <w:r>
        <w:rPr>
          <w:rFonts w:hint="eastAsia" w:ascii="仿宋_GB2312" w:hAnsi="仿宋" w:eastAsia="仿宋_GB2312" w:cs="Times New Roman"/>
          <w:sz w:val="32"/>
          <w:szCs w:val="32"/>
          <w:highlight w:val="none"/>
          <w:lang w:eastAsia="zh-CN"/>
        </w:rPr>
        <w:t>第五条、第七条第二项第</w:t>
      </w:r>
      <w:r>
        <w:rPr>
          <w:rFonts w:hint="eastAsia" w:ascii="仿宋_GB2312" w:hAnsi="仿宋" w:eastAsia="仿宋_GB2312" w:cs="Times New Roman"/>
          <w:sz w:val="32"/>
          <w:szCs w:val="32"/>
          <w:highlight w:val="none"/>
          <w:lang w:val="en-US" w:eastAsia="zh-CN"/>
        </w:rPr>
        <w:t>1目、第2目和</w:t>
      </w:r>
      <w:r>
        <w:rPr>
          <w:rFonts w:hint="eastAsia" w:ascii="仿宋_GB2312" w:hAnsi="仿宋" w:eastAsia="仿宋_GB2312"/>
          <w:sz w:val="32"/>
          <w:szCs w:val="32"/>
          <w:highlight w:val="none"/>
          <w:lang w:eastAsia="zh-CN"/>
        </w:rPr>
        <w:t>第</w:t>
      </w:r>
      <w:r>
        <w:rPr>
          <w:rFonts w:hint="eastAsia" w:ascii="仿宋_GB2312" w:hAnsi="仿宋" w:eastAsia="仿宋_GB2312"/>
          <w:sz w:val="32"/>
          <w:szCs w:val="32"/>
          <w:highlight w:val="none"/>
          <w:lang w:val="en-US" w:eastAsia="zh-CN"/>
        </w:rPr>
        <w:t>4目、</w:t>
      </w:r>
      <w:r>
        <w:rPr>
          <w:rFonts w:hint="eastAsia" w:ascii="仿宋_GB2312" w:hAnsi="仿宋" w:eastAsia="仿宋_GB2312"/>
          <w:color w:val="auto"/>
          <w:sz w:val="32"/>
          <w:szCs w:val="32"/>
          <w:highlight w:val="none"/>
        </w:rPr>
        <w:t>第十条、附件3第三条第一款第一项</w:t>
      </w:r>
      <w:r>
        <w:rPr>
          <w:rFonts w:hint="eastAsia" w:ascii="仿宋_GB2312" w:hAnsi="仿宋" w:eastAsia="仿宋_GB2312" w:cs="Times New Roman"/>
          <w:sz w:val="32"/>
          <w:szCs w:val="32"/>
          <w:highlight w:val="none"/>
          <w:lang w:eastAsia="zh-CN"/>
        </w:rPr>
        <w:t>裁量标准的规定，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12.6875</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拾贰万陆仟捌佰柒拾伍元</w:t>
      </w:r>
      <w:r>
        <w:rPr>
          <w:rFonts w:hint="eastAsia" w:ascii="仿宋_GB2312" w:hAnsi="仿宋" w:eastAsia="仿宋_GB2312" w:cs="Times New Roman"/>
          <w:b/>
          <w:bCs/>
          <w:sz w:val="32"/>
          <w:szCs w:val="32"/>
          <w:highlight w:val="none"/>
          <w:lang w:eastAsia="zh-CN"/>
        </w:rPr>
        <w:t>）整的行政处罚。</w:t>
      </w:r>
    </w:p>
    <w:p w14:paraId="3FEE14ED">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74E742B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6F6C597E">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1DE5D96C">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6DA3C50A">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3B1703E2">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208E676">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5B5F5A72">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9</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3</w:t>
      </w:r>
      <w:r>
        <w:rPr>
          <w:rFonts w:hint="eastAsia" w:ascii="仿宋_GB2312" w:hAnsi="仿宋" w:eastAsia="仿宋_GB2312"/>
          <w:color w:val="000000"/>
          <w:sz w:val="32"/>
          <w:szCs w:val="32"/>
          <w:highlight w:val="none"/>
        </w:rPr>
        <w:t>日</w:t>
      </w:r>
    </w:p>
    <w:p w14:paraId="452E1040">
      <w:bookmarkStart w:id="0" w:name="_GoBack"/>
      <w:bookmarkEnd w:id="0"/>
    </w:p>
    <w:sectPr>
      <w:footerReference r:id="rId3" w:type="default"/>
      <w:pgSz w:w="11906" w:h="16838"/>
      <w:pgMar w:top="1417" w:right="1474" w:bottom="1247"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13C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08136">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A08136">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1B7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2025-12-05T08:25:30Z</dcterms:created>
  <dc:creator>Administrator</dc:creator>
  <cp:lastModifiedBy>区凤婷2</cp:lastModifiedBy>
  <dcterms:modified xsi:type="dcterms:W3CDTF">2025-12-05T08:25:47Z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eyJoZGlkIjoiNTc5NjBmYjU0MDc3MDBjMTRlZWQ4NzIwMjEwODQyZWYiLCJ1c2VySWQiOiIxMjU2Mzg5Nzc4In0=</vt:lpwstr>
  </property>
  <property fmtid="{D5CDD505-2E9C-101B-9397-08002B2CF9AE}" pid="4" name="ICV">
    <vt:lpwstr>50DE309DFF5349E5B9582F4E09BAA4AB_12</vt:lpwstr>
  </property>
</Properties>
</file>