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AC1" w:rsidRDefault="00ED7AC1">
      <w:pPr>
        <w:spacing w:line="520" w:lineRule="exact"/>
        <w:jc w:val="right"/>
        <w:rPr>
          <w:spacing w:val="120"/>
        </w:rPr>
      </w:pPr>
    </w:p>
    <w:p w:rsidR="00ED7AC1" w:rsidRDefault="00ED7AC1">
      <w:pPr>
        <w:spacing w:line="520" w:lineRule="exact"/>
        <w:jc w:val="right"/>
        <w:rPr>
          <w:spacing w:val="120"/>
        </w:rPr>
      </w:pPr>
    </w:p>
    <w:p w:rsidR="00ED7AC1" w:rsidRDefault="00105BED">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ED7AC1" w:rsidRDefault="00ED7AC1">
      <w:pPr>
        <w:spacing w:line="520" w:lineRule="exact"/>
        <w:jc w:val="center"/>
        <w:rPr>
          <w:rFonts w:ascii="仿宋_GB2312" w:eastAsia="仿宋_GB2312" w:hAnsi="仿宋"/>
          <w:color w:val="000000"/>
          <w:sz w:val="32"/>
          <w:szCs w:val="32"/>
        </w:rPr>
      </w:pPr>
    </w:p>
    <w:p w:rsidR="00ED7AC1" w:rsidRDefault="00105BED">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〔2023〕42号</w:t>
      </w:r>
    </w:p>
    <w:p w:rsidR="00ED7AC1" w:rsidRDefault="00ED7AC1">
      <w:pPr>
        <w:adjustRightInd w:val="0"/>
        <w:snapToGrid w:val="0"/>
        <w:spacing w:line="520" w:lineRule="exact"/>
        <w:jc w:val="left"/>
        <w:rPr>
          <w:rFonts w:ascii="仿宋" w:eastAsia="仿宋" w:hAnsi="仿宋"/>
          <w:b/>
          <w:sz w:val="18"/>
          <w:szCs w:val="18"/>
        </w:rPr>
      </w:pPr>
    </w:p>
    <w:p w:rsidR="00ED7AC1" w:rsidRDefault="00105BED">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当事人：曾</w:t>
      </w:r>
      <w:r w:rsidR="00AE4331">
        <w:rPr>
          <w:rFonts w:ascii="仿宋_GB2312" w:eastAsia="仿宋_GB2312" w:hAnsi="仿宋" w:hint="eastAsia"/>
          <w:sz w:val="32"/>
          <w:szCs w:val="32"/>
        </w:rPr>
        <w:t>*</w:t>
      </w:r>
      <w:r>
        <w:rPr>
          <w:rFonts w:ascii="仿宋_GB2312" w:eastAsia="仿宋_GB2312" w:hAnsi="仿宋" w:hint="eastAsia"/>
          <w:sz w:val="32"/>
          <w:szCs w:val="32"/>
        </w:rPr>
        <w:t>良（为广东杭鸿照明科技有限公司直接负责的主管人员）</w:t>
      </w:r>
    </w:p>
    <w:p w:rsidR="00ED7AC1" w:rsidRDefault="00105BED">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公民身份号码：44</w:t>
      </w:r>
      <w:r w:rsidR="00AE4331">
        <w:rPr>
          <w:rFonts w:ascii="仿宋_GB2312" w:eastAsia="仿宋_GB2312" w:hAnsi="仿宋" w:hint="eastAsia"/>
          <w:sz w:val="32"/>
          <w:szCs w:val="32"/>
        </w:rPr>
        <w:t>**************</w:t>
      </w:r>
      <w:r>
        <w:rPr>
          <w:rFonts w:ascii="仿宋_GB2312" w:eastAsia="仿宋_GB2312" w:hAnsi="仿宋" w:hint="eastAsia"/>
          <w:sz w:val="32"/>
          <w:szCs w:val="32"/>
        </w:rPr>
        <w:t>11</w:t>
      </w:r>
    </w:p>
    <w:p w:rsidR="00ED7AC1" w:rsidRDefault="00105BED">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住址：广东省惠州市惠城区</w:t>
      </w:r>
      <w:r w:rsidR="00AE4331">
        <w:rPr>
          <w:rFonts w:ascii="仿宋_GB2312" w:eastAsia="仿宋_GB2312" w:hAnsi="仿宋" w:hint="eastAsia"/>
          <w:sz w:val="32"/>
          <w:szCs w:val="32"/>
        </w:rPr>
        <w:t>****</w:t>
      </w:r>
      <w:bookmarkStart w:id="0" w:name="_GoBack"/>
      <w:bookmarkEnd w:id="0"/>
    </w:p>
    <w:p w:rsidR="00ED7AC1" w:rsidRDefault="00105BED">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工作地址：江门市江海区东宁路107号4栋厂房1楼102室</w:t>
      </w:r>
    </w:p>
    <w:p w:rsidR="00ED7AC1" w:rsidRDefault="00105BED">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ED7AC1" w:rsidRDefault="00105BED">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2023年5月29日，我局执法人员对广东杭鸿照明科技有限公司（以下称：该单位）进行检查。经调查，该单位的建设项目（主要生产设备：烘箱2台、除油</w:t>
      </w:r>
      <w:proofErr w:type="gramStart"/>
      <w:r>
        <w:rPr>
          <w:rFonts w:ascii="仿宋_GB2312" w:eastAsia="仿宋_GB2312" w:hAnsi="仿宋" w:hint="eastAsia"/>
          <w:sz w:val="32"/>
          <w:szCs w:val="32"/>
        </w:rPr>
        <w:t>清洗线</w:t>
      </w:r>
      <w:proofErr w:type="gramEnd"/>
      <w:r>
        <w:rPr>
          <w:rFonts w:ascii="仿宋_GB2312" w:eastAsia="仿宋_GB2312" w:hAnsi="仿宋" w:hint="eastAsia"/>
          <w:sz w:val="32"/>
          <w:szCs w:val="32"/>
        </w:rPr>
        <w:t>1条、自动喷粉线1条、喷漆线1条、空压机1台、储气罐1个、干燥机1台）于2022年8月31日建成，于2023年3月1日投产。该单位的建设项目属于《建设项目环境影响评价分类管理名录》（2021年版）第三十项“金属制品业”中“金属表面处理及热处理加工”的“其他（年用非溶剂型低VOCs含量涂料10吨以下的除外）”类别，应当编制环境影响报告表。经调查，你为该单位的法定代表人，为直接负责的主管人员。</w:t>
      </w:r>
    </w:p>
    <w:p w:rsidR="00ED7AC1" w:rsidRDefault="00105BED">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笔录、调查询问笔录10份、现场照片（图片、影像资料）证据等，该单位提供的水电租金缴费单据、租赁合同、劳动合同及相关聊天转账截图、合作协议、营业执照、法定代表人及被询问人身份证明复</w:t>
      </w:r>
      <w:r>
        <w:rPr>
          <w:rFonts w:ascii="仿宋_GB2312" w:eastAsia="仿宋_GB2312" w:hAnsi="仿宋" w:hint="eastAsia"/>
          <w:sz w:val="32"/>
          <w:szCs w:val="32"/>
        </w:rPr>
        <w:lastRenderedPageBreak/>
        <w:t>印件，授权委托书、送达地址确认书等；第三方提供的水电租金缴费单据、营业执照、被询问人身份证明复印件等为证。</w:t>
      </w:r>
    </w:p>
    <w:p w:rsidR="00ED7AC1" w:rsidRDefault="00105BED">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ED7AC1" w:rsidRDefault="00105BED">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该单位的上述行为，违反了《建设项目环境保护管理条例》第十五条和第十九条第一款的规定。我局于2023年7月31日向你送达了《行政处罚听证告知书》（江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〔2023〕38</w:t>
      </w:r>
      <w:r>
        <w:rPr>
          <w:rFonts w:ascii="仿宋_GB2312" w:eastAsia="仿宋_GB2312" w:hAnsi="仿宋" w:hint="eastAsia"/>
          <w:sz w:val="32"/>
          <w:szCs w:val="32"/>
        </w:rPr>
        <w:t>号），告知违法事实、处罚依据和拟作出处罚人民币5万元，并告知你有权进行陈述、申辩和要求听证。你未在法定期限内向我局提交听证申请。</w:t>
      </w:r>
    </w:p>
    <w:p w:rsidR="00ED7AC1" w:rsidRDefault="00105BED">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你于2023年8月7日、8月15日向我局提交《关于</w:t>
      </w:r>
      <w:r>
        <w:rPr>
          <w:rFonts w:ascii="仿宋_GB2312" w:eastAsia="仿宋_GB2312" w:hAnsi="仿宋" w:hint="eastAsia"/>
          <w:sz w:val="32"/>
          <w:szCs w:val="32"/>
        </w:rPr>
        <w:t>广东杭鸿照明科技有限公司</w:t>
      </w:r>
      <w:r>
        <w:rPr>
          <w:rFonts w:ascii="仿宋_GB2312" w:eastAsia="仿宋_GB2312" w:hAnsi="仿宋" w:hint="eastAsia"/>
          <w:color w:val="000000"/>
          <w:sz w:val="32"/>
          <w:szCs w:val="32"/>
        </w:rPr>
        <w:t>行政处罚情况的说明》，陈述该单位的基本情况及相关环</w:t>
      </w:r>
      <w:proofErr w:type="gramStart"/>
      <w:r>
        <w:rPr>
          <w:rFonts w:ascii="仿宋_GB2312" w:eastAsia="仿宋_GB2312" w:hAnsi="仿宋" w:hint="eastAsia"/>
          <w:color w:val="000000"/>
          <w:sz w:val="32"/>
          <w:szCs w:val="32"/>
        </w:rPr>
        <w:t>评手续</w:t>
      </w:r>
      <w:proofErr w:type="gramEnd"/>
      <w:r>
        <w:rPr>
          <w:rFonts w:ascii="仿宋_GB2312" w:eastAsia="仿宋_GB2312" w:hAnsi="仿宋" w:hint="eastAsia"/>
          <w:color w:val="000000"/>
          <w:sz w:val="32"/>
          <w:szCs w:val="32"/>
        </w:rPr>
        <w:t>办理情况，并申请减免处罚。经复核，该意见不影响本案违法事实的认定，我局在《行政处罚听证告知书》中已列明相关从轻处罚的情节，已在法律法规规定的最低档次裁</w:t>
      </w:r>
      <w:proofErr w:type="gramStart"/>
      <w:r>
        <w:rPr>
          <w:rFonts w:ascii="仿宋_GB2312" w:eastAsia="仿宋_GB2312" w:hAnsi="仿宋" w:hint="eastAsia"/>
          <w:color w:val="000000"/>
          <w:sz w:val="32"/>
          <w:szCs w:val="32"/>
        </w:rPr>
        <w:t>量处罚</w:t>
      </w:r>
      <w:proofErr w:type="gramEnd"/>
      <w:r>
        <w:rPr>
          <w:rFonts w:ascii="仿宋_GB2312" w:eastAsia="仿宋_GB2312" w:hAnsi="仿宋" w:hint="eastAsia"/>
          <w:color w:val="000000"/>
          <w:sz w:val="32"/>
          <w:szCs w:val="32"/>
        </w:rPr>
        <w:t>金额，我局决定不予采纳你的陈述、申辩意见。</w:t>
      </w:r>
    </w:p>
    <w:p w:rsidR="00ED7AC1" w:rsidRDefault="00105BED">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根据该单位违法行为的事实、性质、情节、社会危害程度和相关证据，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根据《建设项目环境保护管理条例》第二十三条第一款，参照《广东省生态环境行政处罚自由裁量权规定》附件1§1.8 和《江门市实施＜广东省生态环境行政处罚自由裁量权规定＞细则》第五条、第七条第二项裁量标准｛罚款金额5万元=初步罚款金额5万元（裁量起点25%×20万元）+初步罚款金额5万元×5%×调整系数总和0[积极配合调查取、近二年同类违法行为情况的情节已经在权重裁量中体现，则不再重复计算该情节]}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罚款人民币5</w:t>
      </w:r>
      <w:r>
        <w:rPr>
          <w:rFonts w:ascii="仿宋_GB2312" w:eastAsia="仿宋_GB2312" w:hAnsi="仿宋" w:hint="eastAsia"/>
          <w:b/>
          <w:bCs/>
          <w:color w:val="000000"/>
          <w:sz w:val="32"/>
          <w:szCs w:val="32"/>
        </w:rPr>
        <w:t>万元（大写：伍万元）</w:t>
      </w:r>
      <w:r>
        <w:rPr>
          <w:rFonts w:ascii="仿宋_GB2312" w:eastAsia="仿宋_GB2312" w:hAnsi="仿宋" w:hint="eastAsia"/>
          <w:b/>
          <w:bCs/>
          <w:sz w:val="32"/>
          <w:szCs w:val="32"/>
        </w:rPr>
        <w:t>整的行政处罚。</w:t>
      </w:r>
    </w:p>
    <w:p w:rsidR="00ED7AC1" w:rsidRDefault="00105BED">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ED7AC1" w:rsidRDefault="00105BED">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ED7AC1" w:rsidRDefault="00105BED">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ED7AC1" w:rsidRDefault="00105BED">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九条、第十二条第一项、《广东省人民政府关于县级以上人民政府统一行使行政复议职责有关事项的通告》（粤府函〔2021〕99号）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ED7AC1" w:rsidRDefault="00ED7AC1">
      <w:pPr>
        <w:spacing w:line="520" w:lineRule="exact"/>
        <w:jc w:val="left"/>
        <w:rPr>
          <w:rFonts w:ascii="仿宋_GB2312" w:eastAsia="仿宋_GB2312" w:hAnsi="仿宋"/>
          <w:color w:val="000000"/>
          <w:sz w:val="32"/>
          <w:szCs w:val="32"/>
        </w:rPr>
      </w:pPr>
    </w:p>
    <w:p w:rsidR="00ED7AC1" w:rsidRDefault="00ED7AC1">
      <w:pPr>
        <w:spacing w:line="520" w:lineRule="exact"/>
        <w:jc w:val="left"/>
        <w:rPr>
          <w:rFonts w:ascii="仿宋_GB2312" w:eastAsia="仿宋_GB2312" w:hAnsi="仿宋"/>
          <w:color w:val="000000"/>
          <w:sz w:val="32"/>
          <w:szCs w:val="32"/>
        </w:rPr>
      </w:pPr>
    </w:p>
    <w:p w:rsidR="00ED7AC1" w:rsidRDefault="00105BED">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ED7AC1" w:rsidRDefault="00105BED">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2023年8月17日</w:t>
      </w:r>
    </w:p>
    <w:sectPr w:rsidR="00ED7AC1">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CDC" w:rsidRDefault="00975CDC">
      <w:r>
        <w:separator/>
      </w:r>
    </w:p>
  </w:endnote>
  <w:endnote w:type="continuationSeparator" w:id="0">
    <w:p w:rsidR="00975CDC" w:rsidRDefault="0097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AC1" w:rsidRDefault="00105BED">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7AC1" w:rsidRDefault="00105BED">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AE4331" w:rsidRPr="00AE4331">
                            <w:rPr>
                              <w:rFonts w:ascii="仿宋_GB2312" w:eastAsia="仿宋_GB2312" w:hAnsi="仿宋_GB2312" w:cs="仿宋_GB2312"/>
                              <w:noProof/>
                              <w:sz w:val="32"/>
                              <w:szCs w:val="32"/>
                              <w:lang w:val="zh-CN"/>
                            </w:rPr>
                            <w:t>-</w:t>
                          </w:r>
                          <w:r w:rsidR="00AE4331">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D7AC1" w:rsidRDefault="00105BED">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AE4331" w:rsidRPr="00AE4331">
                      <w:rPr>
                        <w:rFonts w:ascii="仿宋_GB2312" w:eastAsia="仿宋_GB2312" w:hAnsi="仿宋_GB2312" w:cs="仿宋_GB2312"/>
                        <w:noProof/>
                        <w:sz w:val="32"/>
                        <w:szCs w:val="32"/>
                        <w:lang w:val="zh-CN"/>
                      </w:rPr>
                      <w:t>-</w:t>
                    </w:r>
                    <w:r w:rsidR="00AE4331">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CDC" w:rsidRDefault="00975CDC">
      <w:r>
        <w:separator/>
      </w:r>
    </w:p>
  </w:footnote>
  <w:footnote w:type="continuationSeparator" w:id="0">
    <w:p w:rsidR="00975CDC" w:rsidRDefault="00975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05BED"/>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42CD6"/>
    <w:rsid w:val="00871E73"/>
    <w:rsid w:val="00887BBE"/>
    <w:rsid w:val="008A0987"/>
    <w:rsid w:val="008E25FC"/>
    <w:rsid w:val="008E568C"/>
    <w:rsid w:val="009038E7"/>
    <w:rsid w:val="00913E59"/>
    <w:rsid w:val="0093145B"/>
    <w:rsid w:val="0093386A"/>
    <w:rsid w:val="00975CDC"/>
    <w:rsid w:val="00995876"/>
    <w:rsid w:val="009B4C85"/>
    <w:rsid w:val="009F54DA"/>
    <w:rsid w:val="00A72CB9"/>
    <w:rsid w:val="00AA4B5D"/>
    <w:rsid w:val="00AB3F60"/>
    <w:rsid w:val="00AE4331"/>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D7AC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9E22693"/>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0007A5"/>
    <w:rsid w:val="1CCC4F47"/>
    <w:rsid w:val="1D794E63"/>
    <w:rsid w:val="1D9B546D"/>
    <w:rsid w:val="1E336ED8"/>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033706"/>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6C44E5D"/>
    <w:rsid w:val="474A45BD"/>
    <w:rsid w:val="47753FE8"/>
    <w:rsid w:val="48396BCF"/>
    <w:rsid w:val="48D11AC4"/>
    <w:rsid w:val="48DC13FA"/>
    <w:rsid w:val="4A2E5A55"/>
    <w:rsid w:val="4A5A3968"/>
    <w:rsid w:val="4B455C85"/>
    <w:rsid w:val="4B8D5369"/>
    <w:rsid w:val="4C4C79B8"/>
    <w:rsid w:val="4C827694"/>
    <w:rsid w:val="4C9D21EE"/>
    <w:rsid w:val="4CAF2E1F"/>
    <w:rsid w:val="4CD23EC9"/>
    <w:rsid w:val="4CD40081"/>
    <w:rsid w:val="4CF406C0"/>
    <w:rsid w:val="4D2A27EC"/>
    <w:rsid w:val="4D9E345A"/>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9491009"/>
    <w:rsid w:val="5ACA7114"/>
    <w:rsid w:val="5B156354"/>
    <w:rsid w:val="5B4708C4"/>
    <w:rsid w:val="5CAC6E0C"/>
    <w:rsid w:val="5D0C6103"/>
    <w:rsid w:val="5D8F6D1E"/>
    <w:rsid w:val="5E001C89"/>
    <w:rsid w:val="5F3D5BD5"/>
    <w:rsid w:val="603D12EC"/>
    <w:rsid w:val="60C121A6"/>
    <w:rsid w:val="615E28EC"/>
    <w:rsid w:val="616945BC"/>
    <w:rsid w:val="625C2AAE"/>
    <w:rsid w:val="63B5695A"/>
    <w:rsid w:val="65530DC6"/>
    <w:rsid w:val="66354692"/>
    <w:rsid w:val="670E7BDC"/>
    <w:rsid w:val="671D4807"/>
    <w:rsid w:val="67CA70E2"/>
    <w:rsid w:val="67E814EB"/>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BB9764C"/>
    <w:rsid w:val="7CD635D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1579</Characters>
  <Application>Microsoft Office Word</Application>
  <DocSecurity>0</DocSecurity>
  <Lines>13</Lines>
  <Paragraphs>3</Paragraphs>
  <ScaleCrop>false</ScaleCrop>
  <Company>其他</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cp:revision>
  <cp:lastPrinted>2023-08-15T23:59:00Z</cp:lastPrinted>
  <dcterms:created xsi:type="dcterms:W3CDTF">2022-06-16T09:50:00Z</dcterms:created>
  <dcterms:modified xsi:type="dcterms:W3CDTF">2025-12-08T02:19:00Z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