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38" w:rsidRDefault="00C3699A">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130</w:t>
      </w:r>
      <w:r>
        <w:rPr>
          <w:rFonts w:eastAsia="方正仿宋_GBK" w:hint="eastAsia"/>
          <w:sz w:val="32"/>
          <w:szCs w:val="32"/>
        </w:rPr>
        <w:t>号</w:t>
      </w:r>
    </w:p>
    <w:p w:rsidR="00C32938" w:rsidRDefault="00C32938">
      <w:pPr>
        <w:spacing w:line="580" w:lineRule="exact"/>
        <w:jc w:val="center"/>
        <w:rPr>
          <w:rFonts w:eastAsia="方正小标宋_GBK"/>
          <w:b/>
          <w:sz w:val="40"/>
          <w:szCs w:val="40"/>
        </w:rPr>
      </w:pPr>
      <w:bookmarkStart w:id="0" w:name="TEXT"/>
      <w:bookmarkStart w:id="1" w:name="_GoBack"/>
      <w:bookmarkEnd w:id="0"/>
      <w:bookmarkEnd w:id="1"/>
    </w:p>
    <w:p w:rsidR="00C32938" w:rsidRDefault="00C32938">
      <w:pPr>
        <w:spacing w:line="578" w:lineRule="exact"/>
        <w:rPr>
          <w:rFonts w:eastAsia="方正仿宋_GBK"/>
          <w:sz w:val="32"/>
          <w:szCs w:val="32"/>
        </w:rPr>
      </w:pPr>
    </w:p>
    <w:p w:rsidR="00C32938" w:rsidRDefault="00C3699A">
      <w:pPr>
        <w:topLinePunct/>
        <w:spacing w:line="578" w:lineRule="exact"/>
        <w:jc w:val="center"/>
        <w:rPr>
          <w:rFonts w:eastAsia="方正小标宋_GBK"/>
          <w:sz w:val="40"/>
          <w:szCs w:val="40"/>
        </w:rPr>
      </w:pPr>
      <w:r>
        <w:rPr>
          <w:rFonts w:eastAsia="方正小标宋_GBK"/>
          <w:sz w:val="40"/>
          <w:szCs w:val="40"/>
        </w:rPr>
        <w:t>关于</w:t>
      </w:r>
      <w:proofErr w:type="gramStart"/>
      <w:r>
        <w:rPr>
          <w:rFonts w:eastAsia="方正小标宋_GBK"/>
          <w:sz w:val="40"/>
          <w:szCs w:val="40"/>
        </w:rPr>
        <w:t>江门盈杰科技</w:t>
      </w:r>
      <w:proofErr w:type="gramEnd"/>
      <w:r>
        <w:rPr>
          <w:rFonts w:eastAsia="方正小标宋_GBK"/>
          <w:sz w:val="40"/>
          <w:szCs w:val="40"/>
        </w:rPr>
        <w:t>有限公司高端真空保鲜</w:t>
      </w:r>
      <w:proofErr w:type="gramStart"/>
      <w:r>
        <w:rPr>
          <w:rFonts w:eastAsia="方正小标宋_GBK"/>
          <w:sz w:val="40"/>
          <w:szCs w:val="40"/>
        </w:rPr>
        <w:t>盒全球</w:t>
      </w:r>
      <w:proofErr w:type="gramEnd"/>
      <w:r>
        <w:rPr>
          <w:rFonts w:eastAsia="方正小标宋_GBK"/>
          <w:sz w:val="40"/>
          <w:szCs w:val="40"/>
        </w:rPr>
        <w:t>研发及生产基地迁扩建项目环境影响报告表的批复</w:t>
      </w:r>
    </w:p>
    <w:p w:rsidR="00C32938" w:rsidRDefault="00C32938" w:rsidP="003D0214">
      <w:pPr>
        <w:spacing w:line="578" w:lineRule="exact"/>
        <w:ind w:firstLineChars="200" w:firstLine="617"/>
        <w:rPr>
          <w:rFonts w:eastAsia="方正仿宋_GBK"/>
          <w:sz w:val="32"/>
          <w:szCs w:val="32"/>
        </w:rPr>
      </w:pPr>
    </w:p>
    <w:p w:rsidR="00C32938" w:rsidRDefault="00C3699A">
      <w:pPr>
        <w:adjustRightInd w:val="0"/>
        <w:spacing w:line="578" w:lineRule="exact"/>
        <w:rPr>
          <w:rFonts w:eastAsia="方正仿宋_GBK"/>
          <w:sz w:val="32"/>
          <w:szCs w:val="32"/>
        </w:rPr>
      </w:pPr>
      <w:proofErr w:type="gramStart"/>
      <w:r>
        <w:rPr>
          <w:rFonts w:eastAsia="方正仿宋_GBK"/>
          <w:sz w:val="32"/>
          <w:szCs w:val="32"/>
        </w:rPr>
        <w:t>江门盈杰科技</w:t>
      </w:r>
      <w:proofErr w:type="gramEnd"/>
      <w:r>
        <w:rPr>
          <w:rFonts w:eastAsia="方正仿宋_GBK"/>
          <w:sz w:val="32"/>
          <w:szCs w:val="32"/>
        </w:rPr>
        <w:t>有限公司：</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你公司报来《江门盈杰科技有限公司高端真空保鲜盒全球研发及生产基地迁扩建项目环境影响报告表》（以下简称《报告表》）等收悉。经审查，现批复如下：</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一、江门盈杰科技有限公司原位于江门市江海区礼乐向前</w:t>
      </w:r>
      <w:proofErr w:type="gramStart"/>
      <w:r>
        <w:rPr>
          <w:rFonts w:eastAsia="方正仿宋_GBK"/>
          <w:sz w:val="32"/>
          <w:szCs w:val="32"/>
        </w:rPr>
        <w:t>村瑞利围</w:t>
      </w:r>
      <w:proofErr w:type="gramEnd"/>
      <w:r>
        <w:rPr>
          <w:rFonts w:eastAsia="方正仿宋_GBK"/>
          <w:sz w:val="32"/>
          <w:szCs w:val="32"/>
        </w:rPr>
        <w:t>内，年产不锈钢包边玻璃盖</w:t>
      </w:r>
      <w:r>
        <w:rPr>
          <w:rFonts w:eastAsia="方正仿宋_GBK"/>
          <w:sz w:val="32"/>
          <w:szCs w:val="32"/>
        </w:rPr>
        <w:t>1740</w:t>
      </w:r>
      <w:r>
        <w:rPr>
          <w:rFonts w:eastAsia="方正仿宋_GBK"/>
          <w:sz w:val="32"/>
          <w:szCs w:val="32"/>
        </w:rPr>
        <w:t>吨。企业现拟搬迁至江门市江海区武东地段规划三路东侧，增加产品类型，扩大生产规模，建设年产不锈钢包边玻璃盖</w:t>
      </w:r>
      <w:r>
        <w:rPr>
          <w:rFonts w:eastAsia="方正仿宋_GBK"/>
          <w:sz w:val="32"/>
          <w:szCs w:val="32"/>
        </w:rPr>
        <w:t>4000</w:t>
      </w:r>
      <w:r>
        <w:rPr>
          <w:rFonts w:eastAsia="方正仿宋_GBK"/>
          <w:sz w:val="32"/>
          <w:szCs w:val="32"/>
        </w:rPr>
        <w:t>吨、硅胶包边玻璃盖</w:t>
      </w:r>
      <w:r>
        <w:rPr>
          <w:rFonts w:eastAsia="方正仿宋_GBK"/>
          <w:sz w:val="32"/>
          <w:szCs w:val="32"/>
        </w:rPr>
        <w:t>3700</w:t>
      </w:r>
      <w:r>
        <w:rPr>
          <w:rFonts w:eastAsia="方正仿宋_GBK"/>
          <w:sz w:val="32"/>
          <w:szCs w:val="32"/>
        </w:rPr>
        <w:t>吨、塑料包边玻璃盖</w:t>
      </w:r>
      <w:r>
        <w:rPr>
          <w:rFonts w:eastAsia="方正仿宋_GBK"/>
          <w:sz w:val="32"/>
          <w:szCs w:val="32"/>
        </w:rPr>
        <w:t>3000</w:t>
      </w:r>
      <w:r>
        <w:rPr>
          <w:rFonts w:eastAsia="方正仿宋_GBK"/>
          <w:sz w:val="32"/>
          <w:szCs w:val="32"/>
        </w:rPr>
        <w:t>吨、保鲜盒</w:t>
      </w:r>
      <w:r>
        <w:rPr>
          <w:rFonts w:eastAsia="方正仿宋_GBK"/>
          <w:sz w:val="32"/>
          <w:szCs w:val="32"/>
        </w:rPr>
        <w:t>3000</w:t>
      </w:r>
      <w:r>
        <w:rPr>
          <w:rFonts w:eastAsia="方正仿宋_GBK"/>
          <w:sz w:val="32"/>
          <w:szCs w:val="32"/>
        </w:rPr>
        <w:t>吨生产项目。该项目建成后，原厂址不再保留建设。</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三、</w:t>
      </w:r>
      <w:r>
        <w:rPr>
          <w:rFonts w:eastAsia="方正仿宋_GBK"/>
          <w:sz w:val="32"/>
          <w:szCs w:val="32"/>
        </w:rPr>
        <w:t>项目在建设和运营中还应重点做好以下工作：</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w:t>
      </w:r>
      <w:r>
        <w:rPr>
          <w:rFonts w:eastAsia="方正仿宋_GBK"/>
          <w:sz w:val="32"/>
          <w:szCs w:val="32"/>
        </w:rPr>
        <w:lastRenderedPageBreak/>
        <w:t>排水系统。项目</w:t>
      </w:r>
      <w:proofErr w:type="gramStart"/>
      <w:r>
        <w:rPr>
          <w:rFonts w:eastAsia="方正仿宋_GBK"/>
          <w:sz w:val="32"/>
          <w:szCs w:val="32"/>
        </w:rPr>
        <w:t>玻璃机</w:t>
      </w:r>
      <w:proofErr w:type="gramEnd"/>
      <w:r>
        <w:rPr>
          <w:rFonts w:eastAsia="方正仿宋_GBK"/>
          <w:sz w:val="32"/>
          <w:szCs w:val="32"/>
        </w:rPr>
        <w:t>加工用水、抛光喷淋用水、清洗机清洗用水循环回用，不外排；除油线的除油槽废液作为危险废物交有资质的单位外运处置，清洗废水经自建废水处理设施处理达到《水污染物排放限值》（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w:t>
      </w:r>
      <w:r>
        <w:rPr>
          <w:rFonts w:eastAsia="方正仿宋_GBK"/>
          <w:sz w:val="32"/>
          <w:szCs w:val="32"/>
        </w:rPr>
        <w:t>水标准的较严者后，排入江门高新区综合污水处理厂。</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项目全面使用低（无）</w:t>
      </w:r>
      <w:r>
        <w:rPr>
          <w:rFonts w:eastAsia="方正仿宋_GBK"/>
          <w:sz w:val="32"/>
          <w:szCs w:val="32"/>
        </w:rPr>
        <w:t>VOCs</w:t>
      </w:r>
      <w:r>
        <w:rPr>
          <w:rFonts w:eastAsia="方正仿宋_GBK"/>
          <w:sz w:val="32"/>
          <w:szCs w:val="32"/>
        </w:rPr>
        <w:t>含量原辅材料，通过密闭负压</w:t>
      </w:r>
      <w:r>
        <w:rPr>
          <w:rFonts w:eastAsia="方正仿宋_GBK"/>
          <w:sz w:val="32"/>
          <w:szCs w:val="32"/>
        </w:rPr>
        <w:t xml:space="preserve"> </w:t>
      </w:r>
      <w:r>
        <w:rPr>
          <w:rFonts w:eastAsia="方正仿宋_GBK"/>
          <w:sz w:val="32"/>
          <w:szCs w:val="32"/>
        </w:rPr>
        <w:t>等方式加强对有机废气的收集效果，末端治理选取符合要求的活性炭并保障在低颗粒物、低含水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记录有关信息。项目应严格落实《报告表》中的活性炭更换频次要求。根据《报告表》，项目所使用的水性胶水</w:t>
      </w:r>
      <w:r>
        <w:rPr>
          <w:rFonts w:eastAsia="方正仿宋_GBK"/>
          <w:sz w:val="32"/>
          <w:szCs w:val="32"/>
        </w:rPr>
        <w:t>VOCs</w:t>
      </w:r>
      <w:r>
        <w:rPr>
          <w:rFonts w:eastAsia="方正仿宋_GBK"/>
          <w:sz w:val="32"/>
          <w:szCs w:val="32"/>
        </w:rPr>
        <w:t>含量符合《胶粘剂挥发性有机化合物限量》</w:t>
      </w:r>
      <w:r>
        <w:rPr>
          <w:rFonts w:eastAsia="方正仿宋_GBK"/>
          <w:sz w:val="32"/>
          <w:szCs w:val="32"/>
        </w:rPr>
        <w:t xml:space="preserve"> </w:t>
      </w:r>
      <w:r>
        <w:rPr>
          <w:rFonts w:eastAsia="方正仿宋_GBK"/>
          <w:sz w:val="32"/>
          <w:szCs w:val="32"/>
        </w:rPr>
        <w:t>（</w:t>
      </w:r>
      <w:r>
        <w:rPr>
          <w:rFonts w:eastAsia="方正仿宋_GBK"/>
          <w:sz w:val="32"/>
          <w:szCs w:val="32"/>
        </w:rPr>
        <w:t>GB33372</w:t>
      </w:r>
      <w:r>
        <w:rPr>
          <w:rFonts w:eastAsia="方正仿宋_GBK"/>
          <w:sz w:val="32"/>
          <w:szCs w:val="32"/>
        </w:rPr>
        <w:t>－</w:t>
      </w:r>
      <w:r>
        <w:rPr>
          <w:rFonts w:eastAsia="方正仿宋_GBK"/>
          <w:sz w:val="32"/>
          <w:szCs w:val="32"/>
        </w:rPr>
        <w:t>2020</w:t>
      </w:r>
      <w:r>
        <w:rPr>
          <w:rFonts w:eastAsia="方正仿宋_GBK"/>
          <w:sz w:val="32"/>
          <w:szCs w:val="32"/>
        </w:rPr>
        <w:t>）表</w:t>
      </w:r>
      <w:r>
        <w:rPr>
          <w:rFonts w:eastAsia="方正仿宋_GBK"/>
          <w:sz w:val="32"/>
          <w:szCs w:val="32"/>
        </w:rPr>
        <w:t>2</w:t>
      </w:r>
      <w:r>
        <w:rPr>
          <w:rFonts w:eastAsia="方正仿宋_GBK"/>
          <w:sz w:val="32"/>
          <w:szCs w:val="32"/>
        </w:rPr>
        <w:t>水基型胶粘剂－其他领域</w:t>
      </w:r>
      <w:r>
        <w:rPr>
          <w:rFonts w:eastAsia="方正仿宋_GBK"/>
          <w:sz w:val="32"/>
          <w:szCs w:val="32"/>
        </w:rPr>
        <w:t>≤50g/L</w:t>
      </w:r>
      <w:r>
        <w:rPr>
          <w:rFonts w:eastAsia="方正仿宋_GBK"/>
          <w:sz w:val="32"/>
          <w:szCs w:val="32"/>
        </w:rPr>
        <w:t>的限值要求；水性油墨</w:t>
      </w:r>
      <w:r>
        <w:rPr>
          <w:rFonts w:eastAsia="方正仿宋_GBK"/>
          <w:sz w:val="32"/>
          <w:szCs w:val="32"/>
        </w:rPr>
        <w:t>VOCs</w:t>
      </w:r>
      <w:r>
        <w:rPr>
          <w:rFonts w:eastAsia="方正仿宋_GBK"/>
          <w:sz w:val="32"/>
          <w:szCs w:val="32"/>
        </w:rPr>
        <w:t>含量符合《油墨中可挥发性有机化合物（</w:t>
      </w:r>
      <w:r>
        <w:rPr>
          <w:rFonts w:eastAsia="方正仿宋_GBK"/>
          <w:sz w:val="32"/>
          <w:szCs w:val="32"/>
        </w:rPr>
        <w:t>VOCs</w:t>
      </w:r>
      <w:r>
        <w:rPr>
          <w:rFonts w:eastAsia="方正仿宋_GBK"/>
          <w:sz w:val="32"/>
          <w:szCs w:val="32"/>
        </w:rPr>
        <w:t>）含量的限值》（</w:t>
      </w:r>
      <w:r>
        <w:rPr>
          <w:rFonts w:eastAsia="方正仿宋_GBK"/>
          <w:sz w:val="32"/>
          <w:szCs w:val="32"/>
        </w:rPr>
        <w:t>GB38507-2020</w:t>
      </w:r>
      <w:r>
        <w:rPr>
          <w:rFonts w:eastAsia="方正仿宋_GBK"/>
          <w:sz w:val="32"/>
          <w:szCs w:val="32"/>
        </w:rPr>
        <w:t>）表</w:t>
      </w:r>
      <w:r>
        <w:rPr>
          <w:rFonts w:eastAsia="方正仿宋_GBK"/>
          <w:sz w:val="32"/>
          <w:szCs w:val="32"/>
        </w:rPr>
        <w:t>1</w:t>
      </w:r>
      <w:r>
        <w:rPr>
          <w:rFonts w:eastAsia="方正仿宋_GBK"/>
          <w:sz w:val="32"/>
          <w:szCs w:val="32"/>
        </w:rPr>
        <w:t>水性油墨</w:t>
      </w:r>
      <w:r>
        <w:rPr>
          <w:rFonts w:eastAsia="方正仿宋_GBK"/>
          <w:sz w:val="32"/>
          <w:szCs w:val="32"/>
        </w:rPr>
        <w:t>-</w:t>
      </w:r>
      <w:r>
        <w:rPr>
          <w:rFonts w:eastAsia="方正仿宋_GBK"/>
          <w:sz w:val="32"/>
          <w:szCs w:val="32"/>
        </w:rPr>
        <w:t>网印油墨</w:t>
      </w:r>
      <w:r>
        <w:rPr>
          <w:rFonts w:eastAsia="方正仿宋_GBK"/>
          <w:sz w:val="32"/>
          <w:szCs w:val="32"/>
        </w:rPr>
        <w:t>≤30%</w:t>
      </w:r>
      <w:r>
        <w:rPr>
          <w:rFonts w:eastAsia="方正仿宋_GBK"/>
          <w:sz w:val="32"/>
          <w:szCs w:val="32"/>
        </w:rPr>
        <w:t>的限值要求。</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项目外排工艺废气中，</w:t>
      </w:r>
      <w:r>
        <w:rPr>
          <w:rFonts w:eastAsia="方正仿宋_GBK"/>
          <w:sz w:val="32"/>
          <w:szCs w:val="32"/>
        </w:rPr>
        <w:t>总</w:t>
      </w:r>
      <w:r>
        <w:rPr>
          <w:rFonts w:eastAsia="方正仿宋_GBK"/>
          <w:sz w:val="32"/>
          <w:szCs w:val="32"/>
        </w:rPr>
        <w:t>VOCs</w:t>
      </w:r>
      <w:r>
        <w:rPr>
          <w:rFonts w:eastAsia="方正仿宋_GBK"/>
          <w:sz w:val="32"/>
          <w:szCs w:val="32"/>
        </w:rPr>
        <w:t>执行《印刷行业挥发性有机</w:t>
      </w:r>
      <w:r>
        <w:rPr>
          <w:rFonts w:eastAsia="方正仿宋_GBK"/>
          <w:sz w:val="32"/>
          <w:szCs w:val="32"/>
        </w:rPr>
        <w:lastRenderedPageBreak/>
        <w:t>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排气筒</w:t>
      </w:r>
      <w:r>
        <w:rPr>
          <w:rFonts w:eastAsia="方正仿宋_GBK"/>
          <w:sz w:val="32"/>
          <w:szCs w:val="32"/>
        </w:rPr>
        <w:t>VOCs</w:t>
      </w:r>
      <w:r>
        <w:rPr>
          <w:rFonts w:eastAsia="方正仿宋_GBK"/>
          <w:sz w:val="32"/>
          <w:szCs w:val="32"/>
        </w:rPr>
        <w:t>排放限值；非甲烷总烃执行《印刷工业大气污染物排放标准》（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1</w:t>
      </w:r>
      <w:r>
        <w:rPr>
          <w:rFonts w:eastAsia="方正仿宋_GBK"/>
          <w:sz w:val="32"/>
          <w:szCs w:val="32"/>
        </w:rPr>
        <w:t>大气污染排放限值、《橡胶制品工业污染物排放标准》（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5</w:t>
      </w:r>
      <w:r>
        <w:rPr>
          <w:rFonts w:eastAsia="方正仿宋_GBK"/>
          <w:sz w:val="32"/>
          <w:szCs w:val="32"/>
        </w:rPr>
        <w:t>新建企业大气污染物排放限值和《合成树脂工业污染物排放标准》（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大气污染物排放限值的较严者；厂区内无组织排放的有机废气执行《印刷工业大气污染物排放标准》（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无组织排放限值的较严者；厂界无组织排放的有机废气执行《印刷行业挥发性有机化合物排放标准》（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3</w:t>
      </w:r>
      <w:r>
        <w:rPr>
          <w:rFonts w:eastAsia="方正仿宋_GBK"/>
          <w:sz w:val="32"/>
          <w:szCs w:val="32"/>
        </w:rPr>
        <w:t>无组织排放监控点浓度限值、《橡胶制品工业污染物排放标准》（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6</w:t>
      </w:r>
      <w:r>
        <w:rPr>
          <w:rFonts w:eastAsia="方正仿宋_GBK"/>
          <w:sz w:val="32"/>
          <w:szCs w:val="32"/>
        </w:rPr>
        <w:t>现有和新建企业厂界无组织排放限值；其他工艺废气执行《大气污染物排放限值》（</w:t>
      </w:r>
      <w:r>
        <w:rPr>
          <w:rFonts w:eastAsia="方正仿宋_GBK"/>
          <w:sz w:val="32"/>
          <w:szCs w:val="32"/>
        </w:rPr>
        <w:t>DB44/27-2001</w:t>
      </w:r>
      <w:r>
        <w:rPr>
          <w:rFonts w:eastAsia="方正仿宋_GBK"/>
          <w:sz w:val="32"/>
          <w:szCs w:val="32"/>
        </w:rPr>
        <w:t>）第二时段二级标准和无组织排放监控浓度限值。食堂油烟执行《饮食业油烟排放标准》（试行）（</w:t>
      </w:r>
      <w:r>
        <w:rPr>
          <w:rFonts w:eastAsia="方正仿宋_GBK"/>
          <w:sz w:val="32"/>
          <w:szCs w:val="32"/>
        </w:rPr>
        <w:t>GB1848</w:t>
      </w:r>
      <w:r>
        <w:rPr>
          <w:rFonts w:eastAsia="方正仿宋_GBK"/>
          <w:sz w:val="32"/>
          <w:szCs w:val="32"/>
        </w:rPr>
        <w:t>3-2001</w:t>
      </w:r>
      <w:r>
        <w:rPr>
          <w:rFonts w:eastAsia="方正仿宋_GBK"/>
          <w:sz w:val="32"/>
          <w:szCs w:val="32"/>
        </w:rPr>
        <w:t>）。恶臭污染物执行《恶臭污染物排放标准》（</w:t>
      </w:r>
      <w:r>
        <w:rPr>
          <w:rFonts w:eastAsia="方正仿宋_GBK"/>
          <w:sz w:val="32"/>
          <w:szCs w:val="32"/>
        </w:rPr>
        <w:t>GB14554-93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lastRenderedPageBreak/>
        <w:t>（四）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w:t>
      </w:r>
      <w:r>
        <w:rPr>
          <w:rFonts w:eastAsia="方正仿宋_GBK"/>
          <w:sz w:val="32"/>
          <w:szCs w:val="32"/>
        </w:rPr>
        <w:t>排放。认真落实各项环境风险防范措施，保证各类事故性排水得到收集和妥善处理，不排入外环境。应加强事故应急演练，防止环境污染事故，确保环境安全。</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（六）做好施工期的环境保护工作，落实施工期生态保护和</w:t>
      </w:r>
      <w:r>
        <w:rPr>
          <w:rFonts w:eastAsia="方正仿宋_GBK"/>
          <w:sz w:val="32"/>
          <w:szCs w:val="32"/>
        </w:rPr>
        <w:t xml:space="preserve"> </w:t>
      </w:r>
      <w:r>
        <w:rPr>
          <w:rFonts w:eastAsia="方正仿宋_GBK"/>
          <w:sz w:val="32"/>
          <w:szCs w:val="32"/>
        </w:rPr>
        <w:t>污染防治措施。合理安排施工时间，防止噪声扰民，施工噪声排放应符合《建筑施工场界环境噪声排放标准》（</w:t>
      </w:r>
      <w:r>
        <w:rPr>
          <w:rFonts w:eastAsia="方正仿宋_GBK"/>
          <w:sz w:val="32"/>
          <w:szCs w:val="32"/>
        </w:rPr>
        <w:t>GB12523-2011</w:t>
      </w:r>
      <w:r>
        <w:rPr>
          <w:rFonts w:eastAsia="方正仿宋_GBK"/>
          <w:sz w:val="32"/>
          <w:szCs w:val="32"/>
        </w:rPr>
        <w:t>）</w:t>
      </w:r>
      <w:r>
        <w:rPr>
          <w:rFonts w:eastAsia="方正仿宋_GBK"/>
          <w:sz w:val="32"/>
          <w:szCs w:val="32"/>
        </w:rPr>
        <w:t xml:space="preserve"> </w:t>
      </w:r>
      <w:r>
        <w:rPr>
          <w:rFonts w:eastAsia="方正仿宋_GBK"/>
          <w:sz w:val="32"/>
          <w:szCs w:val="32"/>
        </w:rPr>
        <w:t>的要求。施工现场应采取有效的水污染治理措施、防扬尘措施及防水土流失措施，施工扬尘等大气污染物排放应符合《大气污染物排放限值》（</w:t>
      </w:r>
      <w:r>
        <w:rPr>
          <w:rFonts w:eastAsia="方正仿宋_GBK"/>
          <w:sz w:val="32"/>
          <w:szCs w:val="32"/>
        </w:rPr>
        <w:t>DB44/27-2001</w:t>
      </w:r>
      <w:r>
        <w:rPr>
          <w:rFonts w:eastAsia="方正仿宋_GBK"/>
          <w:sz w:val="32"/>
          <w:szCs w:val="32"/>
        </w:rPr>
        <w:t>）第二时段无组织排放监控浓度限值的要求。</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五、根据《报告表》核算，迁扩建后，全厂主要污染物总量控制指标为：</w:t>
      </w:r>
      <w:r>
        <w:rPr>
          <w:rFonts w:eastAsia="方正仿宋_GBK"/>
          <w:sz w:val="32"/>
          <w:szCs w:val="32"/>
        </w:rPr>
        <w:t>VOCs≤0.887</w:t>
      </w:r>
      <w:r>
        <w:rPr>
          <w:rFonts w:eastAsia="方正仿宋_GBK"/>
          <w:sz w:val="32"/>
          <w:szCs w:val="32"/>
        </w:rPr>
        <w:t>吨</w:t>
      </w:r>
      <w:r>
        <w:rPr>
          <w:rFonts w:eastAsia="方正仿宋_GBK"/>
          <w:sz w:val="32"/>
          <w:szCs w:val="32"/>
        </w:rPr>
        <w:t>/</w:t>
      </w:r>
      <w:r>
        <w:rPr>
          <w:rFonts w:eastAsia="方正仿宋_GBK"/>
          <w:sz w:val="32"/>
          <w:szCs w:val="32"/>
        </w:rPr>
        <w:t>年。</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lastRenderedPageBreak/>
        <w:t>六、项目应按国家和省的有关规定规范设置各类排污口，并定期开展环境监测。</w:t>
      </w:r>
    </w:p>
    <w:p w:rsidR="00C32938" w:rsidRDefault="00C3699A" w:rsidP="003D0214">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C32938" w:rsidRDefault="00C3699A" w:rsidP="003D0214">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w:t>
      </w:r>
      <w:r>
        <w:rPr>
          <w:rFonts w:eastAsia="方正仿宋_GBK"/>
          <w:sz w:val="32"/>
          <w:szCs w:val="32"/>
        </w:rPr>
        <w:t>分类管理名录》的建设项目，排污单位应当在启动生产设施或者发生实际排污之前依法办理排污许可手续。项目建成后，应按规定落实项目竣工环境保护验收。</w:t>
      </w:r>
    </w:p>
    <w:p w:rsidR="00C32938" w:rsidRDefault="00C3699A" w:rsidP="003D0214">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C32938" w:rsidRDefault="00C32938" w:rsidP="003D0214">
      <w:pPr>
        <w:pStyle w:val="Default"/>
        <w:spacing w:line="578" w:lineRule="exact"/>
        <w:ind w:firstLineChars="1800" w:firstLine="5552"/>
        <w:jc w:val="both"/>
        <w:rPr>
          <w:rFonts w:ascii="Times New Roman" w:eastAsia="方正仿宋_GBK" w:cs="Times New Roman"/>
          <w:color w:val="auto"/>
          <w:sz w:val="32"/>
          <w:szCs w:val="32"/>
        </w:rPr>
      </w:pPr>
    </w:p>
    <w:p w:rsidR="00C32938" w:rsidRDefault="00C32938"/>
    <w:p w:rsidR="00C32938" w:rsidRDefault="00C3699A" w:rsidP="003D0214">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C32938" w:rsidRDefault="00C3699A" w:rsidP="003D0214">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5</w:t>
      </w:r>
      <w:r>
        <w:rPr>
          <w:rFonts w:eastAsia="方正仿宋_GBK"/>
          <w:sz w:val="32"/>
          <w:szCs w:val="32"/>
        </w:rPr>
        <w:t>日</w:t>
      </w: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Pr>
        <w:rPr>
          <w:rFonts w:eastAsia="方正仿宋_GBK"/>
          <w:sz w:val="32"/>
          <w:szCs w:val="32"/>
        </w:rPr>
      </w:pP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Pr>
        <w:rPr>
          <w:rFonts w:eastAsia="方正仿宋_GBK"/>
          <w:sz w:val="32"/>
          <w:szCs w:val="32"/>
        </w:rPr>
      </w:pP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Pr>
        <w:rPr>
          <w:rFonts w:eastAsia="方正仿宋_GBK"/>
          <w:sz w:val="32"/>
          <w:szCs w:val="32"/>
        </w:rPr>
      </w:pP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Pr>
        <w:rPr>
          <w:rFonts w:eastAsia="方正仿宋_GBK"/>
          <w:sz w:val="32"/>
          <w:szCs w:val="32"/>
        </w:rPr>
      </w:pP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Pr>
        <w:rPr>
          <w:rFonts w:eastAsia="方正仿宋_GBK"/>
          <w:sz w:val="32"/>
          <w:szCs w:val="32"/>
        </w:rPr>
      </w:pPr>
    </w:p>
    <w:p w:rsidR="00C32938" w:rsidRDefault="00C32938">
      <w:pPr>
        <w:pStyle w:val="a0"/>
        <w:rPr>
          <w:rFonts w:eastAsia="方正仿宋_GBK"/>
          <w:sz w:val="32"/>
          <w:szCs w:val="32"/>
        </w:rPr>
      </w:pPr>
    </w:p>
    <w:p w:rsidR="00C32938" w:rsidRDefault="00C32938">
      <w:pPr>
        <w:pStyle w:val="a4"/>
        <w:rPr>
          <w:rFonts w:ascii="Times New Roman" w:eastAsia="方正仿宋_GBK" w:hAnsi="Times New Roman"/>
          <w:sz w:val="32"/>
          <w:szCs w:val="32"/>
        </w:rPr>
      </w:pPr>
    </w:p>
    <w:p w:rsidR="00C32938" w:rsidRDefault="00C32938"/>
    <w:p w:rsidR="00C32938" w:rsidRDefault="00C3699A">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C32938">
        <w:trPr>
          <w:trHeight w:val="180"/>
        </w:trPr>
        <w:tc>
          <w:tcPr>
            <w:tcW w:w="9315" w:type="dxa"/>
          </w:tcPr>
          <w:p w:rsidR="00C32938" w:rsidRDefault="00C3699A">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：江门市泰邦环保有限公司</w:t>
            </w:r>
          </w:p>
        </w:tc>
      </w:tr>
    </w:tbl>
    <w:p w:rsidR="00C32938" w:rsidRDefault="00C32938">
      <w:pPr>
        <w:pStyle w:val="af3"/>
        <w:spacing w:afterLines="0" w:after="0" w:line="560" w:lineRule="exact"/>
        <w:rPr>
          <w:rFonts w:eastAsia="方正仿宋_GBK"/>
          <w:sz w:val="32"/>
          <w:szCs w:val="32"/>
        </w:rPr>
      </w:pPr>
    </w:p>
    <w:p w:rsidR="00C32938" w:rsidRDefault="00C3699A">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C32938">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9A" w:rsidRDefault="00C3699A">
      <w:r>
        <w:separator/>
      </w:r>
    </w:p>
  </w:endnote>
  <w:endnote w:type="continuationSeparator" w:id="0">
    <w:p w:rsidR="00C3699A" w:rsidRDefault="00C3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38" w:rsidRDefault="00C3699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2938" w:rsidRDefault="00C3699A">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38" w:rsidRDefault="00C3699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2938" w:rsidRDefault="00C3699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3D0214">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C32938" w:rsidRDefault="00C3699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3D0214">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9A" w:rsidRDefault="00C3699A">
      <w:r>
        <w:separator/>
      </w:r>
    </w:p>
  </w:footnote>
  <w:footnote w:type="continuationSeparator" w:id="0">
    <w:p w:rsidR="00C3699A" w:rsidRDefault="00C3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38" w:rsidRDefault="00C32938">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38" w:rsidRDefault="00C32938">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3D0214"/>
    <w:rsid w:val="009728C0"/>
    <w:rsid w:val="00C32938"/>
    <w:rsid w:val="00C3699A"/>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A7AB4"/>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410</Words>
  <Characters>2339</Characters>
  <Application>Microsoft Office Word</Application>
  <DocSecurity>0</DocSecurity>
  <Lines>19</Lines>
  <Paragraphs>5</Paragraphs>
  <ScaleCrop>false</ScaleCrop>
  <Company>Microsoft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2025-10-20T08:43:00Z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DDE055AE2B66485F9920EA12E21E370B_13</vt:lpwstr>
  </property>
  <property fmtid="{D5CDD505-2E9C-101B-9397-08002B2CF9AE}" pid="4" name="KSOTemplateDocerSaveRecord">
    <vt:lpwstr>eyJoZGlkIjoiNTc5NjBmYjU0MDc3MDBjMTRlZWQ4NzIwMjEwODQyZWYiLCJ1c2VySWQiOiIxMjU2Mzg5Nzc4In0=</vt:lpwstr>
  </property>
</Properties>
</file>