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22" w:rsidRDefault="00BC7C08">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137</w:t>
      </w:r>
      <w:r>
        <w:rPr>
          <w:rFonts w:eastAsia="方正仿宋_GBK" w:hint="eastAsia"/>
          <w:sz w:val="32"/>
          <w:szCs w:val="32"/>
        </w:rPr>
        <w:t>号</w:t>
      </w:r>
    </w:p>
    <w:p w:rsidR="006D5E22" w:rsidRDefault="006D5E22">
      <w:pPr>
        <w:spacing w:line="580" w:lineRule="exact"/>
        <w:jc w:val="center"/>
        <w:rPr>
          <w:rFonts w:eastAsia="方正小标宋_GBK"/>
          <w:b/>
          <w:sz w:val="40"/>
          <w:szCs w:val="40"/>
        </w:rPr>
      </w:pPr>
      <w:bookmarkStart w:id="0" w:name="TEXT"/>
      <w:bookmarkStart w:id="1" w:name="_GoBack"/>
      <w:bookmarkEnd w:id="0"/>
      <w:bookmarkEnd w:id="1"/>
    </w:p>
    <w:p w:rsidR="006D5E22" w:rsidRDefault="006D5E22">
      <w:pPr>
        <w:spacing w:line="578" w:lineRule="exact"/>
        <w:rPr>
          <w:rFonts w:eastAsia="方正仿宋_GBK"/>
          <w:sz w:val="32"/>
          <w:szCs w:val="32"/>
        </w:rPr>
      </w:pPr>
    </w:p>
    <w:p w:rsidR="006D5E22" w:rsidRDefault="00BC7C08">
      <w:pPr>
        <w:topLinePunct/>
        <w:spacing w:line="578" w:lineRule="exact"/>
        <w:jc w:val="center"/>
        <w:rPr>
          <w:rFonts w:eastAsia="方正小标宋_GBK"/>
          <w:sz w:val="40"/>
          <w:szCs w:val="40"/>
        </w:rPr>
      </w:pPr>
      <w:r>
        <w:rPr>
          <w:rFonts w:eastAsia="方正小标宋_GBK"/>
          <w:sz w:val="40"/>
          <w:szCs w:val="40"/>
        </w:rPr>
        <w:t>关于江门市云海塑料制品有限公司年产</w:t>
      </w:r>
      <w:r>
        <w:rPr>
          <w:rFonts w:eastAsia="方正小标宋_GBK"/>
          <w:sz w:val="40"/>
          <w:szCs w:val="40"/>
        </w:rPr>
        <w:t>108</w:t>
      </w:r>
      <w:r>
        <w:rPr>
          <w:rFonts w:eastAsia="方正小标宋_GBK"/>
          <w:sz w:val="40"/>
          <w:szCs w:val="40"/>
        </w:rPr>
        <w:t>万个</w:t>
      </w:r>
    </w:p>
    <w:p w:rsidR="006D5E22" w:rsidRDefault="00BC7C08">
      <w:pPr>
        <w:topLinePunct/>
        <w:spacing w:line="578" w:lineRule="exact"/>
        <w:jc w:val="center"/>
        <w:rPr>
          <w:rFonts w:eastAsia="方正小标宋_GBK"/>
          <w:sz w:val="40"/>
          <w:szCs w:val="40"/>
        </w:rPr>
      </w:pPr>
      <w:r>
        <w:rPr>
          <w:rFonts w:eastAsia="方正小标宋_GBK"/>
          <w:sz w:val="40"/>
          <w:szCs w:val="40"/>
        </w:rPr>
        <w:t>摩托车尾箱建设项目环境影响报告表的批复</w:t>
      </w:r>
    </w:p>
    <w:p w:rsidR="006D5E22" w:rsidRDefault="006D5E22" w:rsidP="00555FAE">
      <w:pPr>
        <w:spacing w:line="578" w:lineRule="exact"/>
        <w:ind w:firstLineChars="200" w:firstLine="617"/>
        <w:rPr>
          <w:rFonts w:eastAsia="方正仿宋_GBK"/>
          <w:sz w:val="32"/>
          <w:szCs w:val="32"/>
        </w:rPr>
      </w:pPr>
    </w:p>
    <w:p w:rsidR="006D5E22" w:rsidRDefault="00BC7C08">
      <w:pPr>
        <w:adjustRightInd w:val="0"/>
        <w:spacing w:line="578" w:lineRule="exact"/>
        <w:rPr>
          <w:rFonts w:eastAsia="方正仿宋_GBK"/>
          <w:sz w:val="32"/>
          <w:szCs w:val="32"/>
        </w:rPr>
      </w:pPr>
      <w:r>
        <w:rPr>
          <w:rFonts w:eastAsia="方正仿宋_GBK"/>
          <w:sz w:val="32"/>
          <w:szCs w:val="32"/>
        </w:rPr>
        <w:t>江门市云海塑料制品有限公司：</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你公司报来《江门市云海塑料制品有限公司年产</w:t>
      </w:r>
      <w:r>
        <w:rPr>
          <w:rFonts w:eastAsia="方正仿宋_GBK"/>
          <w:sz w:val="32"/>
          <w:szCs w:val="32"/>
        </w:rPr>
        <w:t>108</w:t>
      </w:r>
      <w:r>
        <w:rPr>
          <w:rFonts w:eastAsia="方正仿宋_GBK"/>
          <w:sz w:val="32"/>
          <w:szCs w:val="32"/>
        </w:rPr>
        <w:t>万个摩托车尾箱建设项目环境影响报告表》（以下简称《报告表》）等收悉。经审查，现批复如下：</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一、江门市云海塑料制品有限公司拟选址于江门市江海区龙溪路</w:t>
      </w:r>
      <w:r>
        <w:rPr>
          <w:rFonts w:eastAsia="方正仿宋_GBK"/>
          <w:sz w:val="32"/>
          <w:szCs w:val="32"/>
        </w:rPr>
        <w:t>80</w:t>
      </w:r>
      <w:r>
        <w:rPr>
          <w:rFonts w:eastAsia="方正仿宋_GBK"/>
          <w:sz w:val="32"/>
          <w:szCs w:val="32"/>
        </w:rPr>
        <w:t>号</w:t>
      </w:r>
      <w:r>
        <w:rPr>
          <w:rFonts w:eastAsia="方正仿宋_GBK"/>
          <w:sz w:val="32"/>
          <w:szCs w:val="32"/>
        </w:rPr>
        <w:t>2</w:t>
      </w:r>
      <w:r>
        <w:rPr>
          <w:rFonts w:eastAsia="方正仿宋_GBK"/>
          <w:sz w:val="32"/>
          <w:szCs w:val="32"/>
        </w:rPr>
        <w:t>栋</w:t>
      </w:r>
      <w:r>
        <w:rPr>
          <w:rFonts w:eastAsia="方正仿宋_GBK"/>
          <w:sz w:val="32"/>
          <w:szCs w:val="32"/>
        </w:rPr>
        <w:t>1</w:t>
      </w:r>
      <w:r>
        <w:rPr>
          <w:rFonts w:eastAsia="方正仿宋_GBK"/>
          <w:sz w:val="32"/>
          <w:szCs w:val="32"/>
        </w:rPr>
        <w:t>层和</w:t>
      </w:r>
      <w:r>
        <w:rPr>
          <w:rFonts w:eastAsia="方正仿宋_GBK"/>
          <w:sz w:val="32"/>
          <w:szCs w:val="32"/>
        </w:rPr>
        <w:t>2</w:t>
      </w:r>
      <w:r>
        <w:rPr>
          <w:rFonts w:eastAsia="方正仿宋_GBK"/>
          <w:sz w:val="32"/>
          <w:szCs w:val="32"/>
        </w:rPr>
        <w:t>层，建设年产摩托车尾箱</w:t>
      </w:r>
      <w:r>
        <w:rPr>
          <w:rFonts w:eastAsia="方正仿宋_GBK"/>
          <w:sz w:val="32"/>
          <w:szCs w:val="32"/>
        </w:rPr>
        <w:t>108</w:t>
      </w:r>
      <w:r>
        <w:rPr>
          <w:rFonts w:eastAsia="方正仿宋_GBK"/>
          <w:sz w:val="32"/>
          <w:szCs w:val="32"/>
        </w:rPr>
        <w:t>万个生产项目。</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的原则优化设置厂区给、排水系统。项目冷却水循环使用，不外排；无生产废水产生和排放。生活污水经预处理达到《水污染物排放限值》（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w:t>
      </w:r>
      <w:r>
        <w:rPr>
          <w:rFonts w:eastAsia="方正仿宋_GBK"/>
          <w:sz w:val="32"/>
          <w:szCs w:val="32"/>
        </w:rPr>
        <w:lastRenderedPageBreak/>
        <w:t>江海污水处理厂。</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（二）产生含挥发性有机物废气的生产活动应当在密闭空间或者设备中进行，生产过程中应采取有效的废气收集和处理措施，减少大气污染物排放量，确保项目有组织和厂界无组织废气达标排放。项目通过多面</w:t>
      </w:r>
      <w:proofErr w:type="gramStart"/>
      <w:r>
        <w:rPr>
          <w:rFonts w:eastAsia="方正仿宋_GBK"/>
          <w:sz w:val="32"/>
          <w:szCs w:val="32"/>
        </w:rPr>
        <w:t>环绕式集气</w:t>
      </w:r>
      <w:proofErr w:type="gramEnd"/>
      <w:r>
        <w:rPr>
          <w:rFonts w:eastAsia="方正仿宋_GBK"/>
          <w:sz w:val="32"/>
          <w:szCs w:val="32"/>
        </w:rPr>
        <w:t>设备形成局部密闭条件，加强对注塑废气的收集效果，末端治理选取符</w:t>
      </w:r>
      <w:r>
        <w:rPr>
          <w:rFonts w:eastAsia="方正仿宋_GBK"/>
          <w:sz w:val="32"/>
          <w:szCs w:val="32"/>
        </w:rPr>
        <w:t>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记录有关信息，建议至少每季度更换一次活性炭。项目外排有机废气执行《合成树脂工业污染物排放标准》（</w:t>
      </w:r>
      <w:r>
        <w:rPr>
          <w:rFonts w:eastAsia="方正仿宋_GBK"/>
          <w:sz w:val="32"/>
          <w:szCs w:val="32"/>
        </w:rPr>
        <w:t>GB31572-2015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）第二时段无组织排放监控浓度限值。恶臭污染物执行《恶臭污染物排放标准》（</w:t>
      </w:r>
      <w:r>
        <w:rPr>
          <w:rFonts w:eastAsia="方正仿宋_GBK"/>
          <w:sz w:val="32"/>
          <w:szCs w:val="32"/>
        </w:rPr>
        <w:t>GB14554-93</w:t>
      </w:r>
      <w:r>
        <w:rPr>
          <w:rFonts w:eastAsia="方正仿宋_GBK"/>
          <w:sz w:val="32"/>
          <w:szCs w:val="32"/>
        </w:rPr>
        <w:t>）。</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规定，送有资质的单位处理处置，并执行危险废物转移联单制度。厂区内的危险废物和一般工业固体废物临时性贮存设施应符合《危险废物</w:t>
      </w:r>
      <w:r>
        <w:rPr>
          <w:rFonts w:eastAsia="方正仿宋_GBK"/>
          <w:sz w:val="32"/>
          <w:szCs w:val="32"/>
        </w:rPr>
        <w:t>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GB18599-2020</w:t>
      </w:r>
      <w:r>
        <w:rPr>
          <w:rFonts w:eastAsia="方正仿宋_GBK"/>
          <w:sz w:val="32"/>
          <w:szCs w:val="32"/>
        </w:rPr>
        <w:t>）的规定。生活垃圾交由环卫部门统一处理。</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VOCs≤0.2736</w:t>
      </w:r>
      <w:r>
        <w:rPr>
          <w:rFonts w:eastAsia="方正仿宋_GBK"/>
          <w:sz w:val="32"/>
          <w:szCs w:val="32"/>
        </w:rPr>
        <w:t>吨</w:t>
      </w:r>
      <w:r>
        <w:rPr>
          <w:rFonts w:eastAsia="方正仿宋_GBK"/>
          <w:sz w:val="32"/>
          <w:szCs w:val="32"/>
        </w:rPr>
        <w:t>/</w:t>
      </w:r>
      <w:r>
        <w:rPr>
          <w:rFonts w:eastAsia="方正仿宋_GBK"/>
          <w:sz w:val="32"/>
          <w:szCs w:val="32"/>
        </w:rPr>
        <w:t>年。</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6D5E22" w:rsidRDefault="00BC7C08" w:rsidP="00555FAE">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6D5E22" w:rsidRDefault="00BC7C08" w:rsidP="00555FAE">
      <w:pPr>
        <w:spacing w:line="578" w:lineRule="exact"/>
        <w:ind w:firstLineChars="200" w:firstLine="617"/>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6D5E22" w:rsidRDefault="00BC7C08" w:rsidP="00555FAE">
      <w:pPr>
        <w:spacing w:line="578" w:lineRule="exact"/>
        <w:ind w:firstLineChars="200" w:firstLine="617"/>
        <w:rPr>
          <w:rFonts w:eastAsia="方正仿宋_GBK"/>
          <w:sz w:val="32"/>
          <w:szCs w:val="32"/>
        </w:rPr>
      </w:pPr>
      <w:r>
        <w:rPr>
          <w:rFonts w:eastAsia="方正仿宋_GBK"/>
          <w:sz w:val="32"/>
          <w:szCs w:val="32"/>
        </w:rPr>
        <w:lastRenderedPageBreak/>
        <w:t xml:space="preserve"> </w:t>
      </w:r>
      <w:r>
        <w:rPr>
          <w:rFonts w:eastAsia="方正仿宋_GBK"/>
          <w:sz w:val="32"/>
          <w:szCs w:val="32"/>
        </w:rPr>
        <w:t xml:space="preserve">                  </w:t>
      </w:r>
      <w:r>
        <w:rPr>
          <w:rFonts w:eastAsia="方正仿宋_GBK"/>
          <w:sz w:val="32"/>
          <w:szCs w:val="32"/>
        </w:rPr>
        <w:t xml:space="preserve">                          </w:t>
      </w:r>
    </w:p>
    <w:p w:rsidR="006D5E22" w:rsidRDefault="006D5E22">
      <w:pPr>
        <w:pStyle w:val="a0"/>
      </w:pPr>
    </w:p>
    <w:p w:rsidR="006D5E22" w:rsidRDefault="006D5E22">
      <w:pPr>
        <w:pStyle w:val="a4"/>
      </w:pPr>
    </w:p>
    <w:p w:rsidR="006D5E22" w:rsidRDefault="00BC7C08" w:rsidP="00555FAE">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6D5E22" w:rsidRDefault="00BC7C08" w:rsidP="00555FAE">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hint="eastAsia"/>
          <w:sz w:val="32"/>
          <w:szCs w:val="32"/>
        </w:rPr>
        <w:t>22</w:t>
      </w:r>
      <w:r>
        <w:rPr>
          <w:rFonts w:eastAsia="方正仿宋_GBK"/>
          <w:sz w:val="32"/>
          <w:szCs w:val="32"/>
        </w:rPr>
        <w:t>日</w:t>
      </w:r>
    </w:p>
    <w:p w:rsidR="006D5E22" w:rsidRDefault="006D5E22">
      <w:pPr>
        <w:pStyle w:val="a0"/>
        <w:rPr>
          <w:rFonts w:eastAsia="方正仿宋_GBK"/>
          <w:sz w:val="32"/>
          <w:szCs w:val="32"/>
        </w:rPr>
      </w:pPr>
    </w:p>
    <w:p w:rsidR="006D5E22" w:rsidRDefault="006D5E22">
      <w:pPr>
        <w:pStyle w:val="a4"/>
        <w:rPr>
          <w:rFonts w:ascii="Times New Roman" w:eastAsia="方正仿宋_GBK" w:hAnsi="Times New Roman"/>
          <w:sz w:val="32"/>
          <w:szCs w:val="32"/>
        </w:rPr>
      </w:pPr>
    </w:p>
    <w:p w:rsidR="006D5E22" w:rsidRDefault="006D5E22">
      <w:pPr>
        <w:pStyle w:val="a0"/>
        <w:rPr>
          <w:rFonts w:eastAsia="方正仿宋_GBK"/>
          <w:sz w:val="32"/>
          <w:szCs w:val="32"/>
        </w:rPr>
      </w:pPr>
    </w:p>
    <w:p w:rsidR="006D5E22" w:rsidRDefault="006D5E22">
      <w:pPr>
        <w:pStyle w:val="a4"/>
        <w:rPr>
          <w:rFonts w:ascii="Times New Roman" w:eastAsia="方正仿宋_GBK" w:hAnsi="Times New Roman"/>
          <w:sz w:val="32"/>
          <w:szCs w:val="32"/>
        </w:rPr>
      </w:pPr>
    </w:p>
    <w:p w:rsidR="006D5E22" w:rsidRDefault="006D5E22">
      <w:pPr>
        <w:rPr>
          <w:rFonts w:eastAsia="方正仿宋_GBK"/>
          <w:sz w:val="32"/>
          <w:szCs w:val="32"/>
        </w:rPr>
      </w:pPr>
    </w:p>
    <w:p w:rsidR="006D5E22" w:rsidRDefault="006D5E22">
      <w:pPr>
        <w:pStyle w:val="a0"/>
      </w:pPr>
    </w:p>
    <w:p w:rsidR="006D5E22" w:rsidRDefault="006D5E22">
      <w:pPr>
        <w:pStyle w:val="a4"/>
      </w:pPr>
    </w:p>
    <w:p w:rsidR="006D5E22" w:rsidRDefault="00BC7C08">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6D5E22">
        <w:trPr>
          <w:trHeight w:val="180"/>
        </w:trPr>
        <w:tc>
          <w:tcPr>
            <w:tcW w:w="9315" w:type="dxa"/>
          </w:tcPr>
          <w:p w:rsidR="006D5E22" w:rsidRDefault="00BC7C08">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：广东绿航环保工程有限公司</w:t>
            </w:r>
          </w:p>
        </w:tc>
      </w:tr>
    </w:tbl>
    <w:p w:rsidR="006D5E22" w:rsidRDefault="006D5E22">
      <w:pPr>
        <w:pStyle w:val="af3"/>
        <w:spacing w:afterLines="0" w:after="0" w:line="560" w:lineRule="exact"/>
        <w:rPr>
          <w:rFonts w:eastAsia="方正仿宋_GBK"/>
          <w:sz w:val="32"/>
          <w:szCs w:val="32"/>
        </w:rPr>
      </w:pPr>
    </w:p>
    <w:p w:rsidR="006D5E22" w:rsidRDefault="00BC7C08">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6D5E22">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08" w:rsidRDefault="00BC7C08">
      <w:r>
        <w:separator/>
      </w:r>
    </w:p>
  </w:endnote>
  <w:endnote w:type="continuationSeparator" w:id="0">
    <w:p w:rsidR="00BC7C08" w:rsidRDefault="00BC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22" w:rsidRDefault="00BC7C08">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D5E22" w:rsidRDefault="00BC7C08">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22" w:rsidRDefault="00BC7C08">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D5E22" w:rsidRDefault="00BC7C08">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555FAE">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6D5E22" w:rsidRDefault="00BC7C08">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555FAE">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08" w:rsidRDefault="00BC7C08">
      <w:r>
        <w:separator/>
      </w:r>
    </w:p>
  </w:footnote>
  <w:footnote w:type="continuationSeparator" w:id="0">
    <w:p w:rsidR="00BC7C08" w:rsidRDefault="00BC7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22" w:rsidRDefault="006D5E22">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22" w:rsidRDefault="006D5E22">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555FAE"/>
    <w:rsid w:val="006D5E22"/>
    <w:rsid w:val="009728C0"/>
    <w:rsid w:val="00BC7C08"/>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27C54"/>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5B1A04"/>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D1B07"/>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9DB6AF0"/>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EB82797"/>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258</Words>
  <Characters>1475</Characters>
  <Application>Microsoft Office Word</Application>
  <DocSecurity>0</DocSecurity>
  <Lines>12</Lines>
  <Paragraphs>3</Paragraphs>
  <ScaleCrop>false</ScaleCrop>
  <Company>Microsoft</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2025-10-22T09:05:00Z</cp:lastPrinted>
  <dcterms:created xsi:type="dcterms:W3CDTF">2023-07-14T09:35:00Z</dcterms:created>
  <dcterms:modified xsi:type="dcterms:W3CDTF">2026-01-08T07:39:00Z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3FF859F94E324A66BD5D2441BC2795B7_13</vt:lpwstr>
  </property>
  <property fmtid="{D5CDD505-2E9C-101B-9397-08002B2CF9AE}" pid="4" name="KSOTemplateDocerSaveRecord">
    <vt:lpwstr>eyJoZGlkIjoiNTc5NjBmYjU0MDc3MDBjMTRlZWQ4NzIwMjEwODQyZWYiLCJ1c2VySWQiOiIxMjU2Mzg5Nzc4In0=</vt:lpwstr>
  </property>
</Properties>
</file>