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00" w:line="240" w:lineRule="auto"/>
        <w:jc w:val="center"/>
        <w:rPr>
          <w:rFonts w:hint="eastAsia" w:ascii="方正小标宋简体" w:hAnsi="方正小标宋简体" w:eastAsia="方正小标宋简体" w:cs="方正小标宋简体"/>
          <w:color w:val="000000"/>
          <w:sz w:val="44"/>
          <w:szCs w:val="44"/>
          <w:highlight w:val="none"/>
        </w:rPr>
      </w:pPr>
      <w:bookmarkStart w:id="1" w:name="_GoBack"/>
      <w:bookmarkEnd w:id="1"/>
      <w:r>
        <w:rPr>
          <w:rFonts w:hint="eastAsia" w:ascii="方正小标宋简体" w:hAnsi="方正小标宋简体" w:eastAsia="方正小标宋简体" w:cs="方正小标宋简体"/>
          <w:color w:val="000000"/>
          <w:sz w:val="44"/>
          <w:szCs w:val="44"/>
          <w:highlight w:val="none"/>
          <w:lang w:eastAsia="zh-CN"/>
        </w:rPr>
        <w:t>江门市发展和改革局关于委托第三方</w:t>
      </w:r>
      <w:r>
        <w:rPr>
          <w:rFonts w:hint="eastAsia" w:ascii="方正小标宋简体" w:hAnsi="方正小标宋简体" w:eastAsia="方正小标宋简体" w:cs="方正小标宋简体"/>
          <w:color w:val="000000"/>
          <w:sz w:val="44"/>
          <w:szCs w:val="44"/>
          <w:highlight w:val="none"/>
        </w:rPr>
        <w:t>开展</w:t>
      </w:r>
      <w:r>
        <w:rPr>
          <w:rFonts w:hint="eastAsia" w:ascii="方正小标宋简体" w:hAnsi="方正小标宋简体" w:eastAsia="方正小标宋简体" w:cs="方正小标宋简体"/>
          <w:color w:val="000000"/>
          <w:sz w:val="44"/>
          <w:szCs w:val="44"/>
          <w:highlight w:val="none"/>
          <w:lang w:eastAsia="zh-CN"/>
        </w:rPr>
        <w:t>碳排放核算分析及“两新”政策研究</w:t>
      </w:r>
      <w:r>
        <w:rPr>
          <w:rFonts w:hint="eastAsia" w:ascii="方正小标宋简体" w:hAnsi="方正小标宋简体" w:eastAsia="方正小标宋简体" w:cs="方正小标宋简体"/>
          <w:color w:val="000000"/>
          <w:sz w:val="44"/>
          <w:szCs w:val="44"/>
          <w:highlight w:val="none"/>
        </w:rPr>
        <w:t>服务</w:t>
      </w:r>
      <w:r>
        <w:rPr>
          <w:rFonts w:hint="eastAsia" w:ascii="方正小标宋简体" w:hAnsi="方正小标宋简体" w:eastAsia="方正小标宋简体" w:cs="方正小标宋简体"/>
          <w:color w:val="000000"/>
          <w:sz w:val="44"/>
          <w:szCs w:val="44"/>
          <w:highlight w:val="none"/>
          <w:lang w:eastAsia="zh-CN"/>
        </w:rPr>
        <w:t>需求书</w:t>
      </w:r>
    </w:p>
    <w:p>
      <w:pPr>
        <w:tabs>
          <w:tab w:val="left" w:pos="840"/>
        </w:tabs>
        <w:spacing w:line="680" w:lineRule="exact"/>
        <w:ind w:left="360" w:right="359" w:rightChars="171" w:firstLine="580"/>
        <w:jc w:val="both"/>
        <w:rPr>
          <w:rFonts w:hint="eastAsia" w:asciiTheme="minorEastAsia" w:hAnsiTheme="minorEastAsia" w:eastAsiaTheme="minorEastAsia" w:cstheme="minorEastAsia"/>
          <w:color w:val="000000"/>
          <w:sz w:val="32"/>
          <w:szCs w:val="32"/>
          <w:highlight w:val="none"/>
        </w:rPr>
      </w:pPr>
    </w:p>
    <w:tbl>
      <w:tblPr>
        <w:tblStyle w:val="2"/>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579"/>
        <w:gridCol w:w="1596"/>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jc w:val="center"/>
              <w:rPr>
                <w:sz w:val="30"/>
                <w:szCs w:val="30"/>
                <w:highlight w:val="none"/>
              </w:rPr>
            </w:pPr>
          </w:p>
          <w:p>
            <w:pPr>
              <w:jc w:val="center"/>
              <w:rPr>
                <w:sz w:val="30"/>
                <w:szCs w:val="30"/>
                <w:highlight w:val="none"/>
              </w:rPr>
            </w:pPr>
          </w:p>
        </w:tc>
        <w:tc>
          <w:tcPr>
            <w:tcW w:w="1596" w:type="dxa"/>
            <w:vAlign w:val="center"/>
          </w:tcPr>
          <w:p>
            <w:pPr>
              <w:spacing w:line="572" w:lineRule="exact"/>
              <w:jc w:val="center"/>
              <w:rPr>
                <w:sz w:val="30"/>
                <w:szCs w:val="30"/>
                <w:highlight w:val="none"/>
              </w:rPr>
            </w:pPr>
            <w:r>
              <w:rPr>
                <w:rFonts w:hint="eastAsia" w:ascii="宋体" w:hAnsi="宋体" w:eastAsia="宋体"/>
                <w:color w:val="000000"/>
                <w:sz w:val="30"/>
                <w:szCs w:val="30"/>
                <w:highlight w:val="none"/>
              </w:rPr>
              <w:t>类别</w:t>
            </w:r>
          </w:p>
        </w:tc>
        <w:tc>
          <w:tcPr>
            <w:tcW w:w="6876" w:type="dxa"/>
            <w:vAlign w:val="center"/>
          </w:tcPr>
          <w:p>
            <w:pPr>
              <w:spacing w:line="572" w:lineRule="exact"/>
              <w:ind w:firstLine="0"/>
              <w:jc w:val="center"/>
              <w:rPr>
                <w:sz w:val="30"/>
                <w:szCs w:val="30"/>
                <w:highlight w:val="none"/>
              </w:rPr>
            </w:pPr>
            <w:r>
              <w:rPr>
                <w:rFonts w:hint="eastAsia" w:ascii="宋体" w:hAnsi="宋体" w:eastAsia="宋体"/>
                <w:color w:val="000000"/>
                <w:sz w:val="30"/>
                <w:szCs w:val="30"/>
                <w:highlight w:val="none"/>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640" w:lineRule="exact"/>
              <w:jc w:val="center"/>
              <w:rPr>
                <w:sz w:val="30"/>
                <w:szCs w:val="30"/>
                <w:highlight w:val="none"/>
              </w:rPr>
            </w:pPr>
            <w:r>
              <w:rPr>
                <w:rFonts w:hint="eastAsia" w:ascii="宋体" w:hAnsi="宋体" w:eastAsia="宋体"/>
                <w:color w:val="000000"/>
                <w:sz w:val="30"/>
                <w:szCs w:val="30"/>
                <w:highlight w:val="none"/>
              </w:rPr>
              <w:t>1</w:t>
            </w:r>
          </w:p>
        </w:tc>
        <w:tc>
          <w:tcPr>
            <w:tcW w:w="1596" w:type="dxa"/>
            <w:vAlign w:val="center"/>
          </w:tcPr>
          <w:p>
            <w:pPr>
              <w:tabs>
                <w:tab w:val="left" w:pos="630"/>
              </w:tabs>
              <w:spacing w:line="696" w:lineRule="exact"/>
              <w:jc w:val="center"/>
              <w:rPr>
                <w:sz w:val="30"/>
                <w:szCs w:val="30"/>
                <w:highlight w:val="none"/>
              </w:rPr>
            </w:pPr>
            <w:r>
              <w:rPr>
                <w:rFonts w:hint="eastAsia" w:ascii="宋体" w:hAnsi="宋体" w:eastAsia="宋体"/>
                <w:color w:val="000000"/>
                <w:sz w:val="30"/>
                <w:szCs w:val="30"/>
                <w:highlight w:val="none"/>
              </w:rPr>
              <w:t>名称</w:t>
            </w:r>
          </w:p>
        </w:tc>
        <w:tc>
          <w:tcPr>
            <w:tcW w:w="6876" w:type="dxa"/>
            <w:vAlign w:val="top"/>
          </w:tcPr>
          <w:p>
            <w:pPr>
              <w:spacing w:after="300" w:line="240" w:lineRule="auto"/>
              <w:jc w:val="center"/>
              <w:rPr>
                <w:sz w:val="30"/>
                <w:szCs w:val="30"/>
                <w:highlight w:val="none"/>
              </w:rPr>
            </w:pPr>
            <w:r>
              <w:rPr>
                <w:rFonts w:hint="eastAsia" w:ascii="宋体" w:hAnsi="宋体" w:eastAsia="宋体"/>
                <w:color w:val="000000"/>
                <w:sz w:val="30"/>
                <w:szCs w:val="30"/>
                <w:highlight w:val="none"/>
                <w:lang w:eastAsia="zh-CN"/>
              </w:rPr>
              <w:t>江门市发展和改革局关于委托第三方开展碳排放核算分析及“两新”政策研究服务需求书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760" w:lineRule="exact"/>
              <w:jc w:val="center"/>
              <w:rPr>
                <w:sz w:val="30"/>
                <w:szCs w:val="30"/>
                <w:highlight w:val="none"/>
              </w:rPr>
            </w:pPr>
            <w:r>
              <w:rPr>
                <w:rFonts w:hint="eastAsia" w:ascii="宋体" w:hAnsi="宋体" w:eastAsia="宋体"/>
                <w:color w:val="000000"/>
                <w:sz w:val="30"/>
                <w:szCs w:val="30"/>
                <w:highlight w:val="none"/>
              </w:rPr>
              <w:t>2</w:t>
            </w:r>
          </w:p>
        </w:tc>
        <w:tc>
          <w:tcPr>
            <w:tcW w:w="1596" w:type="dxa"/>
            <w:vAlign w:val="center"/>
          </w:tcPr>
          <w:p>
            <w:pPr>
              <w:tabs>
                <w:tab w:val="left" w:pos="630"/>
              </w:tabs>
              <w:spacing w:line="696" w:lineRule="exact"/>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项目业主</w:t>
            </w:r>
          </w:p>
          <w:p>
            <w:pPr>
              <w:tabs>
                <w:tab w:val="left" w:pos="630"/>
              </w:tabs>
              <w:spacing w:line="696" w:lineRule="exact"/>
              <w:jc w:val="center"/>
              <w:rPr>
                <w:sz w:val="30"/>
                <w:szCs w:val="30"/>
                <w:highlight w:val="none"/>
              </w:rPr>
            </w:pPr>
            <w:r>
              <w:rPr>
                <w:rFonts w:hint="eastAsia" w:ascii="宋体" w:hAnsi="宋体" w:eastAsia="宋体"/>
                <w:color w:val="000000"/>
                <w:sz w:val="30"/>
                <w:szCs w:val="30"/>
                <w:highlight w:val="none"/>
              </w:rPr>
              <w:t>情况</w:t>
            </w:r>
          </w:p>
        </w:tc>
        <w:tc>
          <w:tcPr>
            <w:tcW w:w="6876" w:type="dxa"/>
            <w:vAlign w:val="top"/>
          </w:tcPr>
          <w:p>
            <w:pPr>
              <w:spacing w:line="660" w:lineRule="exact"/>
              <w:ind w:left="40" w:firstLine="0"/>
              <w:jc w:val="both"/>
              <w:rPr>
                <w:sz w:val="30"/>
                <w:szCs w:val="30"/>
                <w:highlight w:val="none"/>
              </w:rPr>
            </w:pPr>
            <w:r>
              <w:rPr>
                <w:rFonts w:hint="eastAsia" w:ascii="宋体" w:hAnsi="宋体" w:eastAsia="宋体"/>
                <w:color w:val="000000"/>
                <w:sz w:val="30"/>
                <w:szCs w:val="30"/>
                <w:highlight w:val="none"/>
              </w:rPr>
              <w:t>名称：江门市发展和改革局</w:t>
            </w:r>
          </w:p>
          <w:p>
            <w:pPr>
              <w:spacing w:line="660" w:lineRule="exact"/>
              <w:ind w:left="20" w:firstLine="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地址：江门市蓬江区白沙大道西1号</w:t>
            </w:r>
          </w:p>
          <w:p>
            <w:pPr>
              <w:spacing w:line="621" w:lineRule="exact"/>
              <w:ind w:firstLine="0"/>
              <w:jc w:val="both"/>
              <w:rPr>
                <w:rFonts w:hint="default" w:eastAsia="宋体"/>
                <w:sz w:val="30"/>
                <w:szCs w:val="30"/>
                <w:highlight w:val="none"/>
                <w:lang w:val="en-US" w:eastAsia="zh-CN"/>
              </w:rPr>
            </w:pPr>
            <w:r>
              <w:rPr>
                <w:rFonts w:hint="eastAsia" w:ascii="宋体" w:hAnsi="宋体" w:eastAsia="宋体"/>
                <w:color w:val="000000"/>
                <w:sz w:val="30"/>
                <w:szCs w:val="30"/>
                <w:highlight w:val="none"/>
              </w:rPr>
              <w:t>联系人：</w:t>
            </w:r>
            <w:r>
              <w:rPr>
                <w:rFonts w:hint="eastAsia" w:ascii="宋体" w:hAnsi="宋体" w:eastAsia="宋体"/>
                <w:color w:val="000000"/>
                <w:sz w:val="30"/>
                <w:szCs w:val="30"/>
                <w:highlight w:val="none"/>
                <w:lang w:val="en-US" w:eastAsia="zh-CN"/>
              </w:rPr>
              <w:t>崔小姐</w:t>
            </w:r>
          </w:p>
          <w:p>
            <w:pPr>
              <w:spacing w:line="621" w:lineRule="exact"/>
              <w:jc w:val="both"/>
              <w:rPr>
                <w:rFonts w:hint="default" w:eastAsia="宋体"/>
                <w:sz w:val="30"/>
                <w:szCs w:val="30"/>
                <w:highlight w:val="none"/>
                <w:lang w:val="en-US" w:eastAsia="zh-CN"/>
              </w:rPr>
            </w:pPr>
            <w:r>
              <w:rPr>
                <w:rFonts w:hint="eastAsia" w:ascii="宋体" w:hAnsi="宋体" w:eastAsia="宋体"/>
                <w:color w:val="000000"/>
                <w:sz w:val="30"/>
                <w:szCs w:val="30"/>
                <w:highlight w:val="none"/>
              </w:rPr>
              <w:t>电话：0750-32786</w:t>
            </w:r>
            <w:r>
              <w:rPr>
                <w:rFonts w:hint="eastAsia" w:ascii="宋体" w:hAnsi="宋体" w:eastAsia="宋体"/>
                <w:color w:val="000000"/>
                <w:sz w:val="30"/>
                <w:szCs w:val="30"/>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676" w:lineRule="exact"/>
              <w:jc w:val="center"/>
              <w:rPr>
                <w:sz w:val="30"/>
                <w:szCs w:val="30"/>
                <w:highlight w:val="none"/>
              </w:rPr>
            </w:pPr>
            <w:r>
              <w:rPr>
                <w:rFonts w:hint="eastAsia" w:ascii="宋体" w:hAnsi="宋体" w:eastAsia="宋体"/>
                <w:color w:val="000000"/>
                <w:sz w:val="30"/>
                <w:szCs w:val="30"/>
                <w:highlight w:val="none"/>
              </w:rPr>
              <w:t>3</w:t>
            </w:r>
          </w:p>
        </w:tc>
        <w:tc>
          <w:tcPr>
            <w:tcW w:w="1596" w:type="dxa"/>
            <w:vAlign w:val="center"/>
          </w:tcPr>
          <w:p>
            <w:pPr>
              <w:tabs>
                <w:tab w:val="left" w:pos="630"/>
              </w:tabs>
              <w:spacing w:line="636" w:lineRule="exact"/>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中介服务</w:t>
            </w:r>
          </w:p>
          <w:p>
            <w:pPr>
              <w:tabs>
                <w:tab w:val="left" w:pos="630"/>
              </w:tabs>
              <w:spacing w:line="636" w:lineRule="exact"/>
              <w:jc w:val="center"/>
              <w:rPr>
                <w:sz w:val="30"/>
                <w:szCs w:val="30"/>
                <w:highlight w:val="none"/>
              </w:rPr>
            </w:pPr>
            <w:r>
              <w:rPr>
                <w:rFonts w:hint="eastAsia" w:ascii="宋体" w:hAnsi="宋体" w:eastAsia="宋体"/>
                <w:color w:val="000000"/>
                <w:sz w:val="30"/>
                <w:szCs w:val="30"/>
                <w:highlight w:val="none"/>
              </w:rPr>
              <w:t>名称</w:t>
            </w:r>
          </w:p>
        </w:tc>
        <w:tc>
          <w:tcPr>
            <w:tcW w:w="6876" w:type="dxa"/>
            <w:vAlign w:val="center"/>
          </w:tcPr>
          <w:p>
            <w:pPr>
              <w:spacing w:line="676" w:lineRule="exact"/>
              <w:ind w:firstLine="0"/>
              <w:jc w:val="both"/>
              <w:rPr>
                <w:rFonts w:hint="eastAsia" w:eastAsia="宋体"/>
                <w:sz w:val="30"/>
                <w:szCs w:val="30"/>
                <w:highlight w:val="none"/>
                <w:lang w:val="en-US" w:eastAsia="zh-CN"/>
              </w:rPr>
            </w:pPr>
            <w:r>
              <w:rPr>
                <w:rFonts w:hint="eastAsia" w:ascii="宋体" w:hAnsi="宋体" w:eastAsia="宋体"/>
                <w:color w:val="000000"/>
                <w:sz w:val="30"/>
                <w:szCs w:val="30"/>
                <w:highlight w:val="none"/>
                <w:lang w:eastAsia="zh-CN"/>
              </w:rPr>
              <w:t>碳排放核算分析及“两新”政策研究服务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700" w:lineRule="exact"/>
              <w:jc w:val="center"/>
              <w:rPr>
                <w:sz w:val="30"/>
                <w:szCs w:val="30"/>
                <w:highlight w:val="none"/>
              </w:rPr>
            </w:pPr>
            <w:r>
              <w:rPr>
                <w:rFonts w:hint="eastAsia" w:ascii="宋体" w:hAnsi="宋体" w:eastAsia="宋体"/>
                <w:color w:val="000000"/>
                <w:sz w:val="30"/>
                <w:szCs w:val="30"/>
                <w:highlight w:val="none"/>
              </w:rPr>
              <w:t>4</w:t>
            </w:r>
          </w:p>
        </w:tc>
        <w:tc>
          <w:tcPr>
            <w:tcW w:w="1596" w:type="dxa"/>
            <w:vAlign w:val="center"/>
          </w:tcPr>
          <w:p>
            <w:pPr>
              <w:spacing w:before="448" w:line="602" w:lineRule="exact"/>
              <w:ind w:left="60" w:firstLine="0"/>
              <w:jc w:val="center"/>
              <w:rPr>
                <w:sz w:val="30"/>
                <w:szCs w:val="30"/>
                <w:highlight w:val="none"/>
              </w:rPr>
            </w:pPr>
            <w:r>
              <w:rPr>
                <w:rFonts w:hint="eastAsia" w:ascii="宋体" w:hAnsi="宋体" w:eastAsia="宋体"/>
                <w:color w:val="000000"/>
                <w:sz w:val="30"/>
                <w:szCs w:val="30"/>
                <w:highlight w:val="none"/>
              </w:rPr>
              <w:t>对中介服务机构的资质要求</w:t>
            </w:r>
          </w:p>
        </w:tc>
        <w:tc>
          <w:tcPr>
            <w:tcW w:w="6876" w:type="dxa"/>
            <w:vAlign w:val="top"/>
          </w:tcPr>
          <w:p>
            <w:pPr>
              <w:numPr>
                <w:ilvl w:val="0"/>
                <w:numId w:val="0"/>
              </w:numPr>
              <w:spacing w:line="680" w:lineRule="exact"/>
              <w:ind w:firstLine="300" w:firstLineChars="100"/>
              <w:jc w:val="both"/>
              <w:rPr>
                <w:sz w:val="30"/>
                <w:szCs w:val="30"/>
                <w:highlight w:val="none"/>
              </w:rPr>
            </w:pPr>
            <w:r>
              <w:rPr>
                <w:rFonts w:hint="eastAsia" w:ascii="宋体" w:hAnsi="宋体" w:eastAsia="宋体"/>
                <w:color w:val="000000"/>
                <w:sz w:val="30"/>
                <w:szCs w:val="30"/>
                <w:highlight w:val="none"/>
              </w:rPr>
              <w:t>（一）具备《中华人民共和国政府采购法》</w:t>
            </w:r>
          </w:p>
          <w:p>
            <w:pPr>
              <w:numPr>
                <w:ilvl w:val="0"/>
                <w:numId w:val="0"/>
              </w:numPr>
              <w:spacing w:line="680" w:lineRule="exact"/>
              <w:ind w:left="0" w:firstLine="300" w:firstLineChars="10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第二十二条规定的条件。</w:t>
            </w:r>
          </w:p>
          <w:p>
            <w:pPr>
              <w:numPr>
                <w:ilvl w:val="0"/>
                <w:numId w:val="0"/>
              </w:numPr>
              <w:spacing w:line="680" w:lineRule="exact"/>
              <w:ind w:firstLine="300" w:firstLineChars="100"/>
              <w:jc w:val="both"/>
              <w:rPr>
                <w:sz w:val="30"/>
                <w:szCs w:val="30"/>
                <w:highlight w:val="none"/>
              </w:rPr>
            </w:pPr>
            <w:r>
              <w:rPr>
                <w:rFonts w:hint="eastAsia" w:ascii="宋体" w:hAnsi="宋体" w:eastAsia="宋体"/>
                <w:color w:val="000000"/>
                <w:sz w:val="30"/>
                <w:szCs w:val="30"/>
                <w:highlight w:val="none"/>
                <w:lang w:eastAsia="zh-CN"/>
              </w:rPr>
              <w:t>（二）</w:t>
            </w:r>
            <w:r>
              <w:rPr>
                <w:rFonts w:hint="eastAsia" w:ascii="宋体" w:hAnsi="宋体" w:eastAsia="宋体"/>
                <w:color w:val="000000"/>
                <w:sz w:val="30"/>
                <w:szCs w:val="30"/>
                <w:highlight w:val="none"/>
              </w:rPr>
              <w:t>应聘单位具有</w:t>
            </w:r>
            <w:r>
              <w:rPr>
                <w:rFonts w:hint="eastAsia" w:ascii="宋体" w:hAnsi="宋体" w:eastAsia="宋体"/>
                <w:color w:val="000000"/>
                <w:sz w:val="30"/>
                <w:szCs w:val="30"/>
                <w:highlight w:val="none"/>
                <w:lang w:eastAsia="zh-CN"/>
              </w:rPr>
              <w:t>碳排放核算分析及“两新”政策研究服务</w:t>
            </w:r>
            <w:r>
              <w:rPr>
                <w:rFonts w:hint="eastAsia" w:ascii="宋体" w:hAnsi="宋体" w:eastAsia="宋体"/>
                <w:color w:val="000000"/>
                <w:sz w:val="30"/>
                <w:szCs w:val="30"/>
                <w:highlight w:val="none"/>
                <w:lang w:val="en-US" w:eastAsia="zh-CN"/>
              </w:rPr>
              <w:t>等</w:t>
            </w:r>
            <w:r>
              <w:rPr>
                <w:rFonts w:hint="eastAsia" w:ascii="宋体" w:hAnsi="宋体" w:eastAsia="宋体"/>
                <w:color w:val="000000"/>
                <w:sz w:val="30"/>
                <w:szCs w:val="30"/>
                <w:highlight w:val="none"/>
              </w:rPr>
              <w:t>相关</w:t>
            </w:r>
            <w:r>
              <w:rPr>
                <w:rFonts w:hint="eastAsia" w:ascii="宋体" w:hAnsi="宋体" w:eastAsia="宋体"/>
                <w:color w:val="000000"/>
                <w:sz w:val="30"/>
                <w:szCs w:val="30"/>
                <w:highlight w:val="none"/>
                <w:lang w:eastAsia="zh-CN"/>
              </w:rPr>
              <w:t>服务经验</w:t>
            </w:r>
            <w:r>
              <w:rPr>
                <w:rFonts w:hint="eastAsia" w:ascii="宋体" w:hAnsi="宋体" w:eastAsia="宋体"/>
                <w:color w:val="000000"/>
                <w:sz w:val="30"/>
                <w:szCs w:val="30"/>
                <w:highlight w:val="none"/>
              </w:rPr>
              <w:t>。</w:t>
            </w:r>
          </w:p>
          <w:p>
            <w:pPr>
              <w:numPr>
                <w:ilvl w:val="0"/>
                <w:numId w:val="0"/>
              </w:numPr>
              <w:spacing w:line="680" w:lineRule="exact"/>
              <w:ind w:left="0" w:firstLine="300" w:firstLineChars="100"/>
              <w:jc w:val="both"/>
              <w:rPr>
                <w:sz w:val="30"/>
                <w:szCs w:val="30"/>
                <w:highlight w:val="none"/>
              </w:rPr>
            </w:pPr>
            <w:r>
              <w:rPr>
                <w:rFonts w:hint="eastAsia" w:ascii="宋体" w:hAnsi="宋体" w:eastAsia="宋体"/>
                <w:color w:val="000000"/>
                <w:sz w:val="30"/>
                <w:szCs w:val="30"/>
                <w:highlight w:val="none"/>
              </w:rPr>
              <w:t>（</w:t>
            </w:r>
            <w:r>
              <w:rPr>
                <w:rFonts w:hint="eastAsia" w:ascii="宋体" w:hAnsi="宋体" w:eastAsia="宋体"/>
                <w:color w:val="000000"/>
                <w:sz w:val="30"/>
                <w:szCs w:val="30"/>
                <w:highlight w:val="none"/>
                <w:lang w:eastAsia="zh-CN"/>
              </w:rPr>
              <w:t>三</w:t>
            </w:r>
            <w:r>
              <w:rPr>
                <w:rFonts w:hint="eastAsia" w:ascii="宋体" w:hAnsi="宋体" w:eastAsia="宋体"/>
                <w:color w:val="000000"/>
                <w:sz w:val="30"/>
                <w:szCs w:val="30"/>
                <w:highlight w:val="none"/>
              </w:rPr>
              <w:t>）应聘单位未被列入“信用中国”网（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pPr>
              <w:numPr>
                <w:ilvl w:val="0"/>
                <w:numId w:val="0"/>
              </w:numPr>
              <w:spacing w:line="680" w:lineRule="exact"/>
              <w:ind w:left="0" w:firstLine="300" w:firstLineChars="10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（四）</w:t>
            </w:r>
            <w:r>
              <w:rPr>
                <w:rFonts w:hint="eastAsia" w:ascii="宋体" w:hAnsi="宋体" w:eastAsia="宋体"/>
                <w:color w:val="000000"/>
                <w:sz w:val="30"/>
                <w:szCs w:val="30"/>
                <w:highlight w:val="none"/>
              </w:rPr>
              <w:t>本项目不得以任何方式转包或分包。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500" w:lineRule="exact"/>
              <w:ind w:left="10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5</w:t>
            </w:r>
          </w:p>
        </w:tc>
        <w:tc>
          <w:tcPr>
            <w:tcW w:w="1596" w:type="dxa"/>
            <w:vAlign w:val="center"/>
          </w:tcPr>
          <w:p>
            <w:pPr>
              <w:spacing w:before="1890" w:line="589"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服务内容和服务要求</w:t>
            </w:r>
          </w:p>
        </w:tc>
        <w:tc>
          <w:tcPr>
            <w:tcW w:w="6876" w:type="dxa"/>
            <w:vAlign w:val="top"/>
          </w:tcPr>
          <w:p>
            <w:pPr>
              <w:spacing w:before="12" w:line="600" w:lineRule="exact"/>
              <w:ind w:left="120" w:firstLine="0"/>
              <w:jc w:val="both"/>
              <w:rPr>
                <w:rFonts w:hint="eastAsia" w:ascii="宋体" w:hAnsi="宋体" w:eastAsia="宋体"/>
                <w:color w:val="000000"/>
                <w:kern w:val="0"/>
                <w:sz w:val="30"/>
                <w:szCs w:val="30"/>
                <w:highlight w:val="none"/>
              </w:rPr>
            </w:pPr>
            <w:r>
              <w:rPr>
                <w:rFonts w:hint="eastAsia" w:ascii="宋体" w:hAnsi="宋体" w:eastAsia="宋体"/>
                <w:color w:val="000000"/>
                <w:kern w:val="0"/>
                <w:sz w:val="30"/>
                <w:szCs w:val="30"/>
                <w:highlight w:val="none"/>
                <w:lang w:eastAsia="zh-CN"/>
              </w:rPr>
              <w:t>一、</w:t>
            </w:r>
            <w:r>
              <w:rPr>
                <w:rFonts w:hint="eastAsia" w:ascii="宋体" w:hAnsi="宋体" w:eastAsia="宋体"/>
                <w:color w:val="000000"/>
                <w:kern w:val="0"/>
                <w:sz w:val="30"/>
                <w:szCs w:val="30"/>
                <w:highlight w:val="none"/>
              </w:rPr>
              <w:t>“十三五” 以来碳排放</w:t>
            </w:r>
            <w:r>
              <w:rPr>
                <w:rFonts w:hint="eastAsia" w:ascii="宋体" w:hAnsi="宋体" w:eastAsia="宋体"/>
                <w:color w:val="000000"/>
                <w:kern w:val="0"/>
                <w:sz w:val="30"/>
                <w:szCs w:val="30"/>
                <w:highlight w:val="none"/>
                <w:lang w:eastAsia="zh-CN"/>
              </w:rPr>
              <w:t>核算分析</w:t>
            </w:r>
            <w:r>
              <w:rPr>
                <w:rFonts w:hint="eastAsia" w:ascii="宋体" w:hAnsi="宋体" w:eastAsia="宋体"/>
                <w:color w:val="000000"/>
                <w:kern w:val="0"/>
                <w:sz w:val="30"/>
                <w:szCs w:val="30"/>
                <w:highlight w:val="none"/>
              </w:rPr>
              <w:t>：全覆盖能源活动、工业生产等四大重点领域及交通、建筑等关键细分行业，收集 “十三五” 至 “十四五” 最新基础数据，对接重点企业完成数据核验，采用国家统一方法学并细化本地化参数核算，分析排放总量、强度、结构变化趋势，识别主要排放源与驱动因素，梳理控制成效及现存问题。</w:t>
            </w:r>
          </w:p>
          <w:p>
            <w:pPr>
              <w:spacing w:before="12" w:line="600" w:lineRule="exact"/>
              <w:ind w:left="120" w:firstLine="0"/>
              <w:jc w:val="both"/>
              <w:rPr>
                <w:rFonts w:hint="eastAsia" w:ascii="宋体" w:hAnsi="宋体" w:eastAsia="宋体"/>
                <w:color w:val="000000"/>
                <w:kern w:val="0"/>
                <w:sz w:val="30"/>
                <w:szCs w:val="30"/>
                <w:highlight w:val="none"/>
              </w:rPr>
            </w:pPr>
            <w:r>
              <w:rPr>
                <w:rFonts w:hint="eastAsia" w:ascii="宋体" w:hAnsi="宋体" w:eastAsia="宋体"/>
                <w:color w:val="000000"/>
                <w:kern w:val="0"/>
                <w:sz w:val="30"/>
                <w:szCs w:val="30"/>
                <w:highlight w:val="none"/>
                <w:lang w:eastAsia="zh-CN"/>
              </w:rPr>
              <w:t>二、</w:t>
            </w:r>
            <w:r>
              <w:rPr>
                <w:rFonts w:hint="eastAsia" w:ascii="宋体" w:hAnsi="宋体" w:eastAsia="宋体"/>
                <w:color w:val="000000"/>
                <w:kern w:val="0"/>
                <w:sz w:val="30"/>
                <w:szCs w:val="30"/>
                <w:highlight w:val="none"/>
              </w:rPr>
              <w:t>“十五五” 时期碳排放分析展望：结合国家</w:t>
            </w:r>
            <w:r>
              <w:rPr>
                <w:rFonts w:hint="eastAsia" w:ascii="宋体" w:hAnsi="宋体" w:eastAsia="宋体"/>
                <w:color w:val="000000"/>
                <w:kern w:val="0"/>
                <w:sz w:val="30"/>
                <w:szCs w:val="30"/>
                <w:highlight w:val="none"/>
                <w:lang w:eastAsia="zh-CN"/>
              </w:rPr>
              <w:t>、</w:t>
            </w:r>
            <w:r>
              <w:rPr>
                <w:rFonts w:hint="eastAsia" w:ascii="宋体" w:hAnsi="宋体" w:eastAsia="宋体"/>
                <w:color w:val="000000"/>
                <w:kern w:val="0"/>
                <w:sz w:val="30"/>
                <w:szCs w:val="30"/>
                <w:highlight w:val="none"/>
              </w:rPr>
              <w:t>省级 “双碳” 部署、本市规划及能源转型路径，构建本地化预测模型，精准测算各情景下 2026-2030 年碳排放总量、强度变化及年度控制目标建议，分析分领域分行业减排潜力与实现路径，同步研判两新领域带来的机遇、挑战及对碳排放的影响。</w:t>
            </w:r>
          </w:p>
          <w:p>
            <w:pPr>
              <w:spacing w:before="12" w:line="600" w:lineRule="exact"/>
              <w:ind w:left="120" w:firstLine="0"/>
              <w:jc w:val="both"/>
              <w:rPr>
                <w:rFonts w:hint="eastAsia" w:ascii="宋体" w:hAnsi="宋体" w:eastAsia="宋体"/>
                <w:color w:val="000000"/>
                <w:kern w:val="0"/>
                <w:sz w:val="30"/>
                <w:szCs w:val="30"/>
                <w:highlight w:val="none"/>
              </w:rPr>
            </w:pPr>
            <w:r>
              <w:rPr>
                <w:rFonts w:hint="eastAsia" w:ascii="宋体" w:hAnsi="宋体" w:eastAsia="宋体"/>
                <w:color w:val="000000"/>
                <w:kern w:val="0"/>
                <w:sz w:val="30"/>
                <w:szCs w:val="30"/>
                <w:highlight w:val="none"/>
                <w:lang w:eastAsia="zh-CN"/>
              </w:rPr>
              <w:t>三、</w:t>
            </w:r>
            <w:r>
              <w:rPr>
                <w:rFonts w:hint="eastAsia" w:ascii="宋体" w:hAnsi="宋体" w:eastAsia="宋体"/>
                <w:color w:val="000000"/>
                <w:kern w:val="0"/>
                <w:sz w:val="30"/>
                <w:szCs w:val="30"/>
                <w:highlight w:val="none"/>
              </w:rPr>
              <w:t>报告编制规范：编制包含</w:t>
            </w:r>
            <w:r>
              <w:rPr>
                <w:rFonts w:hint="eastAsia" w:ascii="宋体" w:hAnsi="宋体" w:eastAsia="宋体"/>
                <w:color w:val="000000"/>
                <w:kern w:val="0"/>
                <w:sz w:val="30"/>
                <w:szCs w:val="30"/>
                <w:highlight w:val="none"/>
                <w:lang w:eastAsia="zh-CN"/>
              </w:rPr>
              <w:t>核算分析</w:t>
            </w:r>
            <w:r>
              <w:rPr>
                <w:rFonts w:hint="eastAsia" w:ascii="宋体" w:hAnsi="宋体" w:eastAsia="宋体"/>
                <w:color w:val="000000"/>
                <w:kern w:val="0"/>
                <w:sz w:val="30"/>
                <w:szCs w:val="30"/>
                <w:highlight w:val="none"/>
              </w:rPr>
              <w:t>结果、情景测算分析、减排路径建议、风险保障措施等内容的完整报告，要求数据详实、逻辑清晰、结论可操作；同步提交基础数据台账、模型参数说明、情景假设依据等支撑材料，确保报告结果可追溯、可验证。</w:t>
            </w:r>
          </w:p>
          <w:p>
            <w:pPr>
              <w:spacing w:before="12" w:line="600" w:lineRule="exact"/>
              <w:ind w:left="120" w:firstLine="0"/>
              <w:jc w:val="both"/>
              <w:rPr>
                <w:rFonts w:hint="eastAsia" w:asciiTheme="minorHAnsi" w:hAnsiTheme="minorHAnsi" w:eastAsiaTheme="minorEastAsia" w:cstheme="minorBidi"/>
                <w:sz w:val="30"/>
                <w:szCs w:val="30"/>
                <w:highlight w:val="none"/>
              </w:rPr>
            </w:pPr>
            <w:r>
              <w:rPr>
                <w:rFonts w:hint="eastAsia" w:ascii="宋体" w:hAnsi="宋体" w:eastAsia="宋体"/>
                <w:color w:val="000000"/>
                <w:kern w:val="0"/>
                <w:sz w:val="30"/>
                <w:szCs w:val="30"/>
                <w:highlight w:val="none"/>
                <w:lang w:eastAsia="zh-CN"/>
              </w:rPr>
              <w:t>四、“两新”</w:t>
            </w:r>
            <w:r>
              <w:rPr>
                <w:rFonts w:hint="eastAsia" w:ascii="宋体" w:hAnsi="宋体" w:eastAsia="宋体"/>
                <w:color w:val="000000"/>
                <w:kern w:val="0"/>
                <w:sz w:val="30"/>
                <w:szCs w:val="30"/>
                <w:highlight w:val="none"/>
              </w:rPr>
              <w:t>政策</w:t>
            </w:r>
            <w:r>
              <w:rPr>
                <w:rFonts w:hint="eastAsia" w:ascii="宋体" w:hAnsi="宋体" w:eastAsia="宋体"/>
                <w:color w:val="000000"/>
                <w:kern w:val="0"/>
                <w:sz w:val="30"/>
                <w:szCs w:val="30"/>
                <w:highlight w:val="none"/>
                <w:lang w:eastAsia="zh-CN"/>
              </w:rPr>
              <w:t>研究解读</w:t>
            </w:r>
            <w:r>
              <w:rPr>
                <w:rFonts w:hint="eastAsia" w:ascii="宋体" w:hAnsi="宋体" w:eastAsia="宋体"/>
                <w:color w:val="000000"/>
                <w:kern w:val="0"/>
                <w:sz w:val="30"/>
                <w:szCs w:val="30"/>
                <w:highlight w:val="none"/>
              </w:rPr>
              <w:t>：</w:t>
            </w:r>
            <w:r>
              <w:rPr>
                <w:rFonts w:hint="eastAsia" w:ascii="宋体" w:hAnsi="宋体" w:eastAsia="宋体"/>
                <w:color w:val="000000"/>
                <w:kern w:val="0"/>
                <w:sz w:val="30"/>
                <w:szCs w:val="30"/>
                <w:highlight w:val="none"/>
                <w:lang w:eastAsia="zh-CN"/>
              </w:rPr>
              <w:t>研究</w:t>
            </w:r>
            <w:r>
              <w:rPr>
                <w:rFonts w:hint="eastAsia" w:ascii="宋体" w:hAnsi="宋体" w:eastAsia="宋体"/>
                <w:color w:val="000000"/>
                <w:kern w:val="0"/>
                <w:sz w:val="30"/>
                <w:szCs w:val="30"/>
                <w:highlight w:val="none"/>
              </w:rPr>
              <w:t>梳理</w:t>
            </w:r>
            <w:r>
              <w:rPr>
                <w:rFonts w:hint="eastAsia" w:ascii="宋体" w:hAnsi="宋体" w:eastAsia="宋体"/>
                <w:color w:val="000000"/>
                <w:kern w:val="0"/>
                <w:sz w:val="30"/>
                <w:szCs w:val="30"/>
                <w:highlight w:val="none"/>
                <w:lang w:eastAsia="zh-CN"/>
              </w:rPr>
              <w:t>国家、省关于“两新”政策</w:t>
            </w:r>
            <w:r>
              <w:rPr>
                <w:rFonts w:hint="eastAsia" w:ascii="宋体" w:hAnsi="宋体" w:eastAsia="宋体"/>
                <w:color w:val="000000"/>
                <w:kern w:val="0"/>
                <w:sz w:val="30"/>
                <w:szCs w:val="30"/>
                <w:highlight w:val="none"/>
              </w:rPr>
              <w:t>核心要点形成政策汇编；针对政府部门、重点企业等，制定线上线下结合的宣传</w:t>
            </w:r>
            <w:r>
              <w:rPr>
                <w:rFonts w:hint="eastAsia" w:ascii="宋体" w:hAnsi="宋体" w:eastAsia="宋体"/>
                <w:color w:val="000000"/>
                <w:kern w:val="0"/>
                <w:sz w:val="30"/>
                <w:szCs w:val="30"/>
                <w:highlight w:val="none"/>
                <w:lang w:eastAsia="zh-CN"/>
              </w:rPr>
              <w:t>解读</w:t>
            </w:r>
            <w:r>
              <w:rPr>
                <w:rFonts w:hint="eastAsia" w:ascii="宋体" w:hAnsi="宋体" w:eastAsia="宋体"/>
                <w:color w:val="000000"/>
                <w:kern w:val="0"/>
                <w:sz w:val="30"/>
                <w:szCs w:val="30"/>
                <w:highlight w:val="none"/>
              </w:rPr>
              <w:t>方案（含宣讲会、培训、线上专栏等）；编制通俗解读材料（问答手册、图文解读等）并提供咨询服务，跟踪调研</w:t>
            </w:r>
            <w:r>
              <w:rPr>
                <w:rFonts w:hint="eastAsia" w:ascii="宋体" w:hAnsi="宋体" w:eastAsia="宋体"/>
                <w:color w:val="000000"/>
                <w:kern w:val="0"/>
                <w:sz w:val="30"/>
                <w:szCs w:val="30"/>
                <w:highlight w:val="none"/>
                <w:lang w:eastAsia="zh-CN"/>
              </w:rPr>
              <w:t>政策宣传解读</w:t>
            </w:r>
            <w:r>
              <w:rPr>
                <w:rFonts w:hint="eastAsia" w:ascii="宋体" w:hAnsi="宋体" w:eastAsia="宋体"/>
                <w:color w:val="000000"/>
                <w:kern w:val="0"/>
                <w:sz w:val="30"/>
                <w:szCs w:val="30"/>
                <w:highlight w:val="none"/>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640" w:lineRule="exact"/>
              <w:jc w:val="center"/>
              <w:rPr>
                <w:rFonts w:hint="eastAsia" w:ascii="宋体" w:hAnsi="宋体" w:eastAsia="宋体"/>
                <w:color w:val="000000"/>
                <w:sz w:val="30"/>
                <w:szCs w:val="30"/>
                <w:highlight w:val="none"/>
              </w:rPr>
            </w:pPr>
            <w:r>
              <w:rPr>
                <w:rFonts w:hint="default" w:ascii="宋体" w:hAnsi="宋体" w:eastAsia="宋体"/>
                <w:color w:val="000000"/>
                <w:sz w:val="30"/>
                <w:szCs w:val="30"/>
                <w:highlight w:val="none"/>
              </w:rPr>
              <w:t>6</w:t>
            </w:r>
          </w:p>
        </w:tc>
        <w:tc>
          <w:tcPr>
            <w:tcW w:w="1596" w:type="dxa"/>
            <w:vAlign w:val="center"/>
          </w:tcPr>
          <w:p>
            <w:pPr>
              <w:spacing w:line="640" w:lineRule="exact"/>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合同履行</w:t>
            </w:r>
          </w:p>
          <w:p>
            <w:pPr>
              <w:spacing w:line="640" w:lineRule="exact"/>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地点和</w:t>
            </w:r>
          </w:p>
          <w:p>
            <w:pPr>
              <w:spacing w:line="640" w:lineRule="exact"/>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方式</w:t>
            </w:r>
          </w:p>
        </w:tc>
        <w:tc>
          <w:tcPr>
            <w:tcW w:w="6876" w:type="dxa"/>
            <w:vAlign w:val="center"/>
          </w:tcPr>
          <w:p>
            <w:pPr>
              <w:spacing w:line="540" w:lineRule="exact"/>
              <w:ind w:left="80" w:leftChars="0" w:firstLine="0" w:firstLineChars="0"/>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服务时间：202</w:t>
            </w:r>
            <w:r>
              <w:rPr>
                <w:rFonts w:hint="eastAsia" w:ascii="宋体" w:hAnsi="宋体" w:eastAsia="宋体"/>
                <w:color w:val="000000"/>
                <w:sz w:val="30"/>
                <w:szCs w:val="30"/>
                <w:highlight w:val="none"/>
                <w:lang w:val="en-US" w:eastAsia="zh-CN"/>
              </w:rPr>
              <w:t>6</w:t>
            </w:r>
            <w:r>
              <w:rPr>
                <w:rFonts w:hint="eastAsia" w:ascii="宋体" w:hAnsi="宋体" w:eastAsia="宋体"/>
                <w:color w:val="000000"/>
                <w:sz w:val="30"/>
                <w:szCs w:val="30"/>
                <w:highlight w:val="none"/>
              </w:rPr>
              <w:t>年</w:t>
            </w:r>
            <w:r>
              <w:rPr>
                <w:rFonts w:hint="eastAsia" w:ascii="宋体" w:hAnsi="宋体" w:eastAsia="宋体"/>
                <w:color w:val="000000"/>
                <w:sz w:val="30"/>
                <w:szCs w:val="30"/>
                <w:highlight w:val="none"/>
                <w:lang w:val="en-US" w:eastAsia="zh-CN"/>
              </w:rPr>
              <w:t>1</w:t>
            </w:r>
            <w:r>
              <w:rPr>
                <w:rFonts w:hint="eastAsia" w:ascii="宋体" w:hAnsi="宋体" w:eastAsia="宋体"/>
                <w:color w:val="000000"/>
                <w:sz w:val="30"/>
                <w:szCs w:val="30"/>
                <w:highlight w:val="none"/>
              </w:rPr>
              <w:t>月</w:t>
            </w:r>
            <w:r>
              <w:rPr>
                <w:rFonts w:hint="eastAsia" w:ascii="宋体" w:hAnsi="宋体" w:eastAsia="宋体"/>
                <w:color w:val="000000"/>
                <w:sz w:val="30"/>
                <w:szCs w:val="30"/>
                <w:highlight w:val="none"/>
                <w:lang w:val="en-US" w:eastAsia="zh-CN"/>
              </w:rPr>
              <w:t>-2026年9月</w:t>
            </w:r>
            <w:r>
              <w:rPr>
                <w:rFonts w:hint="eastAsia" w:ascii="宋体" w:hAnsi="宋体" w:eastAsia="宋体"/>
                <w:color w:val="000000"/>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500" w:lineRule="exact"/>
              <w:jc w:val="center"/>
              <w:rPr>
                <w:rFonts w:hint="eastAsia" w:ascii="宋体" w:hAnsi="宋体" w:eastAsia="宋体" w:cstheme="minorBidi"/>
                <w:color w:val="000000"/>
                <w:sz w:val="30"/>
                <w:szCs w:val="30"/>
                <w:highlight w:val="none"/>
              </w:rPr>
            </w:pPr>
            <w:r>
              <w:rPr>
                <w:rFonts w:hint="eastAsia" w:ascii="宋体" w:hAnsi="宋体" w:eastAsia="宋体"/>
                <w:color w:val="000000"/>
                <w:sz w:val="30"/>
                <w:szCs w:val="30"/>
                <w:highlight w:val="none"/>
              </w:rPr>
              <w:t>7</w:t>
            </w:r>
          </w:p>
        </w:tc>
        <w:tc>
          <w:tcPr>
            <w:tcW w:w="1596" w:type="dxa"/>
            <w:vAlign w:val="center"/>
          </w:tcPr>
          <w:p>
            <w:pPr>
              <w:spacing w:before="697" w:line="621" w:lineRule="exact"/>
              <w:jc w:val="center"/>
              <w:rPr>
                <w:rFonts w:hint="eastAsia" w:ascii="宋体" w:hAnsi="宋体" w:eastAsia="宋体" w:cstheme="minorBidi"/>
                <w:color w:val="000000"/>
                <w:sz w:val="30"/>
                <w:szCs w:val="30"/>
                <w:highlight w:val="none"/>
              </w:rPr>
            </w:pPr>
            <w:r>
              <w:rPr>
                <w:rFonts w:hint="eastAsia" w:ascii="宋体" w:hAnsi="宋体" w:eastAsia="宋体"/>
                <w:color w:val="000000"/>
                <w:sz w:val="30"/>
                <w:szCs w:val="30"/>
                <w:highlight w:val="none"/>
              </w:rPr>
              <w:t>公开选取方式和计价标准</w:t>
            </w:r>
          </w:p>
        </w:tc>
        <w:tc>
          <w:tcPr>
            <w:tcW w:w="6876" w:type="dxa"/>
            <w:vAlign w:val="top"/>
          </w:tcPr>
          <w:p>
            <w:pPr>
              <w:numPr>
                <w:ilvl w:val="0"/>
                <w:numId w:val="0"/>
              </w:numPr>
              <w:spacing w:line="660" w:lineRule="exact"/>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一、</w:t>
            </w:r>
            <w:r>
              <w:rPr>
                <w:rFonts w:hint="eastAsia" w:ascii="宋体" w:hAnsi="宋体" w:eastAsia="宋体"/>
                <w:color w:val="000000"/>
                <w:sz w:val="30"/>
                <w:szCs w:val="30"/>
                <w:highlight w:val="none"/>
              </w:rPr>
              <w:t>公开选取方式：方案择优选取。</w:t>
            </w:r>
          </w:p>
          <w:p>
            <w:pPr>
              <w:numPr>
                <w:ilvl w:val="0"/>
                <w:numId w:val="0"/>
              </w:numPr>
              <w:spacing w:line="660" w:lineRule="exact"/>
              <w:jc w:val="both"/>
              <w:rPr>
                <w:rFonts w:hint="eastAsia" w:ascii="宋体" w:hAnsi="宋体" w:eastAsia="宋体"/>
                <w:color w:val="000000"/>
                <w:sz w:val="30"/>
                <w:szCs w:val="30"/>
                <w:highlight w:val="none"/>
                <w:lang w:eastAsia="zh-CN"/>
              </w:rPr>
            </w:pPr>
            <w:r>
              <w:rPr>
                <w:rFonts w:hint="eastAsia" w:ascii="宋体" w:hAnsi="宋体" w:eastAsia="宋体"/>
                <w:color w:val="000000"/>
                <w:sz w:val="30"/>
                <w:szCs w:val="30"/>
                <w:highlight w:val="none"/>
                <w:lang w:eastAsia="zh-CN"/>
              </w:rPr>
              <w:t>二、应聘单位提交</w:t>
            </w:r>
            <w:r>
              <w:rPr>
                <w:rFonts w:hint="eastAsia" w:ascii="宋体" w:hAnsi="宋体" w:eastAsia="宋体"/>
                <w:color w:val="000000"/>
                <w:sz w:val="30"/>
                <w:szCs w:val="30"/>
                <w:highlight w:val="none"/>
              </w:rPr>
              <w:t>服务响应方案</w:t>
            </w:r>
            <w:r>
              <w:rPr>
                <w:rFonts w:hint="eastAsia" w:ascii="宋体" w:hAnsi="宋体" w:eastAsia="宋体"/>
                <w:color w:val="000000"/>
                <w:sz w:val="30"/>
                <w:szCs w:val="30"/>
                <w:highlight w:val="none"/>
                <w:lang w:eastAsia="zh-CN"/>
              </w:rPr>
              <w:t>须包括如下内容：</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1.项目的理解，包括但不限于对本项目的理解、项目背景、目标、内容的把握等；</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2.项目组织、实施方案；</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3.对重点难点分析及对策；</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4.进度安排及相关措施；</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5.质量控制保障措施；</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6.同类项目业绩，提供自2021年1月1日至投标截止之日前（以合同签订时间为准）承担过同类项目服务业绩（须提供合同或委托书等证明材料复印件）；</w:t>
            </w:r>
          </w:p>
          <w:p>
            <w:pPr>
              <w:numPr>
                <w:ilvl w:val="0"/>
                <w:numId w:val="0"/>
              </w:numPr>
              <w:spacing w:line="660" w:lineRule="exact"/>
              <w:jc w:val="both"/>
              <w:rPr>
                <w:rFonts w:hint="eastAsia"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7.综合研究实力，包括节能降碳研究和技术服务能力，拥有市级或以上碳核算及“两新”政策研究服务资质。提供自2021年1月1日以来承担过地级及以上政府部门、企业委托的能源、节能、低碳等领域的研究课题，或协助过地级及以上政府部门、企业开展碳核算、“两新”政策研究解读的支撑服务（须提供合同或委托书等证明材料复印件）；碳排放分析展望</w:t>
            </w:r>
            <w:r>
              <w:rPr>
                <w:rFonts w:hint="eastAsia" w:ascii="宋体" w:hAnsi="宋体" w:eastAsia="宋体"/>
                <w:color w:val="000000"/>
                <w:kern w:val="0"/>
                <w:sz w:val="30"/>
                <w:szCs w:val="30"/>
                <w:highlight w:val="none"/>
              </w:rPr>
              <w:t>报告</w:t>
            </w:r>
            <w:r>
              <w:rPr>
                <w:rFonts w:hint="eastAsia" w:ascii="宋体" w:hAnsi="宋体" w:eastAsia="宋体"/>
                <w:color w:val="000000"/>
                <w:sz w:val="30"/>
                <w:szCs w:val="30"/>
                <w:highlight w:val="none"/>
                <w:lang w:val="en-US" w:eastAsia="zh-CN"/>
              </w:rPr>
              <w:t>编写能力</w:t>
            </w:r>
            <w:r>
              <w:rPr>
                <w:rFonts w:hint="eastAsia" w:ascii="宋体" w:hAnsi="宋体" w:eastAsia="宋体"/>
                <w:color w:val="000000"/>
                <w:kern w:val="0"/>
                <w:sz w:val="30"/>
                <w:szCs w:val="30"/>
                <w:highlight w:val="none"/>
                <w:lang w:eastAsia="zh-CN"/>
              </w:rPr>
              <w:t>及“两新”</w:t>
            </w:r>
            <w:r>
              <w:rPr>
                <w:rFonts w:hint="eastAsia" w:ascii="宋体" w:hAnsi="宋体" w:eastAsia="宋体"/>
                <w:color w:val="000000"/>
                <w:kern w:val="0"/>
                <w:sz w:val="30"/>
                <w:szCs w:val="30"/>
                <w:highlight w:val="none"/>
              </w:rPr>
              <w:t>政策</w:t>
            </w:r>
            <w:r>
              <w:rPr>
                <w:rFonts w:hint="eastAsia" w:ascii="宋体" w:hAnsi="宋体" w:eastAsia="宋体"/>
                <w:color w:val="000000"/>
                <w:kern w:val="0"/>
                <w:sz w:val="30"/>
                <w:szCs w:val="30"/>
                <w:highlight w:val="none"/>
                <w:lang w:eastAsia="zh-CN"/>
              </w:rPr>
              <w:t>研究解读</w:t>
            </w:r>
            <w:r>
              <w:rPr>
                <w:rFonts w:hint="eastAsia" w:ascii="宋体" w:hAnsi="宋体" w:eastAsia="宋体"/>
                <w:color w:val="000000"/>
                <w:sz w:val="30"/>
                <w:szCs w:val="30"/>
                <w:highlight w:val="none"/>
                <w:lang w:val="en-US" w:eastAsia="zh-CN"/>
              </w:rPr>
              <w:t>能力 ，提供自2021年1月1日至投标截止之日前，投标人承担编制相关方案（须提供方案（加盖单位公章）或合同、委托函复印件）；</w:t>
            </w:r>
          </w:p>
          <w:p>
            <w:pPr>
              <w:numPr>
                <w:ilvl w:val="0"/>
                <w:numId w:val="0"/>
              </w:numPr>
              <w:spacing w:line="660" w:lineRule="exact"/>
              <w:jc w:val="both"/>
              <w:rPr>
                <w:rFonts w:hint="default" w:ascii="宋体" w:hAnsi="宋体" w:eastAsia="宋体"/>
                <w:color w:val="000000"/>
                <w:sz w:val="30"/>
                <w:szCs w:val="30"/>
                <w:highlight w:val="none"/>
                <w:lang w:val="en-US" w:eastAsia="zh-CN"/>
              </w:rPr>
            </w:pPr>
            <w:r>
              <w:rPr>
                <w:rFonts w:hint="eastAsia" w:ascii="宋体" w:hAnsi="宋体" w:eastAsia="宋体"/>
                <w:color w:val="000000"/>
                <w:sz w:val="30"/>
                <w:szCs w:val="30"/>
                <w:highlight w:val="none"/>
                <w:lang w:val="en-US" w:eastAsia="zh-CN"/>
              </w:rPr>
              <w:t>8.拟投入项目团队，包括：投标人拟投入本项目的项目负责人情况（具备博士学历及高级职称以上），投标人拟投入本项目的项目服务团队成员（除项目负责人外）情况（具备能源、环境、经济、化学等相关专业中级及以上职称），以上所有人员要需提供自投标截止之日起前半年或以上的社保缴纳证明或者劳动合同</w:t>
            </w:r>
            <w:bookmarkStart w:id="0" w:name="OLE_LINK3"/>
            <w:r>
              <w:rPr>
                <w:rFonts w:hint="eastAsia" w:ascii="宋体" w:hAnsi="宋体" w:eastAsia="宋体"/>
                <w:color w:val="000000"/>
                <w:sz w:val="30"/>
                <w:szCs w:val="30"/>
                <w:highlight w:val="none"/>
              </w:rPr>
              <w:t>（协议）</w:t>
            </w:r>
            <w:bookmarkEnd w:id="0"/>
            <w:r>
              <w:rPr>
                <w:rFonts w:hint="eastAsia" w:ascii="宋体" w:hAnsi="宋体" w:eastAsia="宋体"/>
                <w:color w:val="000000"/>
                <w:sz w:val="30"/>
                <w:szCs w:val="30"/>
                <w:highlight w:val="none"/>
                <w:lang w:val="en-US" w:eastAsia="zh-CN"/>
              </w:rPr>
              <w:t>复印件。</w:t>
            </w:r>
          </w:p>
          <w:p>
            <w:pPr>
              <w:spacing w:line="660" w:lineRule="exact"/>
              <w:ind w:left="60" w:firstLine="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lang w:eastAsia="zh-CN"/>
              </w:rPr>
              <w:t>三、</w:t>
            </w:r>
            <w:r>
              <w:rPr>
                <w:rFonts w:hint="eastAsia" w:ascii="宋体" w:hAnsi="宋体" w:eastAsia="宋体"/>
                <w:color w:val="000000"/>
                <w:sz w:val="30"/>
                <w:szCs w:val="30"/>
                <w:highlight w:val="none"/>
              </w:rPr>
              <w:t>报价方式：报总价。</w:t>
            </w:r>
          </w:p>
          <w:p>
            <w:pPr>
              <w:spacing w:line="660" w:lineRule="exact"/>
              <w:ind w:left="60" w:firstLine="0"/>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lang w:eastAsia="zh-CN"/>
              </w:rPr>
              <w:t>四、</w:t>
            </w:r>
            <w:r>
              <w:rPr>
                <w:rFonts w:hint="eastAsia" w:ascii="宋体" w:hAnsi="宋体" w:eastAsia="宋体"/>
                <w:color w:val="000000"/>
                <w:sz w:val="30"/>
                <w:szCs w:val="30"/>
                <w:highlight w:val="none"/>
              </w:rPr>
              <w:t>计价标准：</w:t>
            </w:r>
            <w:r>
              <w:rPr>
                <w:rFonts w:hint="eastAsia" w:ascii="宋体" w:hAnsi="宋体" w:eastAsia="宋体"/>
                <w:color w:val="000000"/>
                <w:sz w:val="30"/>
                <w:szCs w:val="30"/>
                <w:highlight w:val="none"/>
                <w:lang w:val="en-US" w:eastAsia="zh-CN"/>
              </w:rPr>
              <w:t>总价按23万元</w:t>
            </w:r>
            <w:r>
              <w:rPr>
                <w:rFonts w:hint="eastAsia" w:ascii="宋体" w:hAnsi="宋体" w:eastAsia="宋体"/>
                <w:color w:val="000000"/>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50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8</w:t>
            </w:r>
          </w:p>
        </w:tc>
        <w:tc>
          <w:tcPr>
            <w:tcW w:w="1596" w:type="dxa"/>
            <w:vAlign w:val="center"/>
          </w:tcPr>
          <w:p>
            <w:pPr>
              <w:spacing w:line="450" w:lineRule="exact"/>
              <w:ind w:left="8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服务时间</w:t>
            </w:r>
          </w:p>
        </w:tc>
        <w:tc>
          <w:tcPr>
            <w:tcW w:w="6876" w:type="dxa"/>
            <w:vAlign w:val="top"/>
          </w:tcPr>
          <w:p>
            <w:pPr>
              <w:spacing w:line="680" w:lineRule="exact"/>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本项目采购合同自双方盖公章后生效。本项目服务期为202</w:t>
            </w:r>
            <w:r>
              <w:rPr>
                <w:rFonts w:hint="eastAsia" w:ascii="宋体" w:hAnsi="宋体" w:eastAsia="宋体"/>
                <w:color w:val="000000"/>
                <w:sz w:val="30"/>
                <w:szCs w:val="30"/>
                <w:highlight w:val="none"/>
                <w:lang w:val="en-US" w:eastAsia="zh-CN"/>
              </w:rPr>
              <w:t>6</w:t>
            </w:r>
            <w:r>
              <w:rPr>
                <w:rFonts w:hint="eastAsia" w:ascii="宋体" w:hAnsi="宋体" w:eastAsia="宋体"/>
                <w:color w:val="000000"/>
                <w:sz w:val="30"/>
                <w:szCs w:val="30"/>
                <w:highlight w:val="none"/>
              </w:rPr>
              <w:t>年</w:t>
            </w:r>
            <w:r>
              <w:rPr>
                <w:rFonts w:hint="eastAsia" w:ascii="宋体" w:hAnsi="宋体" w:eastAsia="宋体"/>
                <w:color w:val="000000"/>
                <w:sz w:val="30"/>
                <w:szCs w:val="30"/>
                <w:highlight w:val="none"/>
                <w:lang w:val="en-US" w:eastAsia="zh-CN"/>
              </w:rPr>
              <w:t>1</w:t>
            </w:r>
            <w:r>
              <w:rPr>
                <w:rFonts w:hint="eastAsia" w:ascii="宋体" w:hAnsi="宋体" w:eastAsia="宋体"/>
                <w:color w:val="000000"/>
                <w:sz w:val="30"/>
                <w:szCs w:val="30"/>
                <w:highlight w:val="none"/>
              </w:rPr>
              <w:t>月至</w:t>
            </w:r>
            <w:r>
              <w:rPr>
                <w:rFonts w:hint="eastAsia" w:ascii="宋体" w:hAnsi="宋体" w:eastAsia="宋体"/>
                <w:color w:val="000000"/>
                <w:sz w:val="30"/>
                <w:szCs w:val="30"/>
                <w:highlight w:val="none"/>
                <w:lang w:eastAsia="zh-CN"/>
              </w:rPr>
              <w:t>碳排放核算分析、分析展望报告申报及“两新”政策全面宣传</w:t>
            </w:r>
            <w:r>
              <w:rPr>
                <w:rFonts w:hint="eastAsia" w:ascii="宋体" w:hAnsi="宋体" w:eastAsia="宋体"/>
                <w:color w:val="000000"/>
                <w:sz w:val="30"/>
                <w:szCs w:val="30"/>
                <w:highlight w:val="none"/>
                <w:lang w:val="en-US" w:eastAsia="zh-CN"/>
              </w:rPr>
              <w:t>截止</w:t>
            </w:r>
            <w:r>
              <w:rPr>
                <w:rFonts w:hint="eastAsia" w:ascii="宋体" w:hAnsi="宋体" w:eastAsia="宋体"/>
                <w:color w:val="000000"/>
                <w:sz w:val="30"/>
                <w:szCs w:val="30"/>
                <w:highlight w:val="none"/>
              </w:rPr>
              <w:t>，自合同生效之日起开始计算。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46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9</w:t>
            </w:r>
          </w:p>
        </w:tc>
        <w:tc>
          <w:tcPr>
            <w:tcW w:w="1596" w:type="dxa"/>
            <w:vAlign w:val="center"/>
          </w:tcPr>
          <w:p>
            <w:pPr>
              <w:spacing w:line="441" w:lineRule="exact"/>
              <w:ind w:left="8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验收</w:t>
            </w:r>
          </w:p>
        </w:tc>
        <w:tc>
          <w:tcPr>
            <w:tcW w:w="6876" w:type="dxa"/>
            <w:vAlign w:val="top"/>
          </w:tcPr>
          <w:p>
            <w:pPr>
              <w:numPr>
                <w:ilvl w:val="0"/>
                <w:numId w:val="1"/>
              </w:numPr>
              <w:spacing w:line="680" w:lineRule="exact"/>
              <w:ind w:left="100" w:firstLine="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验收时间、验收程序、验收标准等按照《广东省</w:t>
            </w:r>
            <w:r>
              <w:rPr>
                <w:rFonts w:hint="eastAsia" w:ascii="宋体" w:hAnsi="宋体" w:eastAsia="宋体"/>
                <w:color w:val="000000"/>
                <w:sz w:val="30"/>
                <w:szCs w:val="30"/>
                <w:highlight w:val="none"/>
                <w:lang w:eastAsia="zh-CN"/>
              </w:rPr>
              <w:t>发展改革委关于开展碳排放核算分析及分析展望的通知</w:t>
            </w:r>
            <w:r>
              <w:rPr>
                <w:rFonts w:hint="eastAsia" w:ascii="宋体" w:hAnsi="宋体" w:eastAsia="宋体"/>
                <w:color w:val="000000"/>
                <w:sz w:val="30"/>
                <w:szCs w:val="30"/>
                <w:highlight w:val="none"/>
              </w:rPr>
              <w:t>》实施。</w:t>
            </w:r>
          </w:p>
          <w:p>
            <w:pPr>
              <w:numPr>
                <w:ilvl w:val="0"/>
                <w:numId w:val="1"/>
              </w:numPr>
              <w:spacing w:line="680" w:lineRule="exact"/>
              <w:ind w:left="100" w:leftChars="0" w:firstLine="0" w:firstLineChars="0"/>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验收不合格的处理方式：</w:t>
            </w:r>
          </w:p>
          <w:p>
            <w:pPr>
              <w:numPr>
                <w:ilvl w:val="0"/>
                <w:numId w:val="0"/>
              </w:numPr>
              <w:spacing w:line="680" w:lineRule="exact"/>
              <w:ind w:left="100" w:leftChars="0"/>
              <w:jc w:val="both"/>
              <w:rPr>
                <w:sz w:val="30"/>
                <w:szCs w:val="30"/>
                <w:highlight w:val="none"/>
              </w:rPr>
            </w:pPr>
            <w:r>
              <w:rPr>
                <w:rFonts w:hint="eastAsia" w:ascii="宋体" w:hAnsi="宋体" w:eastAsia="宋体"/>
                <w:color w:val="000000"/>
                <w:sz w:val="30"/>
                <w:szCs w:val="30"/>
                <w:highlight w:val="none"/>
              </w:rPr>
              <w:t>（一）获选聘方提供的服务不符合采购文件、报价文件或本合同规定的，我局有权拒收，并且获选聘方须向我局支付本合同总价5％的违约金。</w:t>
            </w:r>
          </w:p>
          <w:p>
            <w:pPr>
              <w:spacing w:line="620" w:lineRule="exact"/>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（二）其它违约责任按《中华人民共和国民法典》处理。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441"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10</w:t>
            </w:r>
          </w:p>
        </w:tc>
        <w:tc>
          <w:tcPr>
            <w:tcW w:w="1596" w:type="dxa"/>
            <w:vAlign w:val="center"/>
          </w:tcPr>
          <w:p>
            <w:pPr>
              <w:spacing w:line="450" w:lineRule="exact"/>
              <w:ind w:left="8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结算方式</w:t>
            </w:r>
          </w:p>
        </w:tc>
        <w:tc>
          <w:tcPr>
            <w:tcW w:w="6876" w:type="dxa"/>
            <w:vAlign w:val="top"/>
          </w:tcPr>
          <w:p>
            <w:pPr>
              <w:numPr>
                <w:ilvl w:val="0"/>
                <w:numId w:val="0"/>
              </w:numPr>
              <w:spacing w:line="680" w:lineRule="exact"/>
              <w:ind w:left="120" w:leftChars="0"/>
              <w:jc w:val="both"/>
              <w:rPr>
                <w:rFonts w:hint="default" w:asciiTheme="minorHAnsi" w:hAnsiTheme="minorHAnsi" w:eastAsiaTheme="minorEastAsia" w:cstheme="minorBidi"/>
                <w:sz w:val="30"/>
                <w:szCs w:val="30"/>
                <w:highlight w:val="none"/>
                <w:lang w:val="en-US" w:eastAsia="zh-CN"/>
              </w:rPr>
            </w:pPr>
            <w:r>
              <w:rPr>
                <w:rFonts w:hint="eastAsia" w:ascii="宋体" w:hAnsi="宋体" w:eastAsia="宋体"/>
                <w:color w:val="000000"/>
                <w:sz w:val="30"/>
                <w:szCs w:val="30"/>
                <w:highlight w:val="none"/>
                <w:lang w:val="en-US" w:eastAsia="zh-CN"/>
              </w:rPr>
              <w:t>按项目服务进度结算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45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11</w:t>
            </w:r>
          </w:p>
        </w:tc>
        <w:tc>
          <w:tcPr>
            <w:tcW w:w="1596" w:type="dxa"/>
            <w:vAlign w:val="center"/>
          </w:tcPr>
          <w:p>
            <w:pPr>
              <w:spacing w:line="457" w:lineRule="exact"/>
              <w:ind w:left="6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违约责任</w:t>
            </w:r>
          </w:p>
        </w:tc>
        <w:tc>
          <w:tcPr>
            <w:tcW w:w="6876" w:type="dxa"/>
            <w:vAlign w:val="top"/>
          </w:tcPr>
          <w:p>
            <w:pPr>
              <w:spacing w:line="660" w:lineRule="exact"/>
              <w:ind w:left="100" w:leftChars="0" w:firstLine="13" w:firstLineChars="0"/>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当事人一方不履行合同义务或者履行合同义务不符合规定的，应当承担继续履行、采取补救措施或者赔偿损失等违约责任。当事人一方明确表示或者以自己的行为表明不履行合同义务的，对方可以在履行期限届满之前要求其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450"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12</w:t>
            </w:r>
          </w:p>
        </w:tc>
        <w:tc>
          <w:tcPr>
            <w:tcW w:w="1596" w:type="dxa"/>
            <w:vAlign w:val="center"/>
          </w:tcPr>
          <w:p>
            <w:pPr>
              <w:spacing w:before="1059" w:line="583" w:lineRule="exact"/>
              <w:ind w:left="100" w:firstLine="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补充合同和解决争议方式</w:t>
            </w:r>
          </w:p>
        </w:tc>
        <w:tc>
          <w:tcPr>
            <w:tcW w:w="6876" w:type="dxa"/>
            <w:vAlign w:val="top"/>
          </w:tcPr>
          <w:p>
            <w:pPr>
              <w:spacing w:line="660" w:lineRule="exact"/>
              <w:ind w:left="100" w:leftChars="0" w:firstLine="0" w:firstLineChars="0"/>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采购合同中如有未尽事宜，双方协商一致后可以签订补充合同，但补充合同不得与法律法规和有关政府采购政策相抵触。对于合同履行中出现的纠纷，双方应协商解决，协商不成的，通过诉讼的方式解决。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7" w:hRule="atLeast"/>
        </w:trPr>
        <w:tc>
          <w:tcPr>
            <w:tcW w:w="579" w:type="dxa"/>
            <w:vAlign w:val="center"/>
          </w:tcPr>
          <w:p>
            <w:pPr>
              <w:spacing w:line="441" w:lineRule="exact"/>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13</w:t>
            </w:r>
          </w:p>
        </w:tc>
        <w:tc>
          <w:tcPr>
            <w:tcW w:w="1596" w:type="dxa"/>
            <w:vAlign w:val="center"/>
          </w:tcPr>
          <w:p>
            <w:pPr>
              <w:spacing w:line="458" w:lineRule="exact"/>
              <w:ind w:left="100" w:leftChars="0" w:firstLine="0" w:firstLineChars="0"/>
              <w:jc w:val="center"/>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备注</w:t>
            </w:r>
          </w:p>
        </w:tc>
        <w:tc>
          <w:tcPr>
            <w:tcW w:w="6876" w:type="dxa"/>
            <w:vAlign w:val="top"/>
          </w:tcPr>
          <w:p>
            <w:pPr>
              <w:numPr>
                <w:ilvl w:val="0"/>
                <w:numId w:val="2"/>
              </w:numPr>
              <w:tabs>
                <w:tab w:val="left" w:pos="0"/>
              </w:tabs>
              <w:spacing w:line="700" w:lineRule="exact"/>
              <w:jc w:val="both"/>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如果监督管理部门对有关服务已经拟定“合本”，业主单位、中选中介服务机构应当使用有关“合同范本”；如果监督管理部门未有“合同范本”，业主单位、中选中介服务机构应当根据《中华人民共和国合同法》等法律法规的规定自行拟定合同。</w:t>
            </w:r>
          </w:p>
          <w:p>
            <w:pPr>
              <w:numPr>
                <w:ilvl w:val="0"/>
                <w:numId w:val="0"/>
              </w:numPr>
              <w:tabs>
                <w:tab w:val="left" w:pos="0"/>
              </w:tabs>
              <w:spacing w:line="700" w:lineRule="exact"/>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2．合同的实质性内容，应当与采购公告、采购结果的内容一致。合同的实质性内容是指合同标的、数量、质量、价款或者报酬、履行期限、履行地点和方式、违约责任和解决争议方法等（即表格中的序号1-10）。</w:t>
            </w:r>
          </w:p>
          <w:p>
            <w:pPr>
              <w:numPr>
                <w:ilvl w:val="0"/>
                <w:numId w:val="0"/>
              </w:numPr>
              <w:tabs>
                <w:tab w:val="left" w:pos="0"/>
              </w:tabs>
              <w:spacing w:line="700" w:lineRule="exact"/>
              <w:jc w:val="both"/>
              <w:rPr>
                <w:rFonts w:hint="eastAsia" w:asciiTheme="minorHAnsi" w:hAnsiTheme="minorHAnsi" w:eastAsiaTheme="minorEastAsia" w:cstheme="minorBidi"/>
                <w:sz w:val="30"/>
                <w:szCs w:val="30"/>
                <w:highlight w:val="none"/>
              </w:rPr>
            </w:pPr>
            <w:r>
              <w:rPr>
                <w:rFonts w:hint="eastAsia" w:ascii="宋体" w:hAnsi="宋体" w:eastAsia="宋体"/>
                <w:color w:val="000000"/>
                <w:sz w:val="30"/>
                <w:szCs w:val="30"/>
                <w:highlight w:val="none"/>
              </w:rPr>
              <w:t>3．合同的变更、终止等，适用《中华人民共和国合同法》等法律法规的规定。</w:t>
            </w:r>
          </w:p>
        </w:tc>
      </w:tr>
    </w:tbl>
    <w:p>
      <w:pPr>
        <w:rPr>
          <w:rFonts w:hint="default"/>
          <w:highlight w:val="none"/>
        </w:rPr>
      </w:pPr>
    </w:p>
    <w:p>
      <w:pPr>
        <w:rPr>
          <w:highlight w:val="none"/>
        </w:rPr>
      </w:pPr>
    </w:p>
    <w:p>
      <w:pPr>
        <w:rPr>
          <w:highlight w:val="none"/>
        </w:rPr>
      </w:pPr>
    </w:p>
    <w:p>
      <w:pPr>
        <w:rPr>
          <w:highlight w:val="none"/>
        </w:rPr>
      </w:pPr>
    </w:p>
    <w:sectPr>
      <w:pgSz w:w="11900" w:h="16840"/>
      <w:pgMar w:top="1304" w:right="1417" w:bottom="1304" w:left="1417" w:header="0" w:footer="697"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BBFEDB"/>
    <w:multiLevelType w:val="singleLevel"/>
    <w:tmpl w:val="EBBBFEDB"/>
    <w:lvl w:ilvl="0" w:tentative="0">
      <w:start w:val="1"/>
      <w:numFmt w:val="chineseCounting"/>
      <w:suff w:val="nothing"/>
      <w:lvlText w:val="%1、"/>
      <w:lvlJc w:val="left"/>
      <w:rPr>
        <w:rFonts w:hint="eastAsia"/>
      </w:rPr>
    </w:lvl>
  </w:abstractNum>
  <w:abstractNum w:abstractNumId="1">
    <w:nsid w:val="6BFE9B97"/>
    <w:multiLevelType w:val="singleLevel"/>
    <w:tmpl w:val="6BFE9B9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DBkYTk3MjQ2MWRkMGMyNmFiNGY2ZTFlM2YzY2QifQ=="/>
  </w:docVars>
  <w:rsids>
    <w:rsidRoot w:val="00000000"/>
    <w:rsid w:val="0D3F4E4F"/>
    <w:rsid w:val="0EFD21A9"/>
    <w:rsid w:val="15EA560C"/>
    <w:rsid w:val="1A053AEE"/>
    <w:rsid w:val="1D872FFF"/>
    <w:rsid w:val="31A30F26"/>
    <w:rsid w:val="34F76652"/>
    <w:rsid w:val="3709F149"/>
    <w:rsid w:val="37C70BA3"/>
    <w:rsid w:val="37F56EC3"/>
    <w:rsid w:val="38BF587F"/>
    <w:rsid w:val="3DE59329"/>
    <w:rsid w:val="3E943AD3"/>
    <w:rsid w:val="3EDF46AF"/>
    <w:rsid w:val="3F7FEE7A"/>
    <w:rsid w:val="3FFD8573"/>
    <w:rsid w:val="467C6C6E"/>
    <w:rsid w:val="52B3286C"/>
    <w:rsid w:val="53E30336"/>
    <w:rsid w:val="53E504E7"/>
    <w:rsid w:val="56731046"/>
    <w:rsid w:val="59FBD540"/>
    <w:rsid w:val="5DAD5755"/>
    <w:rsid w:val="5DEF998E"/>
    <w:rsid w:val="5E2002BE"/>
    <w:rsid w:val="66AFA8B2"/>
    <w:rsid w:val="67244D76"/>
    <w:rsid w:val="6D8A005B"/>
    <w:rsid w:val="6EBB12F6"/>
    <w:rsid w:val="76DD7650"/>
    <w:rsid w:val="76FE1CA5"/>
    <w:rsid w:val="777BB59F"/>
    <w:rsid w:val="7BDE5C86"/>
    <w:rsid w:val="7BFFC902"/>
    <w:rsid w:val="7DEFFAD3"/>
    <w:rsid w:val="7EA73F2C"/>
    <w:rsid w:val="7F0FC934"/>
    <w:rsid w:val="7F2F7BD5"/>
    <w:rsid w:val="7F5F7DD7"/>
    <w:rsid w:val="7FAAA3F6"/>
    <w:rsid w:val="7FAEC0D3"/>
    <w:rsid w:val="7FDDB9CA"/>
    <w:rsid w:val="7FEA0C83"/>
    <w:rsid w:val="8BFF2939"/>
    <w:rsid w:val="8FFF84B1"/>
    <w:rsid w:val="9B36E28E"/>
    <w:rsid w:val="A6A73852"/>
    <w:rsid w:val="ABD1F331"/>
    <w:rsid w:val="B3676FC9"/>
    <w:rsid w:val="BF5B54DD"/>
    <w:rsid w:val="CFF92015"/>
    <w:rsid w:val="DE7843B3"/>
    <w:rsid w:val="DE831B9D"/>
    <w:rsid w:val="E59E9DDA"/>
    <w:rsid w:val="EFBED9B2"/>
    <w:rsid w:val="EFFFD582"/>
    <w:rsid w:val="F05793C6"/>
    <w:rsid w:val="F6375E0B"/>
    <w:rsid w:val="F65F4D07"/>
    <w:rsid w:val="F7EF9D59"/>
    <w:rsid w:val="F99F7E21"/>
    <w:rsid w:val="FB746CF5"/>
    <w:rsid w:val="FDF7C4BF"/>
    <w:rsid w:val="FFBE36BD"/>
    <w:rsid w:val="FFEF2B91"/>
    <w:rsid w:val="FFF5F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2355</Words>
  <Characters>2469</Characters>
  <TotalTime>25</TotalTime>
  <ScaleCrop>false</ScaleCrop>
  <LinksUpToDate>false</LinksUpToDate>
  <CharactersWithSpaces>2470</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2023-05-02T09:54:00Z</dcterms:created>
  <dc:creator>openxml-sdk </dc:creator>
  <dc:description>openxml-sdk, CCi Textin Word Converter, JL</dc:description>
  <cp:keywords>CCi</cp:keywords>
  <cp:lastModifiedBy>陈彦麟</cp:lastModifiedBy>
  <cp:lastPrinted>2026-01-16T16:23:00Z</cp:lastPrinted>
  <dcterms:modified xsi:type="dcterms:W3CDTF">2026-01-22T03:10:11Z</dcterms:modified>
  <dc:title>江门市发展和改革局关于委托第三方开展碳排放核算分析及“两新”政策研究服务需求书</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9AAF66B5D839FE60BD086969FF5B2E98</vt:lpwstr>
  </property>
  <property fmtid="{D5CDD505-2E9C-101B-9397-08002B2CF9AE}" pid="4" name="KSOTemplateDocerSaveRecord">
    <vt:lpwstr>eyJoZGlkIjoiMmYxMDhmZTJiNzAyMGEwMjY2NzlmMzlhY2NiMjQzYTEiLCJ1c2VySWQiOiIyODExNTA2MzgifQ==</vt:lpwstr>
  </property>
</Properties>
</file>