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A4F963">
      <w:pPr>
        <w:spacing w:line="560" w:lineRule="exact"/>
        <w:jc w:val="left"/>
        <w:rPr>
          <w:rFonts w:hint="default" w:eastAsiaTheme="minorEastAsia"/>
          <w:b/>
          <w:bCs/>
          <w:sz w:val="28"/>
          <w:szCs w:val="28"/>
          <w:highlight w:val="none"/>
          <w:lang w:val="en-US" w:eastAsia="zh-CN"/>
        </w:rPr>
      </w:pPr>
      <w:r>
        <w:rPr>
          <w:rFonts w:hint="eastAsia"/>
          <w:b/>
          <w:bCs/>
          <w:sz w:val="28"/>
          <w:szCs w:val="28"/>
          <w:highlight w:val="none"/>
          <w:lang w:eastAsia="zh-CN"/>
        </w:rPr>
        <w:t>附件</w:t>
      </w:r>
      <w:r>
        <w:rPr>
          <w:rFonts w:hint="eastAsia"/>
          <w:b/>
          <w:bCs/>
          <w:sz w:val="28"/>
          <w:szCs w:val="28"/>
          <w:highlight w:val="none"/>
          <w:lang w:val="en-US" w:eastAsia="zh-CN"/>
        </w:rPr>
        <w:t>1</w:t>
      </w:r>
    </w:p>
    <w:p w14:paraId="11CEBAC9">
      <w:pPr>
        <w:spacing w:line="560" w:lineRule="exact"/>
        <w:jc w:val="center"/>
        <w:rPr>
          <w:rFonts w:hint="eastAsia" w:eastAsiaTheme="minorEastAsia"/>
          <w:b/>
          <w:bCs/>
          <w:sz w:val="28"/>
          <w:szCs w:val="28"/>
          <w:highlight w:val="none"/>
          <w:lang w:eastAsia="zh-CN"/>
        </w:rPr>
      </w:pPr>
      <w:r>
        <w:rPr>
          <w:rFonts w:hint="eastAsia"/>
          <w:b/>
          <w:bCs/>
          <w:sz w:val="28"/>
          <w:szCs w:val="28"/>
          <w:highlight w:val="none"/>
        </w:rPr>
        <w:t>江门市新会公路局养护中心</w:t>
      </w:r>
      <w:r>
        <w:rPr>
          <w:rFonts w:hint="eastAsia"/>
          <w:b/>
          <w:bCs/>
          <w:sz w:val="28"/>
          <w:szCs w:val="28"/>
          <w:highlight w:val="none"/>
          <w:lang w:eastAsia="zh-CN"/>
        </w:rPr>
        <w:t>日常</w:t>
      </w:r>
      <w:r>
        <w:rPr>
          <w:rFonts w:hint="eastAsia"/>
          <w:b/>
          <w:bCs/>
          <w:sz w:val="28"/>
          <w:szCs w:val="28"/>
          <w:highlight w:val="none"/>
        </w:rPr>
        <w:t>养护公路标志牌面采购评</w:t>
      </w:r>
      <w:r>
        <w:rPr>
          <w:rFonts w:hint="eastAsia"/>
          <w:b/>
          <w:bCs/>
          <w:sz w:val="28"/>
          <w:szCs w:val="28"/>
          <w:highlight w:val="none"/>
          <w:lang w:eastAsia="zh-CN"/>
        </w:rPr>
        <w:t>分标准</w:t>
      </w:r>
    </w:p>
    <w:p w14:paraId="604AC984">
      <w:pPr>
        <w:spacing w:line="560" w:lineRule="exact"/>
        <w:ind w:firstLine="560"/>
        <w:jc w:val="left"/>
        <w:rPr>
          <w:b/>
          <w:bCs/>
          <w:sz w:val="24"/>
          <w:highlight w:val="none"/>
        </w:rPr>
      </w:pPr>
      <w:r>
        <w:rPr>
          <w:rFonts w:hint="eastAsia"/>
          <w:b/>
          <w:bCs/>
          <w:sz w:val="24"/>
          <w:highlight w:val="none"/>
        </w:rPr>
        <w:t>一、本采购项目采用综合评分选取方式</w:t>
      </w:r>
    </w:p>
    <w:p w14:paraId="2E181EB4">
      <w:pPr>
        <w:spacing w:line="560" w:lineRule="exact"/>
        <w:ind w:firstLine="560"/>
        <w:jc w:val="left"/>
        <w:rPr>
          <w:sz w:val="24"/>
          <w:highlight w:val="none"/>
        </w:rPr>
      </w:pPr>
      <w:r>
        <w:rPr>
          <w:rFonts w:hint="eastAsia"/>
          <w:sz w:val="24"/>
          <w:highlight w:val="none"/>
        </w:rPr>
        <w:t>本次采购采用综合评选的方式确定中选单位。采购评选小组先对投标单位进行初步评审；然后对满足初步评审要求的投标单位各品目的报价</w:t>
      </w:r>
      <w:r>
        <w:rPr>
          <w:rFonts w:hint="eastAsia"/>
          <w:sz w:val="24"/>
          <w:highlight w:val="none"/>
          <w:lang w:eastAsia="zh-CN"/>
        </w:rPr>
        <w:t>计算平均价，报价得分</w:t>
      </w:r>
      <w:r>
        <w:rPr>
          <w:rFonts w:hint="eastAsia"/>
          <w:b/>
          <w:bCs/>
          <w:sz w:val="24"/>
          <w:highlight w:val="none"/>
          <w:lang w:eastAsia="zh-CN"/>
        </w:rPr>
        <w:t>最高</w:t>
      </w:r>
      <w:r>
        <w:rPr>
          <w:rFonts w:hint="eastAsia"/>
          <w:sz w:val="24"/>
          <w:highlight w:val="none"/>
        </w:rPr>
        <w:t>为推荐中选第一顺位，如两家以上（含两家）报价单位得分相同，则由评审小组商议确定报价单位顺位。</w:t>
      </w:r>
    </w:p>
    <w:p w14:paraId="735A6BF1">
      <w:pPr>
        <w:numPr>
          <w:ilvl w:val="0"/>
          <w:numId w:val="1"/>
        </w:numPr>
        <w:spacing w:line="560" w:lineRule="exact"/>
        <w:ind w:firstLine="560"/>
        <w:jc w:val="left"/>
        <w:rPr>
          <w:b/>
          <w:bCs/>
          <w:sz w:val="24"/>
          <w:highlight w:val="none"/>
        </w:rPr>
      </w:pPr>
      <w:r>
        <w:rPr>
          <w:rFonts w:hint="eastAsia"/>
          <w:b/>
          <w:bCs/>
          <w:sz w:val="24"/>
          <w:highlight w:val="none"/>
        </w:rPr>
        <w:t>初步评审</w:t>
      </w:r>
    </w:p>
    <w:tbl>
      <w:tblPr>
        <w:tblStyle w:val="7"/>
        <w:tblW w:w="105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2"/>
        <w:gridCol w:w="2399"/>
        <w:gridCol w:w="6851"/>
      </w:tblGrid>
      <w:tr w14:paraId="3F230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81" w:type="dxa"/>
            <w:gridSpan w:val="2"/>
            <w:vAlign w:val="center"/>
          </w:tcPr>
          <w:p w14:paraId="6C78E70E">
            <w:pPr>
              <w:spacing w:line="560" w:lineRule="exact"/>
              <w:jc w:val="center"/>
              <w:rPr>
                <w:sz w:val="24"/>
                <w:highlight w:val="none"/>
              </w:rPr>
            </w:pPr>
            <w:r>
              <w:rPr>
                <w:rFonts w:hint="eastAsia"/>
                <w:sz w:val="24"/>
                <w:highlight w:val="none"/>
              </w:rPr>
              <w:t>评审因素与评分值</w:t>
            </w:r>
          </w:p>
        </w:tc>
        <w:tc>
          <w:tcPr>
            <w:tcW w:w="6851" w:type="dxa"/>
            <w:vMerge w:val="restart"/>
            <w:vAlign w:val="center"/>
          </w:tcPr>
          <w:p w14:paraId="44FFFDE5">
            <w:pPr>
              <w:spacing w:line="560" w:lineRule="exact"/>
              <w:jc w:val="center"/>
              <w:rPr>
                <w:sz w:val="24"/>
                <w:highlight w:val="none"/>
              </w:rPr>
            </w:pPr>
            <w:r>
              <w:rPr>
                <w:rFonts w:hint="eastAsia"/>
                <w:sz w:val="24"/>
                <w:highlight w:val="none"/>
              </w:rPr>
              <w:t>初评标准</w:t>
            </w:r>
          </w:p>
        </w:tc>
      </w:tr>
      <w:tr w14:paraId="05FE1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282" w:type="dxa"/>
            <w:vAlign w:val="center"/>
          </w:tcPr>
          <w:p w14:paraId="7AE041E4">
            <w:pPr>
              <w:spacing w:line="560" w:lineRule="exact"/>
              <w:jc w:val="center"/>
              <w:rPr>
                <w:sz w:val="24"/>
                <w:highlight w:val="none"/>
              </w:rPr>
            </w:pPr>
            <w:r>
              <w:rPr>
                <w:rFonts w:hint="eastAsia"/>
                <w:sz w:val="24"/>
                <w:highlight w:val="none"/>
              </w:rPr>
              <w:t>评审因素</w:t>
            </w:r>
          </w:p>
        </w:tc>
        <w:tc>
          <w:tcPr>
            <w:tcW w:w="2399" w:type="dxa"/>
            <w:vAlign w:val="center"/>
          </w:tcPr>
          <w:p w14:paraId="3775329E">
            <w:pPr>
              <w:spacing w:line="560" w:lineRule="exact"/>
              <w:jc w:val="center"/>
              <w:rPr>
                <w:sz w:val="24"/>
                <w:highlight w:val="none"/>
              </w:rPr>
            </w:pPr>
            <w:r>
              <w:rPr>
                <w:rFonts w:hint="eastAsia"/>
                <w:sz w:val="24"/>
                <w:highlight w:val="none"/>
              </w:rPr>
              <w:t>各评审因素细项</w:t>
            </w:r>
          </w:p>
        </w:tc>
        <w:tc>
          <w:tcPr>
            <w:tcW w:w="6851" w:type="dxa"/>
            <w:vMerge w:val="continue"/>
            <w:vAlign w:val="center"/>
          </w:tcPr>
          <w:p w14:paraId="0A7016D7">
            <w:pPr>
              <w:spacing w:line="560" w:lineRule="exact"/>
              <w:jc w:val="center"/>
              <w:rPr>
                <w:sz w:val="24"/>
                <w:highlight w:val="none"/>
              </w:rPr>
            </w:pPr>
          </w:p>
        </w:tc>
      </w:tr>
      <w:tr w14:paraId="6C8FD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1282" w:type="dxa"/>
            <w:vMerge w:val="restart"/>
            <w:vAlign w:val="center"/>
          </w:tcPr>
          <w:p w14:paraId="7255C838">
            <w:pPr>
              <w:spacing w:line="560" w:lineRule="exact"/>
              <w:jc w:val="center"/>
              <w:rPr>
                <w:sz w:val="24"/>
                <w:highlight w:val="none"/>
              </w:rPr>
            </w:pPr>
            <w:r>
              <w:rPr>
                <w:rFonts w:hint="eastAsia"/>
                <w:sz w:val="24"/>
                <w:highlight w:val="none"/>
              </w:rPr>
              <w:t>初步评审</w:t>
            </w:r>
          </w:p>
        </w:tc>
        <w:tc>
          <w:tcPr>
            <w:tcW w:w="2399" w:type="dxa"/>
            <w:vAlign w:val="center"/>
          </w:tcPr>
          <w:p w14:paraId="3955D15B">
            <w:pPr>
              <w:spacing w:line="500" w:lineRule="exact"/>
              <w:jc w:val="center"/>
              <w:rPr>
                <w:sz w:val="24"/>
                <w:highlight w:val="none"/>
              </w:rPr>
            </w:pPr>
            <w:r>
              <w:rPr>
                <w:rFonts w:hint="eastAsia"/>
                <w:sz w:val="24"/>
                <w:highlight w:val="none"/>
              </w:rPr>
              <w:t>经营范围</w:t>
            </w:r>
          </w:p>
        </w:tc>
        <w:tc>
          <w:tcPr>
            <w:tcW w:w="6851" w:type="dxa"/>
            <w:vAlign w:val="center"/>
          </w:tcPr>
          <w:p w14:paraId="2CAE75CF">
            <w:pPr>
              <w:spacing w:line="500" w:lineRule="exact"/>
              <w:ind w:firstLine="240" w:firstLineChars="100"/>
              <w:jc w:val="left"/>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1.在中华人民共和国境内依法注册的具有合法经营资格的独立法人；</w:t>
            </w:r>
          </w:p>
          <w:p w14:paraId="3F8DEC94">
            <w:pPr>
              <w:spacing w:line="500" w:lineRule="exact"/>
              <w:ind w:firstLine="240" w:firstLineChars="100"/>
              <w:jc w:val="left"/>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2.具有独立承担民事责任及履行合同的能力；</w:t>
            </w:r>
          </w:p>
          <w:p w14:paraId="6DCE00EE">
            <w:pPr>
              <w:spacing w:line="500" w:lineRule="exact"/>
              <w:ind w:firstLine="240" w:firstLineChars="100"/>
              <w:jc w:val="left"/>
              <w:rPr>
                <w:sz w:val="24"/>
                <w:highlight w:val="none"/>
              </w:rPr>
            </w:pPr>
            <w:r>
              <w:rPr>
                <w:rFonts w:hint="eastAsia" w:asciiTheme="minorEastAsia" w:hAnsiTheme="minorEastAsia" w:eastAsiaTheme="minorEastAsia" w:cstheme="minorEastAsia"/>
                <w:sz w:val="24"/>
                <w:highlight w:val="none"/>
                <w:lang w:val="en-US" w:eastAsia="zh-CN"/>
              </w:rPr>
              <w:t>3.</w:t>
            </w:r>
            <w:r>
              <w:rPr>
                <w:rFonts w:hint="eastAsia" w:asciiTheme="minorEastAsia" w:hAnsiTheme="minorEastAsia" w:eastAsiaTheme="minorEastAsia" w:cstheme="minorEastAsia"/>
                <w:sz w:val="24"/>
                <w:highlight w:val="none"/>
              </w:rPr>
              <w:t>含交通工程施工类资质。</w:t>
            </w:r>
          </w:p>
        </w:tc>
      </w:tr>
      <w:tr w14:paraId="5A814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2" w:type="dxa"/>
            <w:vMerge w:val="continue"/>
            <w:vAlign w:val="center"/>
          </w:tcPr>
          <w:p w14:paraId="6DAA02AA">
            <w:pPr>
              <w:spacing w:line="560" w:lineRule="exact"/>
              <w:jc w:val="center"/>
              <w:rPr>
                <w:sz w:val="24"/>
                <w:highlight w:val="none"/>
              </w:rPr>
            </w:pPr>
          </w:p>
        </w:tc>
        <w:tc>
          <w:tcPr>
            <w:tcW w:w="2399" w:type="dxa"/>
            <w:vAlign w:val="center"/>
          </w:tcPr>
          <w:p w14:paraId="1AAE6314">
            <w:pPr>
              <w:spacing w:line="500" w:lineRule="exact"/>
              <w:jc w:val="center"/>
              <w:rPr>
                <w:sz w:val="24"/>
                <w:highlight w:val="none"/>
              </w:rPr>
            </w:pPr>
            <w:r>
              <w:rPr>
                <w:rFonts w:hint="eastAsia"/>
                <w:sz w:val="24"/>
                <w:highlight w:val="none"/>
              </w:rPr>
              <w:t>企业信用</w:t>
            </w:r>
          </w:p>
        </w:tc>
        <w:tc>
          <w:tcPr>
            <w:tcW w:w="6851" w:type="dxa"/>
            <w:vAlign w:val="center"/>
          </w:tcPr>
          <w:p w14:paraId="55BBE93E">
            <w:pPr>
              <w:spacing w:line="400" w:lineRule="exact"/>
              <w:ind w:firstLine="240" w:firstLineChars="100"/>
              <w:rPr>
                <w:rFonts w:ascii="宋体" w:hAnsi="宋体" w:eastAsia="宋体" w:cs="宋体"/>
                <w:color w:val="auto"/>
                <w:sz w:val="24"/>
              </w:rPr>
            </w:pPr>
            <w:r>
              <w:rPr>
                <w:rFonts w:hint="eastAsia" w:ascii="宋体" w:hAnsi="宋体" w:eastAsia="宋体" w:cs="宋体"/>
                <w:color w:val="auto"/>
                <w:sz w:val="24"/>
              </w:rPr>
              <w:t>1.报名单位在国家企业信用信息公示系统中未被列入严重违法失信企业名单；</w:t>
            </w:r>
          </w:p>
          <w:p w14:paraId="4F924B19">
            <w:pPr>
              <w:spacing w:line="500" w:lineRule="exact"/>
              <w:rPr>
                <w:sz w:val="24"/>
                <w:highlight w:val="none"/>
              </w:rPr>
            </w:pPr>
            <w:r>
              <w:rPr>
                <w:rFonts w:hint="eastAsia" w:ascii="宋体" w:hAnsi="宋体" w:eastAsia="宋体" w:cs="宋体"/>
                <w:color w:val="auto"/>
                <w:sz w:val="24"/>
              </w:rPr>
              <w:t>2.报名单位在“信用中国”或地方信用网站的信用信息报告中无不良记录；</w:t>
            </w:r>
          </w:p>
        </w:tc>
      </w:tr>
      <w:tr w14:paraId="22B1D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282" w:type="dxa"/>
            <w:vMerge w:val="continue"/>
            <w:vAlign w:val="center"/>
          </w:tcPr>
          <w:p w14:paraId="1E6B99EB">
            <w:pPr>
              <w:spacing w:line="560" w:lineRule="exact"/>
              <w:jc w:val="center"/>
              <w:rPr>
                <w:sz w:val="24"/>
                <w:highlight w:val="none"/>
              </w:rPr>
            </w:pPr>
          </w:p>
        </w:tc>
        <w:tc>
          <w:tcPr>
            <w:tcW w:w="2399" w:type="dxa"/>
            <w:vAlign w:val="center"/>
          </w:tcPr>
          <w:p w14:paraId="3958DE82">
            <w:pPr>
              <w:spacing w:line="500" w:lineRule="exact"/>
              <w:jc w:val="center"/>
              <w:rPr>
                <w:sz w:val="24"/>
                <w:highlight w:val="none"/>
              </w:rPr>
            </w:pPr>
            <w:r>
              <w:rPr>
                <w:rFonts w:hint="eastAsia" w:ascii="宋体" w:hAnsi="宋体" w:eastAsia="宋体" w:cs="宋体"/>
                <w:sz w:val="24"/>
                <w:highlight w:val="none"/>
              </w:rPr>
              <w:t>材料要求</w:t>
            </w:r>
          </w:p>
        </w:tc>
        <w:tc>
          <w:tcPr>
            <w:tcW w:w="6851" w:type="dxa"/>
            <w:vAlign w:val="center"/>
          </w:tcPr>
          <w:p w14:paraId="30101529">
            <w:pPr>
              <w:spacing w:line="500" w:lineRule="exact"/>
              <w:jc w:val="left"/>
              <w:rPr>
                <w:sz w:val="24"/>
                <w:highlight w:val="none"/>
              </w:rPr>
            </w:pPr>
            <w:r>
              <w:rPr>
                <w:rFonts w:hint="eastAsia"/>
                <w:sz w:val="24"/>
                <w:highlight w:val="none"/>
              </w:rPr>
              <w:t>1.《一般工业用铝及铝合金挤压型材》GB/T 6892-2015</w:t>
            </w:r>
          </w:p>
          <w:p w14:paraId="62D6722F">
            <w:pPr>
              <w:spacing w:line="500" w:lineRule="exact"/>
              <w:jc w:val="left"/>
              <w:rPr>
                <w:sz w:val="24"/>
                <w:highlight w:val="none"/>
              </w:rPr>
            </w:pPr>
            <w:r>
              <w:rPr>
                <w:rFonts w:hint="eastAsia"/>
                <w:sz w:val="24"/>
                <w:highlight w:val="none"/>
              </w:rPr>
              <w:t xml:space="preserve">2.《道路交通反光膜》 GB/T 18833-2012 </w:t>
            </w:r>
          </w:p>
        </w:tc>
      </w:tr>
      <w:tr w14:paraId="328BB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282" w:type="dxa"/>
            <w:vMerge w:val="continue"/>
            <w:vAlign w:val="center"/>
          </w:tcPr>
          <w:p w14:paraId="4371DDDD">
            <w:pPr>
              <w:spacing w:line="560" w:lineRule="exact"/>
              <w:jc w:val="center"/>
              <w:rPr>
                <w:sz w:val="24"/>
                <w:highlight w:val="none"/>
              </w:rPr>
            </w:pPr>
          </w:p>
        </w:tc>
        <w:tc>
          <w:tcPr>
            <w:tcW w:w="2399" w:type="dxa"/>
            <w:shd w:val="clear" w:color="auto" w:fill="auto"/>
            <w:vAlign w:val="center"/>
          </w:tcPr>
          <w:p w14:paraId="762690A9">
            <w:pPr>
              <w:spacing w:line="500" w:lineRule="exact"/>
              <w:jc w:val="center"/>
              <w:rPr>
                <w:sz w:val="24"/>
                <w:highlight w:val="none"/>
              </w:rPr>
            </w:pPr>
            <w:r>
              <w:rPr>
                <w:rFonts w:hint="eastAsia"/>
                <w:sz w:val="24"/>
                <w:highlight w:val="none"/>
              </w:rPr>
              <w:t>联合投标</w:t>
            </w:r>
          </w:p>
        </w:tc>
        <w:tc>
          <w:tcPr>
            <w:tcW w:w="6851" w:type="dxa"/>
            <w:shd w:val="clear" w:color="auto" w:fill="auto"/>
            <w:vAlign w:val="center"/>
          </w:tcPr>
          <w:p w14:paraId="2509406B">
            <w:pPr>
              <w:spacing w:line="500" w:lineRule="exact"/>
              <w:jc w:val="left"/>
              <w:rPr>
                <w:sz w:val="24"/>
                <w:highlight w:val="none"/>
              </w:rPr>
            </w:pPr>
            <w:r>
              <w:rPr>
                <w:rFonts w:hint="eastAsia"/>
                <w:sz w:val="24"/>
                <w:highlight w:val="none"/>
              </w:rPr>
              <w:t>不接受联合投标</w:t>
            </w:r>
          </w:p>
        </w:tc>
      </w:tr>
    </w:tbl>
    <w:p w14:paraId="2172D229">
      <w:pPr>
        <w:spacing w:line="560" w:lineRule="exact"/>
        <w:jc w:val="left"/>
        <w:rPr>
          <w:b/>
          <w:bCs/>
          <w:sz w:val="24"/>
          <w:highlight w:val="none"/>
        </w:rPr>
      </w:pPr>
    </w:p>
    <w:p w14:paraId="0ABCFF07">
      <w:pPr>
        <w:spacing w:line="560" w:lineRule="exact"/>
        <w:jc w:val="left"/>
        <w:rPr>
          <w:b/>
          <w:bCs/>
          <w:sz w:val="24"/>
          <w:highlight w:val="none"/>
        </w:rPr>
      </w:pPr>
    </w:p>
    <w:p w14:paraId="3FBCCCB8">
      <w:pPr>
        <w:pStyle w:val="2"/>
        <w:rPr>
          <w:b/>
          <w:bCs/>
          <w:sz w:val="24"/>
          <w:highlight w:val="none"/>
        </w:rPr>
      </w:pPr>
    </w:p>
    <w:p w14:paraId="2045D670">
      <w:pPr>
        <w:pStyle w:val="2"/>
        <w:rPr>
          <w:b/>
          <w:bCs/>
          <w:sz w:val="24"/>
          <w:highlight w:val="none"/>
        </w:rPr>
      </w:pPr>
    </w:p>
    <w:p w14:paraId="5A3E8908">
      <w:pPr>
        <w:pStyle w:val="2"/>
        <w:rPr>
          <w:b/>
          <w:bCs/>
          <w:sz w:val="24"/>
          <w:highlight w:val="none"/>
        </w:rPr>
      </w:pPr>
    </w:p>
    <w:p w14:paraId="683D3BFB">
      <w:pPr>
        <w:pStyle w:val="2"/>
        <w:rPr>
          <w:b/>
          <w:bCs/>
          <w:sz w:val="24"/>
          <w:highlight w:val="none"/>
        </w:rPr>
      </w:pPr>
    </w:p>
    <w:p w14:paraId="5CC77011">
      <w:pPr>
        <w:pStyle w:val="2"/>
        <w:rPr>
          <w:b/>
          <w:bCs/>
          <w:sz w:val="24"/>
          <w:highlight w:val="none"/>
        </w:rPr>
      </w:pPr>
    </w:p>
    <w:p w14:paraId="13FA7C5B">
      <w:pPr>
        <w:numPr>
          <w:ilvl w:val="0"/>
          <w:numId w:val="1"/>
        </w:numPr>
        <w:spacing w:line="560" w:lineRule="exact"/>
        <w:ind w:firstLine="560"/>
        <w:jc w:val="left"/>
        <w:rPr>
          <w:b/>
          <w:bCs/>
          <w:sz w:val="24"/>
          <w:highlight w:val="none"/>
        </w:rPr>
      </w:pPr>
      <w:r>
        <w:rPr>
          <w:rFonts w:hint="eastAsia"/>
          <w:b/>
          <w:bCs/>
          <w:sz w:val="24"/>
          <w:highlight w:val="none"/>
        </w:rPr>
        <w:t>详细评审</w:t>
      </w:r>
    </w:p>
    <w:p w14:paraId="33B75409">
      <w:pPr>
        <w:spacing w:line="560" w:lineRule="exact"/>
        <w:ind w:left="480"/>
        <w:jc w:val="left"/>
        <w:rPr>
          <w:sz w:val="24"/>
          <w:highlight w:val="none"/>
        </w:rPr>
      </w:pPr>
      <w:r>
        <w:rPr>
          <w:rFonts w:hint="eastAsia"/>
          <w:sz w:val="24"/>
          <w:highlight w:val="none"/>
        </w:rPr>
        <w:t>报价得分计算</w:t>
      </w:r>
    </w:p>
    <w:tbl>
      <w:tblPr>
        <w:tblStyle w:val="7"/>
        <w:tblW w:w="102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1157"/>
        <w:gridCol w:w="2935"/>
        <w:gridCol w:w="1217"/>
        <w:gridCol w:w="1388"/>
        <w:gridCol w:w="1364"/>
        <w:gridCol w:w="1364"/>
      </w:tblGrid>
      <w:tr w14:paraId="7466E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trPr>
        <w:tc>
          <w:tcPr>
            <w:tcW w:w="852" w:type="dxa"/>
            <w:vAlign w:val="center"/>
          </w:tcPr>
          <w:p w14:paraId="2BB50573">
            <w:pPr>
              <w:spacing w:line="560" w:lineRule="exact"/>
              <w:jc w:val="center"/>
              <w:rPr>
                <w:rFonts w:ascii="宋体" w:hAnsi="宋体" w:eastAsia="宋体" w:cs="宋体"/>
                <w:sz w:val="24"/>
                <w:highlight w:val="none"/>
              </w:rPr>
            </w:pPr>
            <w:r>
              <w:rPr>
                <w:rFonts w:hint="eastAsia" w:ascii="宋体" w:hAnsi="宋体" w:eastAsia="宋体" w:cs="宋体"/>
                <w:sz w:val="24"/>
                <w:highlight w:val="none"/>
              </w:rPr>
              <w:t>序号</w:t>
            </w:r>
          </w:p>
        </w:tc>
        <w:tc>
          <w:tcPr>
            <w:tcW w:w="1157" w:type="dxa"/>
            <w:vAlign w:val="center"/>
          </w:tcPr>
          <w:p w14:paraId="7EE3083E">
            <w:pPr>
              <w:spacing w:line="560" w:lineRule="exact"/>
              <w:jc w:val="center"/>
              <w:rPr>
                <w:rFonts w:ascii="宋体" w:hAnsi="宋体" w:eastAsia="宋体" w:cs="宋体"/>
                <w:sz w:val="24"/>
                <w:highlight w:val="none"/>
              </w:rPr>
            </w:pPr>
            <w:r>
              <w:rPr>
                <w:rFonts w:hint="eastAsia" w:ascii="宋体" w:hAnsi="宋体" w:eastAsia="宋体" w:cs="宋体"/>
                <w:sz w:val="24"/>
                <w:highlight w:val="none"/>
              </w:rPr>
              <w:t>报价单位</w:t>
            </w:r>
          </w:p>
        </w:tc>
        <w:tc>
          <w:tcPr>
            <w:tcW w:w="2935" w:type="dxa"/>
            <w:vAlign w:val="center"/>
          </w:tcPr>
          <w:p w14:paraId="77F335FE">
            <w:pPr>
              <w:spacing w:line="560" w:lineRule="exact"/>
              <w:jc w:val="center"/>
              <w:rPr>
                <w:rFonts w:ascii="宋体" w:hAnsi="宋体" w:eastAsia="宋体" w:cs="宋体"/>
                <w:sz w:val="24"/>
                <w:highlight w:val="none"/>
              </w:rPr>
            </w:pPr>
            <w:r>
              <w:rPr>
                <w:rFonts w:hint="eastAsia" w:ascii="宋体" w:hAnsi="宋体" w:eastAsia="宋体" w:cs="宋体"/>
                <w:sz w:val="24"/>
                <w:highlight w:val="none"/>
              </w:rPr>
              <w:t>公路标志牌面品目</w:t>
            </w:r>
          </w:p>
        </w:tc>
        <w:tc>
          <w:tcPr>
            <w:tcW w:w="1217" w:type="dxa"/>
            <w:vAlign w:val="center"/>
          </w:tcPr>
          <w:p w14:paraId="5C400287">
            <w:pPr>
              <w:spacing w:line="560" w:lineRule="exact"/>
              <w:jc w:val="center"/>
              <w:rPr>
                <w:rFonts w:ascii="宋体" w:hAnsi="宋体" w:eastAsia="宋体" w:cs="宋体"/>
                <w:sz w:val="24"/>
                <w:highlight w:val="none"/>
              </w:rPr>
            </w:pPr>
            <w:r>
              <w:rPr>
                <w:rFonts w:hint="eastAsia" w:ascii="宋体" w:hAnsi="宋体" w:eastAsia="宋体" w:cs="宋体"/>
                <w:sz w:val="24"/>
                <w:highlight w:val="none"/>
              </w:rPr>
              <w:t>报价</w:t>
            </w:r>
          </w:p>
          <w:p w14:paraId="57093224">
            <w:pPr>
              <w:spacing w:line="560" w:lineRule="exact"/>
              <w:jc w:val="center"/>
              <w:rPr>
                <w:rFonts w:ascii="宋体" w:hAnsi="宋体" w:eastAsia="宋体" w:cs="宋体"/>
                <w:sz w:val="24"/>
                <w:highlight w:val="none"/>
              </w:rPr>
            </w:pPr>
            <w:r>
              <w:rPr>
                <w:rFonts w:hint="eastAsia" w:ascii="宋体" w:hAnsi="宋体" w:eastAsia="宋体" w:cs="宋体"/>
                <w:sz w:val="24"/>
                <w:highlight w:val="none"/>
              </w:rPr>
              <w:t>（元/块）</w:t>
            </w:r>
          </w:p>
        </w:tc>
        <w:tc>
          <w:tcPr>
            <w:tcW w:w="1388" w:type="dxa"/>
            <w:vAlign w:val="center"/>
          </w:tcPr>
          <w:p w14:paraId="17448FB6">
            <w:pPr>
              <w:spacing w:line="560" w:lineRule="exact"/>
              <w:jc w:val="center"/>
              <w:rPr>
                <w:rFonts w:ascii="宋体" w:hAnsi="宋体" w:eastAsia="宋体" w:cs="宋体"/>
                <w:sz w:val="24"/>
                <w:highlight w:val="none"/>
              </w:rPr>
            </w:pPr>
            <w:r>
              <w:rPr>
                <w:rFonts w:hint="eastAsia" w:ascii="宋体" w:hAnsi="宋体" w:eastAsia="宋体" w:cs="宋体"/>
                <w:sz w:val="24"/>
                <w:highlight w:val="none"/>
              </w:rPr>
              <w:t>平均报价</w:t>
            </w:r>
          </w:p>
        </w:tc>
        <w:tc>
          <w:tcPr>
            <w:tcW w:w="1364" w:type="dxa"/>
            <w:vAlign w:val="center"/>
          </w:tcPr>
          <w:p w14:paraId="49887675">
            <w:pPr>
              <w:spacing w:line="560" w:lineRule="exact"/>
              <w:jc w:val="center"/>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报价得分</w:t>
            </w:r>
          </w:p>
        </w:tc>
        <w:tc>
          <w:tcPr>
            <w:tcW w:w="1364" w:type="dxa"/>
            <w:vAlign w:val="center"/>
          </w:tcPr>
          <w:p w14:paraId="612034A5">
            <w:pPr>
              <w:spacing w:line="560" w:lineRule="exact"/>
              <w:jc w:val="center"/>
              <w:rPr>
                <w:rFonts w:ascii="宋体" w:hAnsi="宋体" w:eastAsia="宋体" w:cs="宋体"/>
                <w:sz w:val="24"/>
                <w:highlight w:val="none"/>
              </w:rPr>
            </w:pPr>
            <w:r>
              <w:rPr>
                <w:rFonts w:hint="eastAsia" w:ascii="宋体" w:hAnsi="宋体" w:eastAsia="宋体" w:cs="宋体"/>
                <w:sz w:val="24"/>
                <w:highlight w:val="none"/>
              </w:rPr>
              <w:t>备  注</w:t>
            </w:r>
          </w:p>
        </w:tc>
      </w:tr>
      <w:tr w14:paraId="78C49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exact"/>
        </w:trPr>
        <w:tc>
          <w:tcPr>
            <w:tcW w:w="852" w:type="dxa"/>
            <w:vMerge w:val="restart"/>
            <w:vAlign w:val="center"/>
          </w:tcPr>
          <w:p w14:paraId="37B757E5">
            <w:pPr>
              <w:spacing w:line="560" w:lineRule="exact"/>
              <w:jc w:val="center"/>
              <w:rPr>
                <w:rFonts w:ascii="宋体" w:hAnsi="宋体" w:eastAsia="宋体" w:cs="宋体"/>
                <w:szCs w:val="21"/>
                <w:highlight w:val="none"/>
              </w:rPr>
            </w:pPr>
            <w:r>
              <w:rPr>
                <w:rFonts w:hint="eastAsia" w:ascii="宋体" w:hAnsi="宋体" w:eastAsia="宋体" w:cs="宋体"/>
                <w:sz w:val="24"/>
                <w:highlight w:val="none"/>
              </w:rPr>
              <w:t>1</w:t>
            </w:r>
          </w:p>
        </w:tc>
        <w:tc>
          <w:tcPr>
            <w:tcW w:w="1157" w:type="dxa"/>
            <w:vMerge w:val="restart"/>
            <w:vAlign w:val="center"/>
          </w:tcPr>
          <w:p w14:paraId="6A73672F">
            <w:pPr>
              <w:spacing w:line="560" w:lineRule="exact"/>
              <w:jc w:val="center"/>
              <w:rPr>
                <w:rFonts w:ascii="宋体" w:hAnsi="宋体" w:eastAsia="宋体" w:cs="宋体"/>
                <w:sz w:val="24"/>
                <w:highlight w:val="none"/>
              </w:rPr>
            </w:pPr>
          </w:p>
        </w:tc>
        <w:tc>
          <w:tcPr>
            <w:tcW w:w="2935" w:type="dxa"/>
            <w:vAlign w:val="center"/>
          </w:tcPr>
          <w:p w14:paraId="7D6EB2FD">
            <w:pPr>
              <w:spacing w:line="560" w:lineRule="exact"/>
              <w:jc w:val="center"/>
              <w:rPr>
                <w:rFonts w:ascii="宋体" w:hAnsi="宋体" w:eastAsia="宋体" w:cs="宋体"/>
                <w:sz w:val="24"/>
                <w:highlight w:val="none"/>
              </w:rPr>
            </w:pPr>
            <w:r>
              <w:rPr>
                <w:rFonts w:hint="eastAsia" w:ascii="宋体" w:hAnsi="宋体" w:eastAsia="宋体" w:cs="宋体"/>
                <w:szCs w:val="21"/>
                <w:highlight w:val="none"/>
              </w:rPr>
              <w:t>○80</w:t>
            </w:r>
            <w:r>
              <w:rPr>
                <w:rFonts w:hint="eastAsia" w:ascii="宋体" w:hAnsi="宋体" w:eastAsia="宋体" w:cs="宋体"/>
                <w:szCs w:val="21"/>
                <w:highlight w:val="none"/>
                <w:lang w:val="en-US" w:eastAsia="zh-CN"/>
              </w:rPr>
              <w:t>cm</w:t>
            </w:r>
          </w:p>
        </w:tc>
        <w:tc>
          <w:tcPr>
            <w:tcW w:w="1217" w:type="dxa"/>
            <w:vAlign w:val="center"/>
          </w:tcPr>
          <w:p w14:paraId="6A9DA61D">
            <w:pPr>
              <w:spacing w:line="560" w:lineRule="exact"/>
              <w:jc w:val="center"/>
              <w:rPr>
                <w:rFonts w:ascii="宋体" w:hAnsi="宋体" w:eastAsia="宋体" w:cs="宋体"/>
                <w:sz w:val="24"/>
                <w:highlight w:val="none"/>
              </w:rPr>
            </w:pPr>
          </w:p>
        </w:tc>
        <w:tc>
          <w:tcPr>
            <w:tcW w:w="1388" w:type="dxa"/>
            <w:vMerge w:val="restart"/>
            <w:vAlign w:val="center"/>
          </w:tcPr>
          <w:p w14:paraId="4BA08EE9">
            <w:pPr>
              <w:spacing w:line="560" w:lineRule="exact"/>
              <w:jc w:val="center"/>
              <w:rPr>
                <w:rFonts w:ascii="宋体" w:hAnsi="宋体" w:eastAsia="宋体" w:cs="宋体"/>
                <w:sz w:val="24"/>
                <w:highlight w:val="none"/>
              </w:rPr>
            </w:pPr>
          </w:p>
        </w:tc>
        <w:tc>
          <w:tcPr>
            <w:tcW w:w="1364" w:type="dxa"/>
            <w:vMerge w:val="restart"/>
            <w:vAlign w:val="center"/>
          </w:tcPr>
          <w:p w14:paraId="073D111E">
            <w:pPr>
              <w:spacing w:line="560" w:lineRule="exact"/>
              <w:jc w:val="center"/>
              <w:rPr>
                <w:rFonts w:ascii="宋体" w:hAnsi="宋体" w:eastAsia="宋体" w:cs="宋体"/>
                <w:sz w:val="24"/>
                <w:highlight w:val="none"/>
              </w:rPr>
            </w:pPr>
          </w:p>
        </w:tc>
        <w:tc>
          <w:tcPr>
            <w:tcW w:w="1364" w:type="dxa"/>
            <w:vMerge w:val="restart"/>
            <w:vAlign w:val="center"/>
          </w:tcPr>
          <w:p w14:paraId="26F986A7">
            <w:pPr>
              <w:spacing w:line="400" w:lineRule="exact"/>
              <w:jc w:val="left"/>
              <w:rPr>
                <w:rFonts w:ascii="宋体" w:hAnsi="宋体" w:eastAsia="宋体" w:cs="宋体"/>
                <w:sz w:val="24"/>
                <w:highlight w:val="none"/>
              </w:rPr>
            </w:pPr>
            <w:r>
              <w:rPr>
                <w:rFonts w:hint="eastAsia" w:ascii="宋体" w:hAnsi="宋体" w:eastAsia="宋体" w:cs="宋体"/>
                <w:sz w:val="24"/>
                <w:highlight w:val="none"/>
              </w:rPr>
              <w:t>备注：铝板厚3mm，含铝槽、抱箍</w:t>
            </w:r>
            <w:r>
              <w:rPr>
                <w:rFonts w:hint="eastAsia" w:ascii="宋体" w:hAnsi="宋体" w:eastAsia="宋体" w:cs="宋体"/>
                <w:sz w:val="24"/>
                <w:highlight w:val="none"/>
                <w:lang w:eastAsia="zh-CN"/>
              </w:rPr>
              <w:t>螺丝</w:t>
            </w:r>
            <w:r>
              <w:rPr>
                <w:rFonts w:hint="eastAsia" w:ascii="宋体" w:hAnsi="宋体" w:eastAsia="宋体" w:cs="宋体"/>
                <w:sz w:val="24"/>
                <w:highlight w:val="none"/>
              </w:rPr>
              <w:t>，Ⅳ类反光膜</w:t>
            </w:r>
          </w:p>
        </w:tc>
      </w:tr>
      <w:tr w14:paraId="172B3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exact"/>
        </w:trPr>
        <w:tc>
          <w:tcPr>
            <w:tcW w:w="852" w:type="dxa"/>
            <w:vMerge w:val="continue"/>
            <w:vAlign w:val="center"/>
          </w:tcPr>
          <w:p w14:paraId="17D67A2A">
            <w:pPr>
              <w:spacing w:line="560" w:lineRule="exact"/>
              <w:jc w:val="center"/>
              <w:rPr>
                <w:rFonts w:ascii="宋体" w:hAnsi="宋体" w:eastAsia="宋体" w:cs="宋体"/>
                <w:szCs w:val="21"/>
                <w:highlight w:val="none"/>
              </w:rPr>
            </w:pPr>
          </w:p>
        </w:tc>
        <w:tc>
          <w:tcPr>
            <w:tcW w:w="1157" w:type="dxa"/>
            <w:vMerge w:val="continue"/>
            <w:vAlign w:val="center"/>
          </w:tcPr>
          <w:p w14:paraId="4CEE9639">
            <w:pPr>
              <w:spacing w:line="560" w:lineRule="exact"/>
              <w:jc w:val="center"/>
              <w:rPr>
                <w:rFonts w:ascii="宋体" w:hAnsi="宋体" w:eastAsia="宋体" w:cs="宋体"/>
                <w:szCs w:val="21"/>
                <w:highlight w:val="none"/>
              </w:rPr>
            </w:pPr>
          </w:p>
        </w:tc>
        <w:tc>
          <w:tcPr>
            <w:tcW w:w="2935" w:type="dxa"/>
            <w:vAlign w:val="center"/>
          </w:tcPr>
          <w:p w14:paraId="7E964DFF">
            <w:pPr>
              <w:spacing w:line="560" w:lineRule="exact"/>
              <w:jc w:val="center"/>
              <w:rPr>
                <w:rFonts w:ascii="宋体" w:hAnsi="宋体" w:eastAsia="宋体" w:cs="宋体"/>
                <w:szCs w:val="21"/>
                <w:highlight w:val="none"/>
              </w:rPr>
            </w:pPr>
            <w:r>
              <w:rPr>
                <w:rFonts w:hint="eastAsia" w:ascii="宋体" w:hAnsi="宋体" w:eastAsia="宋体" w:cs="宋体"/>
                <w:szCs w:val="21"/>
                <w:highlight w:val="none"/>
              </w:rPr>
              <w:t>○100</w:t>
            </w:r>
            <w:r>
              <w:rPr>
                <w:rFonts w:hint="eastAsia" w:ascii="宋体" w:hAnsi="宋体" w:eastAsia="宋体" w:cs="宋体"/>
                <w:szCs w:val="21"/>
                <w:highlight w:val="none"/>
                <w:lang w:val="en-US" w:eastAsia="zh-CN"/>
              </w:rPr>
              <w:t>cm</w:t>
            </w:r>
          </w:p>
        </w:tc>
        <w:tc>
          <w:tcPr>
            <w:tcW w:w="1217" w:type="dxa"/>
            <w:vAlign w:val="center"/>
          </w:tcPr>
          <w:p w14:paraId="51D85DB2">
            <w:pPr>
              <w:spacing w:line="560" w:lineRule="exact"/>
              <w:jc w:val="center"/>
              <w:rPr>
                <w:rFonts w:ascii="宋体" w:hAnsi="宋体" w:eastAsia="宋体" w:cs="宋体"/>
                <w:szCs w:val="21"/>
                <w:highlight w:val="none"/>
              </w:rPr>
            </w:pPr>
          </w:p>
        </w:tc>
        <w:tc>
          <w:tcPr>
            <w:tcW w:w="1388" w:type="dxa"/>
            <w:vMerge w:val="continue"/>
            <w:vAlign w:val="center"/>
          </w:tcPr>
          <w:p w14:paraId="5522D5C5">
            <w:pPr>
              <w:spacing w:line="560" w:lineRule="exact"/>
              <w:jc w:val="center"/>
              <w:rPr>
                <w:rFonts w:ascii="宋体" w:hAnsi="宋体" w:eastAsia="宋体" w:cs="宋体"/>
                <w:szCs w:val="21"/>
                <w:highlight w:val="none"/>
              </w:rPr>
            </w:pPr>
          </w:p>
        </w:tc>
        <w:tc>
          <w:tcPr>
            <w:tcW w:w="1364" w:type="dxa"/>
            <w:vMerge w:val="continue"/>
            <w:vAlign w:val="center"/>
          </w:tcPr>
          <w:p w14:paraId="1CAA5B6E">
            <w:pPr>
              <w:spacing w:line="560" w:lineRule="exact"/>
              <w:jc w:val="center"/>
              <w:rPr>
                <w:rFonts w:ascii="宋体" w:hAnsi="宋体" w:eastAsia="宋体" w:cs="宋体"/>
                <w:szCs w:val="21"/>
                <w:highlight w:val="none"/>
              </w:rPr>
            </w:pPr>
          </w:p>
        </w:tc>
        <w:tc>
          <w:tcPr>
            <w:tcW w:w="1364" w:type="dxa"/>
            <w:vMerge w:val="continue"/>
            <w:vAlign w:val="center"/>
          </w:tcPr>
          <w:p w14:paraId="13F5B330">
            <w:pPr>
              <w:spacing w:line="560" w:lineRule="exact"/>
              <w:jc w:val="center"/>
              <w:rPr>
                <w:rFonts w:ascii="宋体" w:hAnsi="宋体" w:eastAsia="宋体" w:cs="宋体"/>
                <w:szCs w:val="21"/>
                <w:highlight w:val="none"/>
              </w:rPr>
            </w:pPr>
          </w:p>
        </w:tc>
      </w:tr>
      <w:tr w14:paraId="2FFA9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exact"/>
        </w:trPr>
        <w:tc>
          <w:tcPr>
            <w:tcW w:w="852" w:type="dxa"/>
            <w:vMerge w:val="continue"/>
            <w:vAlign w:val="center"/>
          </w:tcPr>
          <w:p w14:paraId="3FF0325C">
            <w:pPr>
              <w:spacing w:line="560" w:lineRule="exact"/>
              <w:jc w:val="center"/>
              <w:rPr>
                <w:rFonts w:ascii="宋体" w:hAnsi="宋体" w:eastAsia="宋体" w:cs="宋体"/>
                <w:szCs w:val="21"/>
                <w:highlight w:val="none"/>
              </w:rPr>
            </w:pPr>
          </w:p>
        </w:tc>
        <w:tc>
          <w:tcPr>
            <w:tcW w:w="1157" w:type="dxa"/>
            <w:vMerge w:val="continue"/>
            <w:vAlign w:val="center"/>
          </w:tcPr>
          <w:p w14:paraId="02B1468B">
            <w:pPr>
              <w:spacing w:line="560" w:lineRule="exact"/>
              <w:jc w:val="center"/>
              <w:rPr>
                <w:rFonts w:ascii="宋体" w:hAnsi="宋体" w:eastAsia="宋体" w:cs="宋体"/>
                <w:szCs w:val="21"/>
                <w:highlight w:val="none"/>
              </w:rPr>
            </w:pPr>
          </w:p>
        </w:tc>
        <w:tc>
          <w:tcPr>
            <w:tcW w:w="2935" w:type="dxa"/>
            <w:vAlign w:val="center"/>
          </w:tcPr>
          <w:p w14:paraId="2B2C410A">
            <w:pPr>
              <w:spacing w:line="560" w:lineRule="exact"/>
              <w:jc w:val="center"/>
              <w:rPr>
                <w:rFonts w:ascii="宋体" w:hAnsi="宋体" w:eastAsia="宋体" w:cs="宋体"/>
                <w:szCs w:val="21"/>
                <w:highlight w:val="none"/>
              </w:rPr>
            </w:pPr>
            <w:r>
              <w:rPr>
                <w:rFonts w:hint="eastAsia" w:ascii="宋体" w:hAnsi="宋体" w:cs="宋体"/>
                <w:szCs w:val="21"/>
                <w:highlight w:val="none"/>
              </w:rPr>
              <w:t>△90</w:t>
            </w:r>
            <w:r>
              <w:rPr>
                <w:rFonts w:hint="eastAsia" w:ascii="宋体" w:hAnsi="宋体" w:cs="宋体"/>
                <w:szCs w:val="21"/>
                <w:highlight w:val="none"/>
                <w:lang w:val="en-US" w:eastAsia="zh-CN"/>
              </w:rPr>
              <w:t>cm</w:t>
            </w:r>
          </w:p>
        </w:tc>
        <w:tc>
          <w:tcPr>
            <w:tcW w:w="1217" w:type="dxa"/>
            <w:vAlign w:val="center"/>
          </w:tcPr>
          <w:p w14:paraId="2DC42D1E">
            <w:pPr>
              <w:spacing w:line="560" w:lineRule="exact"/>
              <w:jc w:val="center"/>
              <w:rPr>
                <w:rFonts w:ascii="宋体" w:hAnsi="宋体" w:eastAsia="宋体" w:cs="宋体"/>
                <w:szCs w:val="21"/>
                <w:highlight w:val="none"/>
              </w:rPr>
            </w:pPr>
          </w:p>
        </w:tc>
        <w:tc>
          <w:tcPr>
            <w:tcW w:w="1388" w:type="dxa"/>
            <w:vMerge w:val="continue"/>
            <w:vAlign w:val="center"/>
          </w:tcPr>
          <w:p w14:paraId="17A04DA2">
            <w:pPr>
              <w:spacing w:line="560" w:lineRule="exact"/>
              <w:jc w:val="center"/>
              <w:rPr>
                <w:rFonts w:ascii="宋体" w:hAnsi="宋体" w:eastAsia="宋体" w:cs="宋体"/>
                <w:szCs w:val="21"/>
                <w:highlight w:val="none"/>
              </w:rPr>
            </w:pPr>
          </w:p>
        </w:tc>
        <w:tc>
          <w:tcPr>
            <w:tcW w:w="1364" w:type="dxa"/>
            <w:vMerge w:val="continue"/>
            <w:vAlign w:val="center"/>
          </w:tcPr>
          <w:p w14:paraId="565EFF21">
            <w:pPr>
              <w:spacing w:line="560" w:lineRule="exact"/>
              <w:jc w:val="center"/>
              <w:rPr>
                <w:rFonts w:ascii="宋体" w:hAnsi="宋体" w:eastAsia="宋体" w:cs="宋体"/>
                <w:szCs w:val="21"/>
                <w:highlight w:val="none"/>
              </w:rPr>
            </w:pPr>
          </w:p>
        </w:tc>
        <w:tc>
          <w:tcPr>
            <w:tcW w:w="1364" w:type="dxa"/>
            <w:vMerge w:val="continue"/>
            <w:vAlign w:val="center"/>
          </w:tcPr>
          <w:p w14:paraId="39C5E8C1">
            <w:pPr>
              <w:spacing w:line="560" w:lineRule="exact"/>
              <w:jc w:val="center"/>
              <w:rPr>
                <w:rFonts w:ascii="宋体" w:hAnsi="宋体" w:eastAsia="宋体" w:cs="宋体"/>
                <w:szCs w:val="21"/>
                <w:highlight w:val="none"/>
              </w:rPr>
            </w:pPr>
          </w:p>
        </w:tc>
      </w:tr>
      <w:tr w14:paraId="102E8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exact"/>
        </w:trPr>
        <w:tc>
          <w:tcPr>
            <w:tcW w:w="852" w:type="dxa"/>
            <w:vMerge w:val="continue"/>
            <w:vAlign w:val="center"/>
          </w:tcPr>
          <w:p w14:paraId="6D079392">
            <w:pPr>
              <w:spacing w:line="560" w:lineRule="exact"/>
              <w:jc w:val="center"/>
              <w:rPr>
                <w:rFonts w:ascii="宋体" w:hAnsi="宋体" w:eastAsia="宋体" w:cs="宋体"/>
                <w:szCs w:val="21"/>
                <w:highlight w:val="none"/>
              </w:rPr>
            </w:pPr>
          </w:p>
        </w:tc>
        <w:tc>
          <w:tcPr>
            <w:tcW w:w="1157" w:type="dxa"/>
            <w:vMerge w:val="continue"/>
            <w:vAlign w:val="center"/>
          </w:tcPr>
          <w:p w14:paraId="4E478B63">
            <w:pPr>
              <w:spacing w:line="560" w:lineRule="exact"/>
              <w:jc w:val="center"/>
              <w:rPr>
                <w:rFonts w:ascii="宋体" w:hAnsi="宋体" w:eastAsia="宋体" w:cs="宋体"/>
                <w:szCs w:val="21"/>
                <w:highlight w:val="none"/>
              </w:rPr>
            </w:pPr>
          </w:p>
        </w:tc>
        <w:tc>
          <w:tcPr>
            <w:tcW w:w="2935" w:type="dxa"/>
            <w:vAlign w:val="center"/>
          </w:tcPr>
          <w:p w14:paraId="3EC05BC4">
            <w:pPr>
              <w:spacing w:line="560" w:lineRule="exact"/>
              <w:jc w:val="center"/>
              <w:rPr>
                <w:rFonts w:ascii="宋体" w:hAnsi="宋体" w:eastAsia="宋体" w:cs="宋体"/>
                <w:szCs w:val="21"/>
                <w:highlight w:val="none"/>
              </w:rPr>
            </w:pPr>
            <w:r>
              <w:rPr>
                <w:rFonts w:hint="eastAsia" w:ascii="宋体" w:hAnsi="宋体" w:cs="宋体"/>
                <w:szCs w:val="21"/>
                <w:highlight w:val="none"/>
              </w:rPr>
              <w:t>△110</w:t>
            </w:r>
            <w:r>
              <w:rPr>
                <w:rFonts w:hint="eastAsia" w:ascii="宋体" w:hAnsi="宋体" w:cs="宋体"/>
                <w:szCs w:val="21"/>
                <w:highlight w:val="none"/>
                <w:lang w:val="en-US" w:eastAsia="zh-CN"/>
              </w:rPr>
              <w:t>cm</w:t>
            </w:r>
          </w:p>
        </w:tc>
        <w:tc>
          <w:tcPr>
            <w:tcW w:w="1217" w:type="dxa"/>
            <w:vAlign w:val="center"/>
          </w:tcPr>
          <w:p w14:paraId="387376A5">
            <w:pPr>
              <w:spacing w:line="560" w:lineRule="exact"/>
              <w:jc w:val="center"/>
              <w:rPr>
                <w:rFonts w:ascii="宋体" w:hAnsi="宋体" w:eastAsia="宋体" w:cs="宋体"/>
                <w:szCs w:val="21"/>
                <w:highlight w:val="none"/>
              </w:rPr>
            </w:pPr>
          </w:p>
        </w:tc>
        <w:tc>
          <w:tcPr>
            <w:tcW w:w="1388" w:type="dxa"/>
            <w:vMerge w:val="continue"/>
            <w:vAlign w:val="center"/>
          </w:tcPr>
          <w:p w14:paraId="62F9F0C3">
            <w:pPr>
              <w:spacing w:line="560" w:lineRule="exact"/>
              <w:jc w:val="center"/>
              <w:rPr>
                <w:rFonts w:ascii="宋体" w:hAnsi="宋体" w:eastAsia="宋体" w:cs="宋体"/>
                <w:szCs w:val="21"/>
                <w:highlight w:val="none"/>
              </w:rPr>
            </w:pPr>
          </w:p>
        </w:tc>
        <w:tc>
          <w:tcPr>
            <w:tcW w:w="1364" w:type="dxa"/>
            <w:vMerge w:val="continue"/>
            <w:vAlign w:val="center"/>
          </w:tcPr>
          <w:p w14:paraId="4F59317B">
            <w:pPr>
              <w:spacing w:line="560" w:lineRule="exact"/>
              <w:jc w:val="center"/>
              <w:rPr>
                <w:rFonts w:ascii="宋体" w:hAnsi="宋体" w:eastAsia="宋体" w:cs="宋体"/>
                <w:szCs w:val="21"/>
                <w:highlight w:val="none"/>
              </w:rPr>
            </w:pPr>
          </w:p>
        </w:tc>
        <w:tc>
          <w:tcPr>
            <w:tcW w:w="1364" w:type="dxa"/>
            <w:vMerge w:val="continue"/>
            <w:vAlign w:val="center"/>
          </w:tcPr>
          <w:p w14:paraId="4C1CBDE6">
            <w:pPr>
              <w:spacing w:line="560" w:lineRule="exact"/>
              <w:jc w:val="center"/>
              <w:rPr>
                <w:rFonts w:ascii="宋体" w:hAnsi="宋体" w:eastAsia="宋体" w:cs="宋体"/>
                <w:szCs w:val="21"/>
                <w:highlight w:val="none"/>
              </w:rPr>
            </w:pPr>
          </w:p>
        </w:tc>
      </w:tr>
      <w:tr w14:paraId="24886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exact"/>
        </w:trPr>
        <w:tc>
          <w:tcPr>
            <w:tcW w:w="852" w:type="dxa"/>
            <w:vMerge w:val="continue"/>
            <w:vAlign w:val="center"/>
          </w:tcPr>
          <w:p w14:paraId="7825CE8F">
            <w:pPr>
              <w:spacing w:line="560" w:lineRule="exact"/>
              <w:jc w:val="center"/>
              <w:rPr>
                <w:rFonts w:ascii="宋体" w:hAnsi="宋体" w:eastAsia="宋体" w:cs="宋体"/>
                <w:szCs w:val="21"/>
                <w:highlight w:val="none"/>
              </w:rPr>
            </w:pPr>
          </w:p>
        </w:tc>
        <w:tc>
          <w:tcPr>
            <w:tcW w:w="1157" w:type="dxa"/>
            <w:vMerge w:val="continue"/>
            <w:vAlign w:val="center"/>
          </w:tcPr>
          <w:p w14:paraId="0C75D4C7">
            <w:pPr>
              <w:spacing w:line="560" w:lineRule="exact"/>
              <w:jc w:val="center"/>
              <w:rPr>
                <w:rFonts w:ascii="宋体" w:hAnsi="宋体" w:eastAsia="宋体" w:cs="宋体"/>
                <w:szCs w:val="21"/>
                <w:highlight w:val="none"/>
              </w:rPr>
            </w:pPr>
          </w:p>
        </w:tc>
        <w:tc>
          <w:tcPr>
            <w:tcW w:w="2935" w:type="dxa"/>
            <w:vAlign w:val="center"/>
          </w:tcPr>
          <w:p w14:paraId="79143819">
            <w:pPr>
              <w:spacing w:line="560" w:lineRule="exact"/>
              <w:jc w:val="center"/>
              <w:rPr>
                <w:rFonts w:ascii="宋体" w:hAnsi="宋体" w:eastAsia="宋体" w:cs="宋体"/>
                <w:szCs w:val="21"/>
                <w:highlight w:val="none"/>
              </w:rPr>
            </w:pPr>
            <w:r>
              <w:rPr>
                <w:rFonts w:hint="eastAsia" w:ascii="宋体" w:hAnsi="宋体" w:cs="宋体"/>
                <w:szCs w:val="21"/>
                <w:highlight w:val="none"/>
              </w:rPr>
              <w:t>□100</w:t>
            </w:r>
            <w:r>
              <w:rPr>
                <w:rFonts w:hint="eastAsia" w:ascii="宋体" w:hAnsi="宋体" w:cs="宋体"/>
                <w:szCs w:val="21"/>
                <w:highlight w:val="none"/>
                <w:lang w:val="en-US" w:eastAsia="zh-CN"/>
              </w:rPr>
              <w:t>cm</w:t>
            </w:r>
          </w:p>
        </w:tc>
        <w:tc>
          <w:tcPr>
            <w:tcW w:w="1217" w:type="dxa"/>
            <w:vAlign w:val="center"/>
          </w:tcPr>
          <w:p w14:paraId="7F1809AE">
            <w:pPr>
              <w:spacing w:line="560" w:lineRule="exact"/>
              <w:jc w:val="center"/>
              <w:rPr>
                <w:rFonts w:ascii="宋体" w:hAnsi="宋体" w:eastAsia="宋体" w:cs="宋体"/>
                <w:szCs w:val="21"/>
                <w:highlight w:val="none"/>
              </w:rPr>
            </w:pPr>
          </w:p>
        </w:tc>
        <w:tc>
          <w:tcPr>
            <w:tcW w:w="1388" w:type="dxa"/>
            <w:vMerge w:val="continue"/>
            <w:vAlign w:val="center"/>
          </w:tcPr>
          <w:p w14:paraId="2A592301">
            <w:pPr>
              <w:spacing w:line="560" w:lineRule="exact"/>
              <w:jc w:val="center"/>
              <w:rPr>
                <w:rFonts w:ascii="宋体" w:hAnsi="宋体" w:eastAsia="宋体" w:cs="宋体"/>
                <w:szCs w:val="21"/>
                <w:highlight w:val="none"/>
              </w:rPr>
            </w:pPr>
          </w:p>
        </w:tc>
        <w:tc>
          <w:tcPr>
            <w:tcW w:w="1364" w:type="dxa"/>
            <w:vMerge w:val="continue"/>
            <w:vAlign w:val="center"/>
          </w:tcPr>
          <w:p w14:paraId="0099F85E">
            <w:pPr>
              <w:spacing w:line="560" w:lineRule="exact"/>
              <w:jc w:val="center"/>
              <w:rPr>
                <w:rFonts w:ascii="宋体" w:hAnsi="宋体" w:eastAsia="宋体" w:cs="宋体"/>
                <w:szCs w:val="21"/>
                <w:highlight w:val="none"/>
              </w:rPr>
            </w:pPr>
          </w:p>
        </w:tc>
        <w:tc>
          <w:tcPr>
            <w:tcW w:w="1364" w:type="dxa"/>
            <w:vMerge w:val="continue"/>
            <w:vAlign w:val="center"/>
          </w:tcPr>
          <w:p w14:paraId="67759D32">
            <w:pPr>
              <w:spacing w:line="560" w:lineRule="exact"/>
              <w:jc w:val="center"/>
              <w:rPr>
                <w:rFonts w:ascii="宋体" w:hAnsi="宋体" w:eastAsia="宋体" w:cs="宋体"/>
                <w:szCs w:val="21"/>
                <w:highlight w:val="none"/>
              </w:rPr>
            </w:pPr>
          </w:p>
        </w:tc>
      </w:tr>
    </w:tbl>
    <w:p w14:paraId="75E946C8">
      <w:pPr>
        <w:spacing w:line="400" w:lineRule="exact"/>
        <w:jc w:val="left"/>
        <w:rPr>
          <w:rFonts w:ascii="宋体" w:hAnsi="宋体" w:eastAsia="宋体" w:cs="宋体"/>
          <w:sz w:val="24"/>
          <w:highlight w:val="none"/>
        </w:rPr>
      </w:pPr>
    </w:p>
    <w:p w14:paraId="22D00829">
      <w:pPr>
        <w:spacing w:line="560" w:lineRule="exact"/>
        <w:jc w:val="left"/>
        <w:rPr>
          <w:rFonts w:ascii="宋体" w:hAnsi="宋体" w:eastAsia="宋体" w:cs="宋体"/>
          <w:sz w:val="24"/>
          <w:highlight w:val="none"/>
        </w:rPr>
      </w:pPr>
      <w:r>
        <w:rPr>
          <w:rFonts w:hint="eastAsia" w:ascii="宋体" w:hAnsi="宋体" w:eastAsia="宋体" w:cs="宋体"/>
          <w:sz w:val="24"/>
          <w:highlight w:val="none"/>
        </w:rPr>
        <w:t>选取供应商办法：</w:t>
      </w:r>
    </w:p>
    <w:p w14:paraId="2249CAEB">
      <w:pPr>
        <w:pStyle w:val="5"/>
        <w:widowControl/>
        <w:spacing w:beforeAutospacing="0" w:afterAutospacing="0" w:line="560" w:lineRule="exact"/>
        <w:rPr>
          <w:rFonts w:ascii="宋体" w:hAnsi="宋体" w:eastAsia="宋体" w:cs="宋体"/>
          <w:sz w:val="24"/>
          <w:highlight w:val="none"/>
        </w:rPr>
      </w:pPr>
      <w:r>
        <w:rPr>
          <w:rFonts w:hint="eastAsia" w:ascii="宋体" w:hAnsi="宋体" w:eastAsia="宋体" w:cs="宋体"/>
          <w:sz w:val="24"/>
          <w:highlight w:val="none"/>
        </w:rPr>
        <w:t>1.报价得分=（平均报价最低的单位÷平均报价）*100，得分计算保留到小数点后1位。同等条件下各类标志牌面</w:t>
      </w:r>
      <w:r>
        <w:rPr>
          <w:rFonts w:hint="eastAsia" w:ascii="宋体" w:hAnsi="宋体" w:eastAsia="宋体" w:cs="宋体"/>
          <w:sz w:val="24"/>
          <w:highlight w:val="none"/>
          <w:lang w:eastAsia="zh-CN"/>
        </w:rPr>
        <w:t>报价得分</w:t>
      </w:r>
      <w:r>
        <w:rPr>
          <w:rFonts w:hint="eastAsia" w:ascii="宋体" w:hAnsi="宋体" w:eastAsia="宋体" w:cs="宋体"/>
          <w:b/>
          <w:bCs/>
          <w:sz w:val="24"/>
          <w:highlight w:val="none"/>
          <w:u w:val="single"/>
          <w:lang w:eastAsia="zh-CN"/>
        </w:rPr>
        <w:t>最高</w:t>
      </w:r>
      <w:r>
        <w:rPr>
          <w:rFonts w:hint="eastAsia" w:ascii="宋体" w:hAnsi="宋体" w:eastAsia="宋体" w:cs="宋体"/>
          <w:sz w:val="24"/>
          <w:highlight w:val="none"/>
        </w:rPr>
        <w:t>为推荐中选第一顺位</w:t>
      </w:r>
      <w:r>
        <w:rPr>
          <w:rFonts w:hint="eastAsia" w:ascii="宋体" w:hAnsi="宋体" w:eastAsia="宋体" w:cs="宋体"/>
          <w:sz w:val="24"/>
          <w:highlight w:val="none"/>
          <w:lang w:val="en-US" w:eastAsia="zh-CN"/>
        </w:rPr>
        <w:t>,</w:t>
      </w:r>
      <w:r>
        <w:rPr>
          <w:rFonts w:hint="eastAsia"/>
          <w:sz w:val="24"/>
          <w:highlight w:val="none"/>
        </w:rPr>
        <w:t>如两家以上（含两家）</w:t>
      </w:r>
      <w:r>
        <w:rPr>
          <w:rFonts w:hint="eastAsia"/>
          <w:sz w:val="24"/>
          <w:highlight w:val="none"/>
          <w:lang w:eastAsia="zh-CN"/>
        </w:rPr>
        <w:t>报价</w:t>
      </w:r>
      <w:r>
        <w:rPr>
          <w:rFonts w:hint="eastAsia" w:ascii="宋体" w:hAnsi="宋体" w:cs="宋体"/>
          <w:color w:val="auto"/>
          <w:kern w:val="0"/>
          <w:sz w:val="24"/>
          <w:szCs w:val="24"/>
          <w:highlight w:val="none"/>
          <w:lang w:eastAsia="zh-CN"/>
        </w:rPr>
        <w:t>得分</w:t>
      </w:r>
      <w:r>
        <w:rPr>
          <w:rFonts w:hint="eastAsia"/>
          <w:sz w:val="24"/>
          <w:highlight w:val="none"/>
        </w:rPr>
        <w:t>相同</w:t>
      </w:r>
      <w:r>
        <w:rPr>
          <w:rFonts w:hint="eastAsia"/>
          <w:sz w:val="24"/>
          <w:highlight w:val="none"/>
          <w:lang w:eastAsia="zh-CN"/>
        </w:rPr>
        <w:t>的</w:t>
      </w:r>
      <w:r>
        <w:rPr>
          <w:rFonts w:hint="eastAsia"/>
          <w:sz w:val="24"/>
          <w:highlight w:val="none"/>
        </w:rPr>
        <w:t>，则由评审小组商议确定</w:t>
      </w:r>
      <w:r>
        <w:rPr>
          <w:rFonts w:hint="eastAsia"/>
          <w:sz w:val="24"/>
          <w:highlight w:val="none"/>
          <w:lang w:eastAsia="zh-CN"/>
        </w:rPr>
        <w:t>投标</w:t>
      </w:r>
      <w:r>
        <w:rPr>
          <w:rFonts w:hint="eastAsia"/>
          <w:sz w:val="24"/>
          <w:highlight w:val="none"/>
        </w:rPr>
        <w:t>单位顺位</w:t>
      </w:r>
      <w:r>
        <w:rPr>
          <w:rFonts w:hint="eastAsia" w:ascii="宋体" w:hAnsi="宋体" w:eastAsia="宋体" w:cs="宋体"/>
          <w:sz w:val="24"/>
          <w:highlight w:val="none"/>
        </w:rPr>
        <w:t>。</w:t>
      </w:r>
    </w:p>
    <w:p w14:paraId="27BFF7D9">
      <w:pPr>
        <w:spacing w:line="560" w:lineRule="exact"/>
        <w:jc w:val="left"/>
        <w:rPr>
          <w:rFonts w:hint="eastAsia" w:ascii="宋体" w:hAnsi="宋体" w:eastAsia="宋体" w:cs="宋体"/>
          <w:sz w:val="24"/>
          <w:highlight w:val="none"/>
        </w:rPr>
      </w:pPr>
      <w:r>
        <w:rPr>
          <w:rFonts w:hint="eastAsia" w:ascii="宋体" w:hAnsi="宋体" w:eastAsia="宋体" w:cs="宋体"/>
          <w:sz w:val="24"/>
          <w:highlight w:val="none"/>
        </w:rPr>
        <w:t>2.平均价非结算单价，结算以相应子目报价进行。</w:t>
      </w:r>
    </w:p>
    <w:p w14:paraId="54A1C68A">
      <w:pPr>
        <w:pStyle w:val="2"/>
        <w:rPr>
          <w:rFonts w:hint="eastAsia" w:ascii="宋体" w:hAnsi="宋体" w:eastAsia="宋体" w:cs="宋体"/>
          <w:sz w:val="24"/>
          <w:highlight w:val="none"/>
        </w:rPr>
      </w:pPr>
    </w:p>
    <w:p w14:paraId="6854944B">
      <w:pPr>
        <w:pStyle w:val="2"/>
        <w:rPr>
          <w:rFonts w:hint="eastAsia" w:ascii="宋体" w:hAnsi="宋体" w:eastAsia="宋体" w:cs="宋体"/>
          <w:sz w:val="24"/>
          <w:highlight w:val="none"/>
        </w:rPr>
      </w:pPr>
    </w:p>
    <w:p w14:paraId="74B453D2">
      <w:pPr>
        <w:pStyle w:val="2"/>
        <w:rPr>
          <w:rFonts w:hint="eastAsia" w:ascii="宋体" w:hAnsi="宋体" w:eastAsia="宋体" w:cs="宋体"/>
          <w:sz w:val="24"/>
          <w:highlight w:val="none"/>
        </w:rPr>
      </w:pPr>
    </w:p>
    <w:p w14:paraId="7E68FEDD">
      <w:pPr>
        <w:pStyle w:val="2"/>
        <w:rPr>
          <w:rFonts w:hint="eastAsia" w:ascii="宋体" w:hAnsi="宋体" w:eastAsia="宋体" w:cs="宋体"/>
          <w:sz w:val="24"/>
          <w:highlight w:val="none"/>
        </w:rPr>
      </w:pPr>
      <w:bookmarkStart w:id="0" w:name="_GoBack"/>
      <w:bookmarkEnd w:id="0"/>
    </w:p>
    <w:p w14:paraId="6D8B0176">
      <w:pPr>
        <w:spacing w:line="560" w:lineRule="exact"/>
        <w:jc w:val="right"/>
        <w:rPr>
          <w:rFonts w:ascii="宋体" w:hAnsi="宋体" w:eastAsia="宋体" w:cs="宋体"/>
          <w:sz w:val="24"/>
          <w:highlight w:val="none"/>
        </w:rPr>
      </w:pPr>
    </w:p>
    <w:p w14:paraId="0678C13B">
      <w:pPr>
        <w:spacing w:line="560" w:lineRule="exact"/>
        <w:jc w:val="right"/>
        <w:rPr>
          <w:rFonts w:ascii="宋体" w:hAnsi="宋体" w:eastAsia="宋体" w:cs="宋体"/>
          <w:sz w:val="24"/>
          <w:highlight w:val="none"/>
        </w:rPr>
      </w:pPr>
      <w:r>
        <w:rPr>
          <w:rFonts w:hint="eastAsia" w:ascii="宋体" w:hAnsi="宋体" w:eastAsia="宋体" w:cs="宋体"/>
          <w:sz w:val="24"/>
          <w:highlight w:val="none"/>
        </w:rPr>
        <w:t>招标人：江门市新会公路局养护中心</w:t>
      </w:r>
    </w:p>
    <w:p w14:paraId="5235C402">
      <w:pPr>
        <w:spacing w:line="560" w:lineRule="exact"/>
        <w:jc w:val="center"/>
        <w:rPr>
          <w:rFonts w:ascii="宋体" w:hAnsi="宋体" w:eastAsia="宋体" w:cs="宋体"/>
          <w:color w:val="FF0000"/>
          <w:sz w:val="24"/>
          <w:highlight w:val="none"/>
        </w:rPr>
      </w:pPr>
      <w:r>
        <w:rPr>
          <w:rFonts w:hint="eastAsia" w:ascii="宋体" w:hAnsi="宋体" w:eastAsia="宋体" w:cs="宋体"/>
          <w:sz w:val="24"/>
          <w:highlight w:val="none"/>
        </w:rPr>
        <w:t xml:space="preserve">                                        日  期：202</w:t>
      </w:r>
      <w:r>
        <w:rPr>
          <w:rFonts w:hint="eastAsia" w:ascii="宋体" w:hAnsi="宋体" w:eastAsia="宋体" w:cs="宋体"/>
          <w:sz w:val="24"/>
          <w:highlight w:val="none"/>
          <w:lang w:val="en-US" w:eastAsia="zh-CN"/>
        </w:rPr>
        <w:t>6</w:t>
      </w:r>
      <w:r>
        <w:rPr>
          <w:rFonts w:hint="eastAsia" w:ascii="宋体" w:hAnsi="宋体" w:eastAsia="宋体" w:cs="宋体"/>
          <w:sz w:val="24"/>
          <w:highlight w:val="none"/>
        </w:rPr>
        <w:t>年1月</w:t>
      </w:r>
      <w:r>
        <w:rPr>
          <w:rFonts w:hint="eastAsia" w:ascii="宋体" w:hAnsi="宋体" w:eastAsia="宋体" w:cs="宋体"/>
          <w:sz w:val="24"/>
          <w:highlight w:val="none"/>
          <w:lang w:val="en-US" w:eastAsia="zh-CN"/>
        </w:rPr>
        <w:t>23</w:t>
      </w:r>
      <w:r>
        <w:rPr>
          <w:rFonts w:hint="eastAsia" w:ascii="宋体" w:hAnsi="宋体" w:eastAsia="宋体" w:cs="宋体"/>
          <w:sz w:val="24"/>
          <w:highlight w:val="none"/>
        </w:rPr>
        <w:t>日</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D02EAA"/>
    <w:multiLevelType w:val="singleLevel"/>
    <w:tmpl w:val="E0D02EAA"/>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3MzkxYjFiMmFkYWNlOWMyMTc1NmU0ZmI1MjE4ODIifQ=="/>
  </w:docVars>
  <w:rsids>
    <w:rsidRoot w:val="0B7D4A0D"/>
    <w:rsid w:val="00056A68"/>
    <w:rsid w:val="00347F45"/>
    <w:rsid w:val="004B5441"/>
    <w:rsid w:val="007E7D0F"/>
    <w:rsid w:val="007F269C"/>
    <w:rsid w:val="009C223A"/>
    <w:rsid w:val="00A33586"/>
    <w:rsid w:val="00B506CE"/>
    <w:rsid w:val="00B82116"/>
    <w:rsid w:val="00D63F7A"/>
    <w:rsid w:val="00DC5072"/>
    <w:rsid w:val="00EA775C"/>
    <w:rsid w:val="00ED6C57"/>
    <w:rsid w:val="00FA775F"/>
    <w:rsid w:val="01635C49"/>
    <w:rsid w:val="04830723"/>
    <w:rsid w:val="05B0679A"/>
    <w:rsid w:val="0874152A"/>
    <w:rsid w:val="098849BD"/>
    <w:rsid w:val="0B7D4A0D"/>
    <w:rsid w:val="113D3447"/>
    <w:rsid w:val="12903B41"/>
    <w:rsid w:val="12A00B7B"/>
    <w:rsid w:val="12C910FC"/>
    <w:rsid w:val="12CD3ED5"/>
    <w:rsid w:val="12DB5F87"/>
    <w:rsid w:val="14883EEC"/>
    <w:rsid w:val="1667E380"/>
    <w:rsid w:val="182E2E69"/>
    <w:rsid w:val="18892D35"/>
    <w:rsid w:val="18B573A8"/>
    <w:rsid w:val="1F4D6497"/>
    <w:rsid w:val="1FD70B55"/>
    <w:rsid w:val="247D957F"/>
    <w:rsid w:val="28524F22"/>
    <w:rsid w:val="28974D43"/>
    <w:rsid w:val="293D309F"/>
    <w:rsid w:val="29820EEF"/>
    <w:rsid w:val="2A052FDD"/>
    <w:rsid w:val="2BDF2325"/>
    <w:rsid w:val="2BFFC151"/>
    <w:rsid w:val="2FE9188B"/>
    <w:rsid w:val="306443BF"/>
    <w:rsid w:val="31781C5A"/>
    <w:rsid w:val="32C739DA"/>
    <w:rsid w:val="33B75670"/>
    <w:rsid w:val="348A4F6D"/>
    <w:rsid w:val="34DFFFD4"/>
    <w:rsid w:val="37FFB1A7"/>
    <w:rsid w:val="38A24CCD"/>
    <w:rsid w:val="38EC4117"/>
    <w:rsid w:val="38FB4E4D"/>
    <w:rsid w:val="3AF45588"/>
    <w:rsid w:val="3B546B61"/>
    <w:rsid w:val="3D255BCB"/>
    <w:rsid w:val="3EE74E40"/>
    <w:rsid w:val="3FE61C4A"/>
    <w:rsid w:val="402B1A9F"/>
    <w:rsid w:val="41282F08"/>
    <w:rsid w:val="4715773F"/>
    <w:rsid w:val="47E10C42"/>
    <w:rsid w:val="4A6F69D9"/>
    <w:rsid w:val="4CFF54A1"/>
    <w:rsid w:val="4DBA685E"/>
    <w:rsid w:val="4E1A3BE8"/>
    <w:rsid w:val="4F372B3A"/>
    <w:rsid w:val="4FDB698B"/>
    <w:rsid w:val="4FEE6915"/>
    <w:rsid w:val="527C7665"/>
    <w:rsid w:val="52904CED"/>
    <w:rsid w:val="53074AA3"/>
    <w:rsid w:val="573A4FED"/>
    <w:rsid w:val="584B2674"/>
    <w:rsid w:val="5BFFC73A"/>
    <w:rsid w:val="5E44187C"/>
    <w:rsid w:val="5EE0038C"/>
    <w:rsid w:val="621B147A"/>
    <w:rsid w:val="63BF1748"/>
    <w:rsid w:val="659842EF"/>
    <w:rsid w:val="65AC4B11"/>
    <w:rsid w:val="670E33AA"/>
    <w:rsid w:val="67BB51E4"/>
    <w:rsid w:val="67DA03A7"/>
    <w:rsid w:val="67F72962"/>
    <w:rsid w:val="6B054A88"/>
    <w:rsid w:val="6EC34B5F"/>
    <w:rsid w:val="6EDBE3D3"/>
    <w:rsid w:val="6FEF8099"/>
    <w:rsid w:val="76434265"/>
    <w:rsid w:val="77433A3A"/>
    <w:rsid w:val="77D63E86"/>
    <w:rsid w:val="77EB6C83"/>
    <w:rsid w:val="79572E78"/>
    <w:rsid w:val="7ADB2036"/>
    <w:rsid w:val="7B5DA718"/>
    <w:rsid w:val="7C03DCBA"/>
    <w:rsid w:val="7D5D42EC"/>
    <w:rsid w:val="7D723DB3"/>
    <w:rsid w:val="7DB72F74"/>
    <w:rsid w:val="7DEFDD95"/>
    <w:rsid w:val="7E353E5F"/>
    <w:rsid w:val="7EDFD655"/>
    <w:rsid w:val="7EEF75CC"/>
    <w:rsid w:val="7FDFE46D"/>
    <w:rsid w:val="7FEDDE82"/>
    <w:rsid w:val="7FFF247C"/>
    <w:rsid w:val="857F3A55"/>
    <w:rsid w:val="BCFF21CA"/>
    <w:rsid w:val="BDDD5508"/>
    <w:rsid w:val="BFCF58D1"/>
    <w:rsid w:val="C4F7F25F"/>
    <w:rsid w:val="CF5CE3BA"/>
    <w:rsid w:val="D7FF2E81"/>
    <w:rsid w:val="DF5DF2EF"/>
    <w:rsid w:val="DFE83100"/>
    <w:rsid w:val="DFEE3BE2"/>
    <w:rsid w:val="DFF7B0D6"/>
    <w:rsid w:val="E87B54DD"/>
    <w:rsid w:val="EB3FEE3B"/>
    <w:rsid w:val="EBCFD8B5"/>
    <w:rsid w:val="ED5F03D6"/>
    <w:rsid w:val="EDD39178"/>
    <w:rsid w:val="F5A74911"/>
    <w:rsid w:val="F70E1B2F"/>
    <w:rsid w:val="F9FD011D"/>
    <w:rsid w:val="FA2D20BD"/>
    <w:rsid w:val="FA6FDB5A"/>
    <w:rsid w:val="FB7C592D"/>
    <w:rsid w:val="FBDF8AD5"/>
    <w:rsid w:val="FF7F535E"/>
    <w:rsid w:val="FF7FD10B"/>
    <w:rsid w:val="FF9F221C"/>
    <w:rsid w:val="FFDDA231"/>
    <w:rsid w:val="FFFD0C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pPr>
      <w:adjustRightInd w:val="0"/>
      <w:spacing w:line="360" w:lineRule="atLeast"/>
      <w:jc w:val="left"/>
      <w:textAlignment w:val="baseline"/>
    </w:pPr>
    <w:rPr>
      <w:rFonts w:ascii="宋体" w:hAnsi="Courier New" w:eastAsia="宋体"/>
      <w:kern w:val="0"/>
      <w:sz w:val="20"/>
      <w:szCs w:val="20"/>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basedOn w:val="8"/>
    <w:link w:val="4"/>
    <w:qFormat/>
    <w:uiPriority w:val="0"/>
    <w:rPr>
      <w:kern w:val="2"/>
      <w:sz w:val="18"/>
      <w:szCs w:val="18"/>
    </w:rPr>
  </w:style>
  <w:style w:type="character" w:customStyle="1" w:styleId="10">
    <w:name w:val="页脚 Char"/>
    <w:basedOn w:val="8"/>
    <w:link w:val="3"/>
    <w:qFormat/>
    <w:uiPriority w:val="0"/>
    <w:rPr>
      <w:kern w:val="2"/>
      <w:sz w:val="18"/>
      <w:szCs w:val="18"/>
    </w:rPr>
  </w:style>
  <w:style w:type="paragraph" w:styleId="11">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江门市市公路事务中心</Company>
  <Pages>2</Pages>
  <Words>610</Words>
  <Characters>669</Characters>
  <Lines>5</Lines>
  <Paragraphs>1</Paragraphs>
  <TotalTime>0</TotalTime>
  <ScaleCrop>false</ScaleCrop>
  <LinksUpToDate>false</LinksUpToDate>
  <CharactersWithSpaces>717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2023-07-12T04:11:00Z</dcterms:created>
  <dc:creator>Administrator</dc:creator>
  <cp:lastModifiedBy>张晓茵</cp:lastModifiedBy>
  <cp:lastPrinted>2023-07-19T23:46:00Z</cp:lastPrinted>
  <dcterms:modified xsi:type="dcterms:W3CDTF">2026-01-23T02:15:42Z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35005FD55F72484FB576A2B3A11A4523_13</vt:lpwstr>
  </property>
  <property fmtid="{D5CDD505-2E9C-101B-9397-08002B2CF9AE}" pid="4" name="KSOTemplateDocerSaveRecord">
    <vt:lpwstr>eyJoZGlkIjoiMGMwNzZhN2EyNzczOGUwY2MxNDk4NmI1N2Q3YzAzMmEiLCJ1c2VySWQiOiIxNzIwMzQ0MTIzIn0=</vt:lpwstr>
  </property>
</Properties>
</file>