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eastAsiaTheme="minorEastAsia"/>
          <w:b/>
          <w:bCs/>
          <w:sz w:val="28"/>
          <w:szCs w:val="28"/>
          <w:highlight w:val="none"/>
          <w:lang w:val="en-US" w:eastAsia="zh-CN"/>
        </w:rPr>
      </w:pPr>
      <w:r>
        <w:rPr>
          <w:rFonts w:hint="eastAsia"/>
          <w:b/>
          <w:bCs/>
          <w:sz w:val="28"/>
          <w:szCs w:val="28"/>
          <w:highlight w:val="none"/>
          <w:lang w:eastAsia="zh-CN"/>
        </w:rPr>
        <w:t>附件</w:t>
      </w:r>
      <w:r>
        <w:rPr>
          <w:rFonts w:hint="eastAsia"/>
          <w:b/>
          <w:bCs/>
          <w:sz w:val="28"/>
          <w:szCs w:val="28"/>
          <w:highlight w:val="none"/>
          <w:lang w:val="en-US" w:eastAsia="zh-CN"/>
        </w:rPr>
        <w:t>1</w:t>
      </w:r>
    </w:p>
    <w:p>
      <w:pPr>
        <w:spacing w:line="560" w:lineRule="exact"/>
        <w:jc w:val="center"/>
        <w:rPr>
          <w:b/>
          <w:bCs/>
          <w:sz w:val="28"/>
          <w:szCs w:val="28"/>
          <w:highlight w:val="none"/>
        </w:rPr>
      </w:pPr>
      <w:r>
        <w:rPr>
          <w:rFonts w:hint="eastAsia"/>
          <w:b/>
          <w:bCs/>
          <w:sz w:val="28"/>
          <w:szCs w:val="28"/>
          <w:highlight w:val="none"/>
        </w:rPr>
        <w:t>江门市新会公路局养护中心</w:t>
      </w:r>
      <w:r>
        <w:rPr>
          <w:rFonts w:hint="eastAsia"/>
          <w:b/>
          <w:bCs/>
          <w:sz w:val="28"/>
          <w:szCs w:val="28"/>
          <w:highlight w:val="none"/>
          <w:lang w:val="en-US" w:eastAsia="zh-CN"/>
        </w:rPr>
        <w:t>2026年</w:t>
      </w:r>
      <w:r>
        <w:rPr>
          <w:rFonts w:hint="eastAsia"/>
          <w:b/>
          <w:bCs/>
          <w:sz w:val="28"/>
          <w:szCs w:val="28"/>
          <w:highlight w:val="none"/>
        </w:rPr>
        <w:t>砂石</w:t>
      </w:r>
      <w:r>
        <w:rPr>
          <w:rFonts w:hint="eastAsia"/>
          <w:b/>
          <w:bCs/>
          <w:sz w:val="28"/>
          <w:szCs w:val="28"/>
          <w:highlight w:val="none"/>
          <w:lang w:eastAsia="zh-CN"/>
        </w:rPr>
        <w:t>材料</w:t>
      </w:r>
      <w:r>
        <w:rPr>
          <w:rFonts w:hint="eastAsia"/>
          <w:b/>
          <w:bCs/>
          <w:sz w:val="28"/>
          <w:szCs w:val="28"/>
          <w:highlight w:val="none"/>
        </w:rPr>
        <w:t>采购评选办法</w:t>
      </w:r>
    </w:p>
    <w:p>
      <w:pPr>
        <w:spacing w:line="560" w:lineRule="exact"/>
        <w:ind w:firstLine="560"/>
        <w:jc w:val="left"/>
        <w:rPr>
          <w:b/>
          <w:bCs/>
          <w:sz w:val="24"/>
          <w:highlight w:val="none"/>
        </w:rPr>
      </w:pPr>
      <w:r>
        <w:rPr>
          <w:rFonts w:hint="eastAsia"/>
          <w:b/>
          <w:bCs/>
          <w:sz w:val="24"/>
          <w:highlight w:val="none"/>
        </w:rPr>
        <w:t>一、本采购项目采用综合评分选取方式</w:t>
      </w:r>
    </w:p>
    <w:p>
      <w:pPr>
        <w:spacing w:line="560" w:lineRule="exact"/>
        <w:ind w:firstLine="560"/>
        <w:jc w:val="left"/>
        <w:rPr>
          <w:sz w:val="24"/>
          <w:highlight w:val="none"/>
        </w:rPr>
      </w:pPr>
      <w:r>
        <w:rPr>
          <w:rFonts w:hint="eastAsia"/>
          <w:sz w:val="24"/>
          <w:highlight w:val="none"/>
        </w:rPr>
        <w:t>本次采购采用综合评选的方式确定中选单位。评分小组先对报名单位进行初步评审，如满足初步评审要求的报名单位数量少于两家，本项目重新采购；然后对满足初步评审要求的投标单位各品目的报价进行加权得分计算，按照报价得分由</w:t>
      </w:r>
      <w:r>
        <w:rPr>
          <w:rFonts w:hint="eastAsia"/>
          <w:sz w:val="24"/>
          <w:highlight w:val="none"/>
          <w:lang w:eastAsia="zh-CN"/>
        </w:rPr>
        <w:t>高到低</w:t>
      </w:r>
      <w:r>
        <w:rPr>
          <w:rFonts w:hint="eastAsia"/>
          <w:sz w:val="24"/>
          <w:highlight w:val="none"/>
        </w:rPr>
        <w:t>顺序推荐中选</w:t>
      </w:r>
      <w:r>
        <w:rPr>
          <w:rFonts w:hint="eastAsia"/>
          <w:sz w:val="24"/>
          <w:highlight w:val="none"/>
          <w:lang w:eastAsia="zh-CN"/>
        </w:rPr>
        <w:t>单位</w:t>
      </w:r>
      <w:r>
        <w:rPr>
          <w:rFonts w:hint="eastAsia"/>
          <w:sz w:val="24"/>
          <w:highlight w:val="none"/>
        </w:rPr>
        <w:t>，如两家以上（含两家）报价单位得分相同，则由评审小组商议确定报价单位顺位。</w:t>
      </w:r>
    </w:p>
    <w:p>
      <w:pPr>
        <w:numPr>
          <w:ilvl w:val="0"/>
          <w:numId w:val="1"/>
        </w:numPr>
        <w:spacing w:line="560" w:lineRule="exact"/>
        <w:ind w:firstLine="560"/>
        <w:jc w:val="left"/>
        <w:rPr>
          <w:b/>
          <w:bCs/>
          <w:sz w:val="24"/>
          <w:highlight w:val="none"/>
        </w:rPr>
      </w:pPr>
      <w:r>
        <w:rPr>
          <w:rFonts w:hint="eastAsia"/>
          <w:b/>
          <w:bCs/>
          <w:sz w:val="24"/>
          <w:highlight w:val="none"/>
        </w:rPr>
        <w:t>初步评审</w:t>
      </w:r>
    </w:p>
    <w:tbl>
      <w:tblPr>
        <w:tblStyle w:val="6"/>
        <w:tblW w:w="10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7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739" w:type="dxa"/>
            <w:vAlign w:val="center"/>
          </w:tcPr>
          <w:p>
            <w:pPr>
              <w:spacing w:line="560" w:lineRule="exact"/>
              <w:jc w:val="center"/>
              <w:rPr>
                <w:sz w:val="24"/>
                <w:highlight w:val="none"/>
              </w:rPr>
            </w:pPr>
            <w:r>
              <w:rPr>
                <w:rFonts w:hint="eastAsia"/>
                <w:sz w:val="24"/>
                <w:highlight w:val="none"/>
              </w:rPr>
              <w:t>评审因素</w:t>
            </w:r>
          </w:p>
        </w:tc>
        <w:tc>
          <w:tcPr>
            <w:tcW w:w="7793" w:type="dxa"/>
            <w:vAlign w:val="center"/>
          </w:tcPr>
          <w:p>
            <w:pPr>
              <w:spacing w:line="560" w:lineRule="exact"/>
              <w:jc w:val="center"/>
              <w:rPr>
                <w:sz w:val="24"/>
                <w:highlight w:val="none"/>
              </w:rPr>
            </w:pPr>
            <w:r>
              <w:rPr>
                <w:rFonts w:hint="eastAsia"/>
                <w:sz w:val="24"/>
                <w:highlight w:val="none"/>
              </w:rPr>
              <w:t>初评标准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9" w:type="dxa"/>
            <w:vAlign w:val="center"/>
          </w:tcPr>
          <w:p>
            <w:pPr>
              <w:spacing w:line="500" w:lineRule="exact"/>
              <w:jc w:val="center"/>
              <w:rPr>
                <w:sz w:val="24"/>
                <w:szCs w:val="24"/>
                <w:highlight w:val="none"/>
              </w:rPr>
            </w:pPr>
            <w:r>
              <w:rPr>
                <w:rFonts w:hint="eastAsia"/>
                <w:sz w:val="24"/>
                <w:szCs w:val="24"/>
              </w:rPr>
              <w:t>资质</w:t>
            </w:r>
          </w:p>
        </w:tc>
        <w:tc>
          <w:tcPr>
            <w:tcW w:w="7793" w:type="dxa"/>
            <w:vAlign w:val="center"/>
          </w:tcPr>
          <w:p>
            <w:pPr>
              <w:numPr>
                <w:ilvl w:val="0"/>
                <w:numId w:val="2"/>
              </w:numPr>
              <w:spacing w:line="500" w:lineRule="exact"/>
              <w:jc w:val="left"/>
              <w:rPr>
                <w:rFonts w:hint="eastAsia"/>
                <w:sz w:val="24"/>
                <w:szCs w:val="24"/>
              </w:rPr>
            </w:pPr>
            <w:r>
              <w:rPr>
                <w:rFonts w:hint="eastAsia"/>
                <w:sz w:val="24"/>
                <w:szCs w:val="24"/>
              </w:rPr>
              <w:t>在中华人民共和国境内依法注册的具有合法经营资格的独立法人；</w:t>
            </w:r>
          </w:p>
          <w:p>
            <w:pPr>
              <w:numPr>
                <w:ilvl w:val="0"/>
                <w:numId w:val="0"/>
              </w:numPr>
              <w:spacing w:line="500" w:lineRule="exact"/>
              <w:jc w:val="left"/>
              <w:rPr>
                <w:rFonts w:hint="eastAsia"/>
                <w:sz w:val="24"/>
                <w:szCs w:val="24"/>
              </w:rPr>
            </w:pPr>
            <w:r>
              <w:rPr>
                <w:rFonts w:hint="eastAsia"/>
                <w:sz w:val="24"/>
                <w:szCs w:val="24"/>
              </w:rPr>
              <w:t>（2）具备相应行业资质；</w:t>
            </w:r>
          </w:p>
          <w:p>
            <w:pPr>
              <w:numPr>
                <w:ilvl w:val="0"/>
                <w:numId w:val="0"/>
              </w:numPr>
              <w:spacing w:line="500" w:lineRule="exact"/>
              <w:jc w:val="left"/>
              <w:rPr>
                <w:sz w:val="24"/>
                <w:szCs w:val="24"/>
                <w:highlight w:val="none"/>
              </w:rPr>
            </w:pPr>
            <w:r>
              <w:rPr>
                <w:rFonts w:hint="eastAsia"/>
                <w:sz w:val="24"/>
                <w:szCs w:val="24"/>
              </w:rPr>
              <w:t>（3）不属于回避单位。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739" w:type="dxa"/>
            <w:vAlign w:val="center"/>
          </w:tcPr>
          <w:p>
            <w:pPr>
              <w:spacing w:line="500" w:lineRule="exact"/>
              <w:jc w:val="center"/>
              <w:rPr>
                <w:sz w:val="24"/>
                <w:szCs w:val="24"/>
                <w:highlight w:val="none"/>
              </w:rPr>
            </w:pPr>
            <w:r>
              <w:rPr>
                <w:rFonts w:hint="eastAsia"/>
                <w:sz w:val="24"/>
                <w:szCs w:val="24"/>
                <w:highlight w:val="none"/>
              </w:rPr>
              <w:t>企业信用</w:t>
            </w:r>
          </w:p>
        </w:tc>
        <w:tc>
          <w:tcPr>
            <w:tcW w:w="7793" w:type="dxa"/>
            <w:vAlign w:val="center"/>
          </w:tcPr>
          <w:p>
            <w:pPr>
              <w:spacing w:line="500" w:lineRule="exact"/>
              <w:rPr>
                <w:rFonts w:hint="eastAsia"/>
                <w:sz w:val="24"/>
                <w:szCs w:val="24"/>
                <w:highlight w:val="none"/>
              </w:rPr>
            </w:pPr>
            <w:r>
              <w:rPr>
                <w:rFonts w:hint="eastAsia"/>
                <w:sz w:val="24"/>
                <w:szCs w:val="24"/>
                <w:highlight w:val="none"/>
              </w:rPr>
              <w:t>（1）中介机构在国家企业信用信息公示系统中未被列入严重违法失信企业名单；</w:t>
            </w:r>
          </w:p>
          <w:p>
            <w:pPr>
              <w:spacing w:line="500" w:lineRule="exact"/>
              <w:rPr>
                <w:sz w:val="24"/>
                <w:szCs w:val="24"/>
                <w:highlight w:val="none"/>
              </w:rPr>
            </w:pPr>
            <w:r>
              <w:rPr>
                <w:rFonts w:hint="eastAsia"/>
                <w:sz w:val="24"/>
                <w:szCs w:val="24"/>
                <w:highlight w:val="none"/>
              </w:rPr>
              <w:t>（2）在“信用中国”网站或地方信用网站的信用信息报告无不良记录。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739" w:type="dxa"/>
            <w:vAlign w:val="center"/>
          </w:tcPr>
          <w:p>
            <w:pPr>
              <w:spacing w:line="500" w:lineRule="exact"/>
              <w:jc w:val="center"/>
              <w:rPr>
                <w:rFonts w:hint="eastAsia" w:eastAsiaTheme="minorEastAsia"/>
                <w:sz w:val="24"/>
                <w:szCs w:val="24"/>
                <w:highlight w:val="none"/>
                <w:lang w:eastAsia="zh-CN"/>
              </w:rPr>
            </w:pPr>
            <w:r>
              <w:rPr>
                <w:rFonts w:hint="eastAsia"/>
                <w:sz w:val="24"/>
                <w:szCs w:val="24"/>
                <w:highlight w:val="none"/>
                <w:lang w:eastAsia="zh-CN"/>
              </w:rPr>
              <w:t>报价</w:t>
            </w:r>
          </w:p>
        </w:tc>
        <w:tc>
          <w:tcPr>
            <w:tcW w:w="7793" w:type="dxa"/>
            <w:vAlign w:val="center"/>
          </w:tcPr>
          <w:p>
            <w:pPr>
              <w:spacing w:line="500" w:lineRule="exact"/>
              <w:rPr>
                <w:rFonts w:hint="eastAsia" w:eastAsiaTheme="minorEastAsia"/>
                <w:sz w:val="24"/>
                <w:szCs w:val="24"/>
                <w:highlight w:val="none"/>
                <w:lang w:eastAsia="zh-CN"/>
              </w:rPr>
            </w:pPr>
            <w:r>
              <w:rPr>
                <w:rFonts w:hint="eastAsia"/>
                <w:sz w:val="24"/>
                <w:szCs w:val="24"/>
                <w:highlight w:val="none"/>
                <w:lang w:eastAsia="zh-CN"/>
              </w:rPr>
              <w:t>报价金额不超过该项采购预算金额，或在采购报价区间范围内。</w:t>
            </w:r>
          </w:p>
        </w:tc>
      </w:tr>
    </w:tbl>
    <w:p>
      <w:pPr>
        <w:spacing w:line="560" w:lineRule="exact"/>
        <w:jc w:val="left"/>
        <w:rPr>
          <w:b/>
          <w:bCs/>
          <w:sz w:val="24"/>
          <w:highlight w:val="none"/>
        </w:rPr>
      </w:pPr>
    </w:p>
    <w:p>
      <w:pPr>
        <w:spacing w:line="560" w:lineRule="exact"/>
        <w:jc w:val="left"/>
        <w:rPr>
          <w:b/>
          <w:bCs/>
          <w:sz w:val="24"/>
          <w:highlight w:val="none"/>
        </w:rPr>
      </w:pPr>
    </w:p>
    <w:p>
      <w:pPr>
        <w:spacing w:line="560" w:lineRule="exact"/>
        <w:jc w:val="left"/>
        <w:rPr>
          <w:b/>
          <w:bCs/>
          <w:sz w:val="24"/>
          <w:highlight w:val="none"/>
        </w:rPr>
      </w:pPr>
    </w:p>
    <w:p>
      <w:pPr>
        <w:spacing w:line="560" w:lineRule="exact"/>
        <w:jc w:val="left"/>
        <w:rPr>
          <w:b/>
          <w:bCs/>
          <w:sz w:val="24"/>
          <w:highlight w:val="none"/>
        </w:rPr>
      </w:pPr>
    </w:p>
    <w:p>
      <w:pPr>
        <w:spacing w:line="560" w:lineRule="exact"/>
        <w:jc w:val="left"/>
        <w:rPr>
          <w:b/>
          <w:bCs/>
          <w:sz w:val="24"/>
          <w:highlight w:val="none"/>
        </w:rPr>
      </w:pPr>
    </w:p>
    <w:p>
      <w:pPr>
        <w:spacing w:line="560" w:lineRule="exact"/>
        <w:jc w:val="left"/>
        <w:rPr>
          <w:b/>
          <w:bCs/>
          <w:sz w:val="24"/>
          <w:highlight w:val="none"/>
        </w:rPr>
      </w:pPr>
    </w:p>
    <w:p>
      <w:pPr>
        <w:spacing w:line="560" w:lineRule="exact"/>
        <w:jc w:val="left"/>
        <w:rPr>
          <w:b/>
          <w:bCs/>
          <w:sz w:val="24"/>
          <w:highlight w:val="none"/>
        </w:rPr>
      </w:pPr>
    </w:p>
    <w:p>
      <w:pPr>
        <w:numPr>
          <w:ilvl w:val="0"/>
          <w:numId w:val="1"/>
        </w:numPr>
        <w:spacing w:line="560" w:lineRule="exact"/>
        <w:ind w:firstLine="560"/>
        <w:jc w:val="left"/>
        <w:rPr>
          <w:b/>
          <w:bCs/>
          <w:sz w:val="24"/>
          <w:highlight w:val="none"/>
        </w:rPr>
      </w:pPr>
      <w:r>
        <w:rPr>
          <w:rFonts w:hint="eastAsia"/>
          <w:b/>
          <w:bCs/>
          <w:sz w:val="24"/>
          <w:highlight w:val="none"/>
        </w:rPr>
        <w:t>详细评审</w:t>
      </w:r>
    </w:p>
    <w:p>
      <w:pPr>
        <w:spacing w:line="560" w:lineRule="exact"/>
        <w:ind w:left="480"/>
        <w:jc w:val="left"/>
        <w:rPr>
          <w:sz w:val="24"/>
          <w:highlight w:val="none"/>
        </w:rPr>
      </w:pPr>
      <w:r>
        <w:rPr>
          <w:rFonts w:hint="eastAsia"/>
          <w:sz w:val="24"/>
          <w:highlight w:val="none"/>
        </w:rPr>
        <w:t>报价加权得分计算</w:t>
      </w:r>
    </w:p>
    <w:p>
      <w:pPr>
        <w:spacing w:line="400" w:lineRule="exact"/>
        <w:jc w:val="left"/>
        <w:rPr>
          <w:rFonts w:ascii="宋体" w:hAnsi="宋体" w:eastAsia="宋体" w:cs="宋体"/>
          <w:sz w:val="24"/>
          <w:highlight w:val="none"/>
        </w:rPr>
      </w:pPr>
    </w:p>
    <w:tbl>
      <w:tblPr>
        <w:tblStyle w:val="5"/>
        <w:tblW w:w="9976" w:type="dxa"/>
        <w:tblInd w:w="93" w:type="dxa"/>
        <w:tblLayout w:type="fixed"/>
        <w:tblCellMar>
          <w:top w:w="0" w:type="dxa"/>
          <w:left w:w="108" w:type="dxa"/>
          <w:bottom w:w="0" w:type="dxa"/>
          <w:right w:w="108" w:type="dxa"/>
        </w:tblCellMar>
      </w:tblPr>
      <w:tblGrid>
        <w:gridCol w:w="519"/>
        <w:gridCol w:w="1599"/>
        <w:gridCol w:w="1165"/>
        <w:gridCol w:w="1080"/>
        <w:gridCol w:w="765"/>
        <w:gridCol w:w="750"/>
        <w:gridCol w:w="990"/>
        <w:gridCol w:w="765"/>
        <w:gridCol w:w="2343"/>
      </w:tblGrid>
      <w:tr>
        <w:tblPrEx>
          <w:tblCellMar>
            <w:top w:w="0" w:type="dxa"/>
            <w:left w:w="108" w:type="dxa"/>
            <w:bottom w:w="0" w:type="dxa"/>
            <w:right w:w="108" w:type="dxa"/>
          </w:tblCellMar>
        </w:tblPrEx>
        <w:trPr>
          <w:trHeight w:val="1808"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序号</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报价单位</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材料品目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报价</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（元/t）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权值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加权</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加权值</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总得分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报价得分</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备注</w:t>
            </w:r>
          </w:p>
        </w:tc>
      </w:tr>
      <w:tr>
        <w:tblPrEx>
          <w:tblCellMar>
            <w:top w:w="0" w:type="dxa"/>
            <w:left w:w="108" w:type="dxa"/>
            <w:bottom w:w="0" w:type="dxa"/>
            <w:right w:w="108" w:type="dxa"/>
          </w:tblCellMar>
        </w:tblPrEx>
        <w:trPr>
          <w:trHeight w:val="1169" w:hRule="atLeast"/>
        </w:trPr>
        <w:tc>
          <w:tcPr>
            <w:tcW w:w="519" w:type="dxa"/>
            <w:vMerge w:val="restart"/>
            <w:tcBorders>
              <w:top w:val="nil"/>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599"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p>
        </w:tc>
        <w:tc>
          <w:tcPr>
            <w:tcW w:w="11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工程用砂</w:t>
            </w:r>
          </w:p>
        </w:tc>
        <w:tc>
          <w:tcPr>
            <w:tcW w:w="1080"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7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kern w:val="0"/>
                <w:sz w:val="24"/>
                <w:highlight w:val="none"/>
                <w:lang w:bidi="ar"/>
              </w:rPr>
              <w:t>0.4</w:t>
            </w:r>
            <w:r>
              <w:rPr>
                <w:rFonts w:hint="eastAsia" w:ascii="宋体" w:hAnsi="宋体" w:eastAsia="宋体" w:cs="宋体"/>
                <w:color w:val="000000"/>
                <w:kern w:val="0"/>
                <w:sz w:val="24"/>
                <w:highlight w:val="none"/>
                <w:lang w:val="en-US" w:eastAsia="zh-CN" w:bidi="ar"/>
              </w:rPr>
              <w:t>5</w:t>
            </w:r>
          </w:p>
        </w:tc>
        <w:tc>
          <w:tcPr>
            <w:tcW w:w="750"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990" w:type="dxa"/>
            <w:vMerge w:val="restar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highlight w:val="none"/>
              </w:rPr>
            </w:pPr>
          </w:p>
        </w:tc>
        <w:tc>
          <w:tcPr>
            <w:tcW w:w="765" w:type="dxa"/>
            <w:vMerge w:val="restart"/>
            <w:tcBorders>
              <w:top w:val="single" w:color="000000" w:sz="4" w:space="0"/>
              <w:left w:val="single" w:color="000000" w:sz="4" w:space="0"/>
              <w:right w:val="single" w:color="000000" w:sz="4" w:space="0"/>
            </w:tcBorders>
            <w:shd w:val="clear" w:color="auto" w:fill="auto"/>
          </w:tcPr>
          <w:p>
            <w:pPr>
              <w:jc w:val="center"/>
              <w:rPr>
                <w:rFonts w:ascii="宋体" w:hAnsi="宋体" w:eastAsia="宋体" w:cs="宋体"/>
                <w:color w:val="000000"/>
                <w:sz w:val="22"/>
                <w:szCs w:val="22"/>
                <w:highlight w:val="none"/>
              </w:rPr>
            </w:pP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numPr>
                <w:ilvl w:val="0"/>
                <w:numId w:val="0"/>
              </w:numPr>
              <w:jc w:val="left"/>
              <w:textAlignment w:val="top"/>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一、加权得分计算公式：</w:t>
            </w:r>
          </w:p>
          <w:p>
            <w:pPr>
              <w:widowControl/>
              <w:numPr>
                <w:ilvl w:val="0"/>
                <w:numId w:val="0"/>
              </w:numPr>
              <w:jc w:val="left"/>
              <w:textAlignment w:val="top"/>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加权得分＝报价×权值。</w:t>
            </w:r>
          </w:p>
          <w:p>
            <w:pPr>
              <w:widowControl/>
              <w:numPr>
                <w:ilvl w:val="0"/>
                <w:numId w:val="0"/>
              </w:numPr>
              <w:jc w:val="left"/>
              <w:textAlignment w:val="top"/>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二、报价得分=（加权值总得分最低的单位÷加权值总得分）*100</w:t>
            </w:r>
          </w:p>
          <w:p>
            <w:pPr>
              <w:widowControl/>
              <w:numPr>
                <w:ilvl w:val="0"/>
                <w:numId w:val="0"/>
              </w:numPr>
              <w:jc w:val="left"/>
              <w:textAlignment w:val="top"/>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，得分计算保留到小数点后1位。</w:t>
            </w:r>
          </w:p>
          <w:p>
            <w:pPr>
              <w:widowControl/>
              <w:numPr>
                <w:ilvl w:val="0"/>
                <w:numId w:val="0"/>
              </w:numPr>
              <w:jc w:val="left"/>
              <w:textAlignment w:val="top"/>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三、推荐中选顺位办法：</w:t>
            </w:r>
          </w:p>
          <w:p>
            <w:pPr>
              <w:widowControl/>
              <w:numPr>
                <w:ilvl w:val="0"/>
                <w:numId w:val="0"/>
              </w:numPr>
              <w:jc w:val="left"/>
              <w:textAlignment w:val="top"/>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1.同等条件下，报价得分</w:t>
            </w:r>
            <w:r>
              <w:rPr>
                <w:rFonts w:hint="eastAsia" w:ascii="宋体" w:hAnsi="宋体" w:eastAsia="宋体" w:cs="宋体"/>
                <w:b/>
                <w:bCs/>
                <w:color w:val="000000"/>
                <w:kern w:val="0"/>
                <w:sz w:val="22"/>
                <w:szCs w:val="22"/>
                <w:highlight w:val="none"/>
                <w:lang w:bidi="ar"/>
              </w:rPr>
              <w:t>最高</w:t>
            </w:r>
            <w:r>
              <w:rPr>
                <w:rFonts w:hint="eastAsia" w:ascii="宋体" w:hAnsi="宋体" w:eastAsia="宋体" w:cs="宋体"/>
                <w:color w:val="000000"/>
                <w:kern w:val="0"/>
                <w:sz w:val="22"/>
                <w:szCs w:val="22"/>
                <w:highlight w:val="none"/>
                <w:lang w:bidi="ar"/>
              </w:rPr>
              <w:t>者为第一推荐中选单位；</w:t>
            </w:r>
          </w:p>
          <w:p>
            <w:pPr>
              <w:widowControl/>
              <w:numPr>
                <w:ilvl w:val="0"/>
                <w:numId w:val="0"/>
              </w:numPr>
              <w:jc w:val="left"/>
              <w:textAlignment w:val="top"/>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2.如有两家（或以上）单位加权值总得分相同，则由评选小组商议决定推荐中选单位顺位。</w:t>
            </w:r>
          </w:p>
        </w:tc>
      </w:tr>
      <w:tr>
        <w:tblPrEx>
          <w:tblCellMar>
            <w:top w:w="0" w:type="dxa"/>
            <w:left w:w="108" w:type="dxa"/>
            <w:bottom w:w="0" w:type="dxa"/>
            <w:right w:w="108" w:type="dxa"/>
          </w:tblCellMar>
        </w:tblPrEx>
        <w:trPr>
          <w:trHeight w:val="1042" w:hRule="atLeast"/>
        </w:trPr>
        <w:tc>
          <w:tcPr>
            <w:tcW w:w="519"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p>
        </w:tc>
        <w:tc>
          <w:tcPr>
            <w:tcW w:w="1599"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5mm碎石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0.</w:t>
            </w:r>
            <w:r>
              <w:rPr>
                <w:rFonts w:hint="eastAsia" w:ascii="宋体" w:hAnsi="宋体" w:eastAsia="宋体" w:cs="宋体"/>
                <w:color w:val="000000"/>
                <w:sz w:val="24"/>
                <w:highlight w:val="none"/>
                <w:lang w:val="en-US" w:eastAsia="zh-CN"/>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99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highlight w:val="none"/>
              </w:rPr>
            </w:pPr>
          </w:p>
        </w:tc>
        <w:tc>
          <w:tcPr>
            <w:tcW w:w="765" w:type="dxa"/>
            <w:vMerge w:val="continue"/>
            <w:tcBorders>
              <w:left w:val="single" w:color="000000" w:sz="4" w:space="0"/>
              <w:right w:val="single" w:color="000000" w:sz="4" w:space="0"/>
            </w:tcBorders>
            <w:shd w:val="clear" w:color="auto" w:fill="auto"/>
          </w:tcPr>
          <w:p>
            <w:pPr>
              <w:jc w:val="center"/>
              <w:rPr>
                <w:rFonts w:ascii="宋体" w:hAnsi="宋体" w:eastAsia="宋体" w:cs="宋体"/>
                <w:color w:val="000000"/>
                <w:sz w:val="22"/>
                <w:szCs w:val="22"/>
                <w:highlight w:val="none"/>
              </w:rPr>
            </w:pP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1080" w:hRule="atLeast"/>
        </w:trPr>
        <w:tc>
          <w:tcPr>
            <w:tcW w:w="519"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p>
        </w:tc>
        <w:tc>
          <w:tcPr>
            <w:tcW w:w="1599"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10-30mm碎石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r>
              <w:rPr>
                <w:rFonts w:hint="eastAsia" w:ascii="宋体" w:hAnsi="宋体" w:eastAsia="宋体" w:cs="宋体"/>
                <w:color w:val="000000"/>
                <w:sz w:val="24"/>
                <w:highlight w:val="none"/>
              </w:rPr>
              <w:t>0.1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99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highlight w:val="none"/>
              </w:rPr>
            </w:pPr>
          </w:p>
        </w:tc>
        <w:tc>
          <w:tcPr>
            <w:tcW w:w="765" w:type="dxa"/>
            <w:vMerge w:val="continue"/>
            <w:tcBorders>
              <w:left w:val="single" w:color="000000" w:sz="4" w:space="0"/>
              <w:right w:val="single" w:color="000000" w:sz="4" w:space="0"/>
            </w:tcBorders>
            <w:shd w:val="clear" w:color="auto" w:fill="auto"/>
          </w:tcPr>
          <w:p>
            <w:pPr>
              <w:jc w:val="center"/>
              <w:rPr>
                <w:rFonts w:ascii="宋体" w:hAnsi="宋体" w:eastAsia="宋体" w:cs="宋体"/>
                <w:color w:val="000000"/>
                <w:sz w:val="22"/>
                <w:szCs w:val="22"/>
                <w:highlight w:val="none"/>
              </w:rPr>
            </w:pP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1100" w:hRule="atLeast"/>
        </w:trPr>
        <w:tc>
          <w:tcPr>
            <w:tcW w:w="519"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p>
        </w:tc>
        <w:tc>
          <w:tcPr>
            <w:tcW w:w="1599"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≤8mm石屑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0.1</w:t>
            </w:r>
            <w:r>
              <w:rPr>
                <w:rFonts w:hint="eastAsia" w:ascii="宋体" w:hAnsi="宋体" w:eastAsia="宋体" w:cs="宋体"/>
                <w:color w:val="000000"/>
                <w:sz w:val="24"/>
                <w:highlight w:val="none"/>
                <w:lang w:val="en-US" w:eastAsia="zh-C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99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highlight w:val="none"/>
              </w:rPr>
            </w:pPr>
          </w:p>
        </w:tc>
        <w:tc>
          <w:tcPr>
            <w:tcW w:w="765" w:type="dxa"/>
            <w:vMerge w:val="continue"/>
            <w:tcBorders>
              <w:left w:val="single" w:color="000000" w:sz="4" w:space="0"/>
              <w:bottom w:val="single" w:color="000000" w:sz="4" w:space="0"/>
              <w:right w:val="single" w:color="000000" w:sz="4" w:space="0"/>
            </w:tcBorders>
            <w:shd w:val="clear" w:color="auto" w:fill="auto"/>
          </w:tcPr>
          <w:p>
            <w:pPr>
              <w:jc w:val="center"/>
              <w:rPr>
                <w:rFonts w:ascii="宋体" w:hAnsi="宋体" w:eastAsia="宋体" w:cs="宋体"/>
                <w:color w:val="000000"/>
                <w:sz w:val="22"/>
                <w:szCs w:val="22"/>
                <w:highlight w:val="none"/>
              </w:rPr>
            </w:pP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2"/>
                <w:szCs w:val="22"/>
                <w:highlight w:val="none"/>
              </w:rPr>
            </w:pPr>
          </w:p>
        </w:tc>
      </w:tr>
    </w:tbl>
    <w:p>
      <w:pPr>
        <w:spacing w:line="560" w:lineRule="exact"/>
        <w:jc w:val="right"/>
        <w:rPr>
          <w:rFonts w:ascii="宋体" w:hAnsi="宋体" w:eastAsia="宋体" w:cs="宋体"/>
          <w:sz w:val="24"/>
          <w:highlight w:val="none"/>
        </w:rPr>
      </w:pPr>
    </w:p>
    <w:p>
      <w:pPr>
        <w:spacing w:line="560" w:lineRule="exact"/>
        <w:jc w:val="right"/>
        <w:rPr>
          <w:rFonts w:ascii="宋体" w:hAnsi="宋体" w:eastAsia="宋体" w:cs="宋体"/>
          <w:sz w:val="24"/>
          <w:highlight w:val="none"/>
        </w:rPr>
      </w:pPr>
    </w:p>
    <w:p>
      <w:pPr>
        <w:spacing w:line="560" w:lineRule="exact"/>
        <w:jc w:val="right"/>
        <w:rPr>
          <w:rFonts w:ascii="宋体" w:hAnsi="宋体" w:eastAsia="宋体" w:cs="宋体"/>
          <w:sz w:val="24"/>
          <w:highlight w:val="none"/>
        </w:rPr>
      </w:pPr>
    </w:p>
    <w:p>
      <w:pPr>
        <w:spacing w:line="560" w:lineRule="exact"/>
        <w:jc w:val="right"/>
        <w:rPr>
          <w:rFonts w:ascii="宋体" w:hAnsi="宋体" w:eastAsia="宋体" w:cs="宋体"/>
          <w:sz w:val="24"/>
          <w:highlight w:val="none"/>
        </w:rPr>
      </w:pPr>
    </w:p>
    <w:p>
      <w:pPr>
        <w:spacing w:line="560" w:lineRule="exact"/>
        <w:jc w:val="right"/>
        <w:rPr>
          <w:rFonts w:ascii="宋体" w:hAnsi="宋体" w:eastAsia="宋体" w:cs="宋体"/>
          <w:sz w:val="24"/>
          <w:highlight w:val="none"/>
        </w:rPr>
      </w:pPr>
      <w:r>
        <w:rPr>
          <w:rFonts w:hint="eastAsia" w:ascii="宋体" w:hAnsi="宋体" w:eastAsia="宋体" w:cs="宋体"/>
          <w:sz w:val="24"/>
          <w:highlight w:val="none"/>
        </w:rPr>
        <w:t>招标人：江门市新会公路局养护中心</w:t>
      </w:r>
    </w:p>
    <w:p>
      <w:pPr>
        <w:spacing w:line="560" w:lineRule="exact"/>
        <w:jc w:val="center"/>
        <w:rPr>
          <w:rFonts w:ascii="宋体" w:hAnsi="宋体" w:eastAsia="宋体" w:cs="宋体"/>
          <w:color w:val="FF0000"/>
          <w:sz w:val="24"/>
          <w:highlight w:val="none"/>
        </w:rPr>
      </w:pPr>
      <w:r>
        <w:rPr>
          <w:rFonts w:hint="eastAsia" w:ascii="宋体" w:hAnsi="宋体" w:eastAsia="宋体" w:cs="宋体"/>
          <w:sz w:val="24"/>
          <w:highlight w:val="none"/>
        </w:rPr>
        <w:t xml:space="preserve">                                        日  期：202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23</w:t>
      </w:r>
      <w:bookmarkStart w:id="0" w:name="_GoBack"/>
      <w:bookmarkEnd w:id="0"/>
      <w:r>
        <w:rPr>
          <w:rFonts w:hint="eastAsia" w:ascii="宋体" w:hAnsi="宋体" w:eastAsia="宋体" w:cs="宋体"/>
          <w:sz w:val="24"/>
          <w:highlight w:val="none"/>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FD325"/>
    <w:multiLevelType w:val="singleLevel"/>
    <w:tmpl w:val="B77FD325"/>
    <w:lvl w:ilvl="0" w:tentative="0">
      <w:start w:val="1"/>
      <w:numFmt w:val="decimal"/>
      <w:suff w:val="nothing"/>
      <w:lvlText w:val="（%1）"/>
      <w:lvlJc w:val="left"/>
    </w:lvl>
  </w:abstractNum>
  <w:abstractNum w:abstractNumId="1">
    <w:nsid w:val="E0D02EAA"/>
    <w:multiLevelType w:val="singleLevel"/>
    <w:tmpl w:val="E0D02EA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MzkxYjFiMmFkYWNlOWMyMTc1NmU0ZmI1MjE4ODIifQ=="/>
  </w:docVars>
  <w:rsids>
    <w:rsidRoot w:val="0B7D4A0D"/>
    <w:rsid w:val="00056A68"/>
    <w:rsid w:val="00347F45"/>
    <w:rsid w:val="003B1C26"/>
    <w:rsid w:val="004B5441"/>
    <w:rsid w:val="007E7D0F"/>
    <w:rsid w:val="009C223A"/>
    <w:rsid w:val="00A33586"/>
    <w:rsid w:val="00B506CE"/>
    <w:rsid w:val="00B82116"/>
    <w:rsid w:val="00CC5576"/>
    <w:rsid w:val="00DC5072"/>
    <w:rsid w:val="00EC58EF"/>
    <w:rsid w:val="00ED6C57"/>
    <w:rsid w:val="00FA775F"/>
    <w:rsid w:val="01635C49"/>
    <w:rsid w:val="04830723"/>
    <w:rsid w:val="05B0679A"/>
    <w:rsid w:val="0874152A"/>
    <w:rsid w:val="098849BD"/>
    <w:rsid w:val="0B7D4A0D"/>
    <w:rsid w:val="113D3447"/>
    <w:rsid w:val="12903B41"/>
    <w:rsid w:val="12A00B7B"/>
    <w:rsid w:val="12C910FC"/>
    <w:rsid w:val="12DB5F87"/>
    <w:rsid w:val="1383444A"/>
    <w:rsid w:val="13CF7A3A"/>
    <w:rsid w:val="14883EEC"/>
    <w:rsid w:val="182E2E69"/>
    <w:rsid w:val="18892D35"/>
    <w:rsid w:val="18B573A8"/>
    <w:rsid w:val="1E3F6EA1"/>
    <w:rsid w:val="1F4D6497"/>
    <w:rsid w:val="1F9F5692"/>
    <w:rsid w:val="1FD70B55"/>
    <w:rsid w:val="247D957F"/>
    <w:rsid w:val="25FBDF70"/>
    <w:rsid w:val="27FF9A81"/>
    <w:rsid w:val="28524F22"/>
    <w:rsid w:val="28974D43"/>
    <w:rsid w:val="293D309F"/>
    <w:rsid w:val="29820EEF"/>
    <w:rsid w:val="2A052FDD"/>
    <w:rsid w:val="2BDF2325"/>
    <w:rsid w:val="2BFB7D24"/>
    <w:rsid w:val="2BFFC151"/>
    <w:rsid w:val="2FE9188B"/>
    <w:rsid w:val="2FED6C40"/>
    <w:rsid w:val="306443BF"/>
    <w:rsid w:val="31781C5A"/>
    <w:rsid w:val="32C739DA"/>
    <w:rsid w:val="33B75670"/>
    <w:rsid w:val="34DFFFD4"/>
    <w:rsid w:val="367FFE88"/>
    <w:rsid w:val="37FFB1A7"/>
    <w:rsid w:val="38A24CCD"/>
    <w:rsid w:val="38FB4E4D"/>
    <w:rsid w:val="39F7ABB5"/>
    <w:rsid w:val="3AF45588"/>
    <w:rsid w:val="3B546B61"/>
    <w:rsid w:val="3D255BCB"/>
    <w:rsid w:val="3EE74E40"/>
    <w:rsid w:val="3FBE3375"/>
    <w:rsid w:val="3FE61C4A"/>
    <w:rsid w:val="402B1A9F"/>
    <w:rsid w:val="41282F08"/>
    <w:rsid w:val="4715773F"/>
    <w:rsid w:val="47E10C42"/>
    <w:rsid w:val="4A6F69D9"/>
    <w:rsid w:val="4CFF54A1"/>
    <w:rsid w:val="4DBA685E"/>
    <w:rsid w:val="4E1A3BE8"/>
    <w:rsid w:val="4FDB698B"/>
    <w:rsid w:val="4FEE6915"/>
    <w:rsid w:val="50CF47A9"/>
    <w:rsid w:val="527C7665"/>
    <w:rsid w:val="52904CED"/>
    <w:rsid w:val="53074AA3"/>
    <w:rsid w:val="573A4FED"/>
    <w:rsid w:val="584B2674"/>
    <w:rsid w:val="5BFFC73A"/>
    <w:rsid w:val="5E44187C"/>
    <w:rsid w:val="5EE0038C"/>
    <w:rsid w:val="5FDF5265"/>
    <w:rsid w:val="63BF5C2B"/>
    <w:rsid w:val="644665CC"/>
    <w:rsid w:val="659842EF"/>
    <w:rsid w:val="65AC4B11"/>
    <w:rsid w:val="670E33AA"/>
    <w:rsid w:val="67BB51E4"/>
    <w:rsid w:val="6AEA9C18"/>
    <w:rsid w:val="6B054A88"/>
    <w:rsid w:val="6C7E3ACC"/>
    <w:rsid w:val="6D0B5A31"/>
    <w:rsid w:val="6EC34B5F"/>
    <w:rsid w:val="6F8E370B"/>
    <w:rsid w:val="6FEF8099"/>
    <w:rsid w:val="6FF6EEFD"/>
    <w:rsid w:val="71FD0AC2"/>
    <w:rsid w:val="76434265"/>
    <w:rsid w:val="76EFB3A9"/>
    <w:rsid w:val="76FE9B15"/>
    <w:rsid w:val="77433A3A"/>
    <w:rsid w:val="77D63E86"/>
    <w:rsid w:val="79F5D7C4"/>
    <w:rsid w:val="7ADB2036"/>
    <w:rsid w:val="7BFF14F7"/>
    <w:rsid w:val="7D5D42EC"/>
    <w:rsid w:val="7D723DB3"/>
    <w:rsid w:val="7DEF0708"/>
    <w:rsid w:val="7E353E5F"/>
    <w:rsid w:val="7EDFD655"/>
    <w:rsid w:val="7F74B52C"/>
    <w:rsid w:val="7F7582CE"/>
    <w:rsid w:val="7FDF2F99"/>
    <w:rsid w:val="7FFF247C"/>
    <w:rsid w:val="AFEF51B4"/>
    <w:rsid w:val="BDDD5508"/>
    <w:rsid w:val="BF2F706F"/>
    <w:rsid w:val="BFCF58D1"/>
    <w:rsid w:val="C4F7F25F"/>
    <w:rsid w:val="C7FB540A"/>
    <w:rsid w:val="CAF6EC4A"/>
    <w:rsid w:val="CC1F4FA1"/>
    <w:rsid w:val="CF5CE3BA"/>
    <w:rsid w:val="CFF6C37F"/>
    <w:rsid w:val="D2FBB765"/>
    <w:rsid w:val="D55DF1ED"/>
    <w:rsid w:val="D7FF2E81"/>
    <w:rsid w:val="DF5DF2EF"/>
    <w:rsid w:val="DF966BAD"/>
    <w:rsid w:val="DFEE3BE2"/>
    <w:rsid w:val="E87B54DD"/>
    <w:rsid w:val="EBCFD8B5"/>
    <w:rsid w:val="ED5F03D6"/>
    <w:rsid w:val="EEAF7A65"/>
    <w:rsid w:val="EFFF3E83"/>
    <w:rsid w:val="F70E1B2F"/>
    <w:rsid w:val="F777C342"/>
    <w:rsid w:val="F7BF252E"/>
    <w:rsid w:val="F9FD011D"/>
    <w:rsid w:val="FA6FDB5A"/>
    <w:rsid w:val="FB7C592D"/>
    <w:rsid w:val="FBDF8AD5"/>
    <w:rsid w:val="FDDFA71A"/>
    <w:rsid w:val="FDFDBBC4"/>
    <w:rsid w:val="FEFED3C4"/>
    <w:rsid w:val="FF774D52"/>
    <w:rsid w:val="FFAF8C84"/>
    <w:rsid w:val="FFB70F1B"/>
    <w:rsid w:val="FFBE74BC"/>
    <w:rsid w:val="FFDDA231"/>
    <w:rsid w:val="FFFD0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0"/>
    <w:rPr>
      <w:kern w:val="2"/>
      <w:sz w:val="18"/>
      <w:szCs w:val="18"/>
    </w:rPr>
  </w:style>
  <w:style w:type="character" w:customStyle="1" w:styleId="9">
    <w:name w:val="页脚 Char"/>
    <w:basedOn w:val="7"/>
    <w:link w:val="2"/>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江门市市公路事务中心</Company>
  <Pages>2</Pages>
  <Words>591</Words>
  <Characters>624</Characters>
  <Lines>5</Lines>
  <Paragraphs>1</Paragraphs>
  <TotalTime>0</TotalTime>
  <ScaleCrop>false</ScaleCrop>
  <LinksUpToDate>false</LinksUpToDate>
  <CharactersWithSpaces>666</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2023-07-14T20:11:00Z</dcterms:created>
  <dc:creator>Administrator</dc:creator>
  <cp:lastModifiedBy>WPS_1714102946</cp:lastModifiedBy>
  <cp:lastPrinted>2023-07-22T15:46:00Z</cp:lastPrinted>
  <dcterms:modified xsi:type="dcterms:W3CDTF">2026-01-23T14:52:34Z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35005FD55F72484FB576A2B3A11A4523_13</vt:lpwstr>
  </property>
  <property fmtid="{D5CDD505-2E9C-101B-9397-08002B2CF9AE}" pid="4" name="KSOTemplateDocerSaveRecord">
    <vt:lpwstr>eyJoZGlkIjoiMGMwNzZhN2EyNzczOGUwY2MxNDk4NmI1N2Q3YzAzMmEiLCJ1c2VySWQiOiIxNzIwMzQ0MTIzIn0=</vt:lpwstr>
  </property>
</Properties>
</file>