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3013478">
      <w:pPr>
        <w:pStyle w:val="2"/>
        <w:spacing w:line="540" w:lineRule="exact"/>
        <w:rPr>
          <w:rFonts w:ascii="宋体" w:hAnsi="宋体" w:eastAsia="宋体" w:cs="宋体"/>
          <w:sz w:val="32"/>
          <w:szCs w:val="32"/>
        </w:rPr>
      </w:pPr>
      <w:bookmarkStart w:id="0" w:name="_GoBack"/>
      <w:bookmarkEnd w:id="0"/>
    </w:p>
    <w:p w14:paraId="292D8854">
      <w:pPr>
        <w:spacing w:line="600" w:lineRule="exact"/>
        <w:jc w:val="center"/>
        <w:rPr>
          <w:rFonts w:hint="eastAsia" w:ascii="方正大标宋_GBK" w:hAnsi="方正大标宋_GBK" w:eastAsia="方正大标宋_GBK" w:cs="方正大标宋_GBK"/>
          <w:sz w:val="42"/>
          <w:szCs w:val="42"/>
          <w:lang w:eastAsia="zh-CN"/>
        </w:rPr>
      </w:pPr>
      <w:r>
        <w:rPr>
          <w:rFonts w:hint="eastAsia" w:ascii="方正大标宋_GBK" w:hAnsi="方正大标宋_GBK" w:eastAsia="方正大标宋_GBK" w:cs="方正大标宋_GBK"/>
          <w:sz w:val="42"/>
          <w:szCs w:val="42"/>
        </w:rPr>
        <w:t xml:space="preserve"> </w:t>
      </w:r>
      <w:r>
        <w:rPr>
          <w:rFonts w:hint="eastAsia" w:ascii="方正大标宋_GBK" w:hAnsi="方正大标宋_GBK" w:eastAsia="方正大标宋_GBK" w:cs="方正大标宋_GBK"/>
          <w:sz w:val="42"/>
          <w:szCs w:val="42"/>
          <w:lang w:eastAsia="zh-CN"/>
        </w:rPr>
        <w:t>《</w:t>
      </w:r>
      <w:r>
        <w:rPr>
          <w:rFonts w:hint="eastAsia" w:ascii="方正大标宋_GBK" w:hAnsi="方正大标宋_GBK" w:eastAsia="方正大标宋_GBK" w:cs="方正大标宋_GBK"/>
          <w:sz w:val="42"/>
          <w:szCs w:val="42"/>
        </w:rPr>
        <w:t>关于公布江门市“综合诊查类”和“放射治疗类”等医疗服务项目价格的通知</w:t>
      </w:r>
      <w:r>
        <w:rPr>
          <w:rFonts w:hint="eastAsia" w:ascii="方正大标宋_GBK" w:hAnsi="方正大标宋_GBK" w:eastAsia="方正大标宋_GBK" w:cs="方正大标宋_GBK"/>
          <w:sz w:val="42"/>
          <w:szCs w:val="42"/>
          <w:lang w:eastAsia="zh-CN"/>
        </w:rPr>
        <w:t>（征求</w:t>
      </w:r>
    </w:p>
    <w:p w14:paraId="5D28D329">
      <w:pPr>
        <w:spacing w:line="600" w:lineRule="exact"/>
        <w:jc w:val="center"/>
        <w:rPr>
          <w:rFonts w:hint="eastAsia" w:ascii="方正大标宋_GBK" w:hAnsi="方正大标宋_GBK" w:eastAsia="方正大标宋_GBK" w:cs="方正大标宋_GBK"/>
          <w:sz w:val="42"/>
          <w:szCs w:val="42"/>
        </w:rPr>
      </w:pPr>
      <w:r>
        <w:rPr>
          <w:rFonts w:hint="eastAsia" w:ascii="方正大标宋_GBK" w:hAnsi="方正大标宋_GBK" w:eastAsia="方正大标宋_GBK" w:cs="方正大标宋_GBK"/>
          <w:sz w:val="42"/>
          <w:szCs w:val="42"/>
          <w:lang w:eastAsia="zh-CN"/>
        </w:rPr>
        <w:t>意见稿）》</w:t>
      </w:r>
      <w:r>
        <w:rPr>
          <w:rFonts w:hint="eastAsia" w:ascii="方正大标宋_GBK" w:hAnsi="方正大标宋_GBK" w:eastAsia="方正大标宋_GBK" w:cs="方正大标宋_GBK"/>
          <w:sz w:val="42"/>
          <w:szCs w:val="42"/>
        </w:rPr>
        <w:t>的说明</w:t>
      </w:r>
    </w:p>
    <w:p w14:paraId="596606B5">
      <w:pPr>
        <w:adjustRightInd w:val="0"/>
        <w:snapToGrid w:val="0"/>
        <w:spacing w:line="600" w:lineRule="exact"/>
        <w:ind w:firstLine="640" w:firstLineChars="200"/>
        <w:rPr>
          <w:rFonts w:hint="eastAsia" w:ascii="仿宋_GB2312" w:hAnsi="仿宋_GB2312" w:eastAsia="仿宋_GB2312" w:cs="仿宋_GB2312"/>
          <w:sz w:val="32"/>
        </w:rPr>
      </w:pPr>
    </w:p>
    <w:p w14:paraId="4BC349D9">
      <w:pPr>
        <w:keepNext w:val="0"/>
        <w:keepLines w:val="0"/>
        <w:pageBreakBefore w:val="0"/>
        <w:widowControl w:val="0"/>
        <w:kinsoku/>
        <w:wordWrap/>
        <w:overflowPunct/>
        <w:topLinePunct w:val="0"/>
        <w:bidi w:val="0"/>
        <w:adjustRightInd w:val="0"/>
        <w:snapToGrid w:val="0"/>
        <w:spacing w:line="580" w:lineRule="exact"/>
        <w:ind w:firstLine="600" w:firstLineChars="200"/>
        <w:textAlignment w:val="auto"/>
        <w:rPr>
          <w:rFonts w:hint="default" w:ascii="Times New Roman" w:hAnsi="Times New Roman" w:eastAsia="方正仿宋_GBK" w:cs="Times New Roman"/>
          <w:b/>
          <w:bCs/>
          <w:sz w:val="30"/>
          <w:szCs w:val="30"/>
        </w:rPr>
      </w:pPr>
      <w:r>
        <w:rPr>
          <w:rFonts w:hint="default" w:ascii="Times New Roman" w:hAnsi="Times New Roman" w:eastAsia="方正仿宋_GBK" w:cs="Times New Roman"/>
          <w:sz w:val="30"/>
          <w:szCs w:val="30"/>
        </w:rPr>
        <w:t>根据《国家医疗保障局办公室关于进一步做好医疗服务价格管理工作的通知》（医保办发〔2022〕16号）、《广东省医疗保障局关于公布放射治疗类等医疗服务价格项目的通知》（粤医保发〔2025〕 35号）和《广东省医疗保障局关于公布综合诊查类医疗服务价格项目的通知》（粤医保发〔2025〕36号）等文件精神，为明确我市“综合诊查类”和“放射治疗类”等医疗服务项目价格，我局</w:t>
      </w:r>
      <w:r>
        <w:rPr>
          <w:rFonts w:hint="eastAsia" w:ascii="Times New Roman" w:hAnsi="Times New Roman" w:eastAsia="方正仿宋_GBK" w:cs="Times New Roman"/>
          <w:sz w:val="30"/>
          <w:szCs w:val="30"/>
          <w:lang w:eastAsia="zh-CN"/>
        </w:rPr>
        <w:t>起草</w:t>
      </w:r>
      <w:r>
        <w:rPr>
          <w:rFonts w:hint="default" w:ascii="Times New Roman" w:hAnsi="Times New Roman" w:eastAsia="方正仿宋_GBK" w:cs="Times New Roman"/>
          <w:sz w:val="30"/>
          <w:szCs w:val="30"/>
        </w:rPr>
        <w:t>了《关于公布江门市“综合诊查类”和“放射治疗类”等医疗服务项目价格的通知（征求意见稿）》，现就有关情况说明如下：</w:t>
      </w:r>
    </w:p>
    <w:p w14:paraId="2B86B7FF">
      <w:pPr>
        <w:keepNext w:val="0"/>
        <w:keepLines w:val="0"/>
        <w:pageBreakBefore w:val="0"/>
        <w:widowControl w:val="0"/>
        <w:kinsoku/>
        <w:wordWrap/>
        <w:overflowPunct/>
        <w:topLinePunct w:val="0"/>
        <w:bidi w:val="0"/>
        <w:adjustRightInd w:val="0"/>
        <w:snapToGrid w:val="0"/>
        <w:spacing w:line="580" w:lineRule="exact"/>
        <w:ind w:firstLine="600" w:firstLineChars="200"/>
        <w:textAlignment w:val="auto"/>
        <w:rPr>
          <w:rFonts w:hint="eastAsia" w:ascii="方正黑体_GBK" w:hAnsi="方正黑体_GBK" w:eastAsia="方正黑体_GBK" w:cs="方正黑体_GBK"/>
          <w:b/>
          <w:bCs/>
          <w:sz w:val="30"/>
          <w:szCs w:val="30"/>
        </w:rPr>
      </w:pPr>
      <w:r>
        <w:rPr>
          <w:rFonts w:hint="eastAsia" w:ascii="方正黑体_GBK" w:hAnsi="方正黑体_GBK" w:eastAsia="方正黑体_GBK" w:cs="方正黑体_GBK"/>
          <w:b w:val="0"/>
          <w:bCs w:val="0"/>
          <w:sz w:val="30"/>
          <w:szCs w:val="30"/>
        </w:rPr>
        <w:t>一、背景及必要性</w:t>
      </w:r>
    </w:p>
    <w:p w14:paraId="6BCFB8C2">
      <w:pPr>
        <w:keepNext w:val="0"/>
        <w:keepLines w:val="0"/>
        <w:pageBreakBefore w:val="0"/>
        <w:widowControl w:val="0"/>
        <w:kinsoku/>
        <w:wordWrap/>
        <w:overflowPunct/>
        <w:topLinePunct w:val="0"/>
        <w:bidi w:val="0"/>
        <w:adjustRightInd w:val="0"/>
        <w:snapToGrid w:val="0"/>
        <w:spacing w:line="580" w:lineRule="exact"/>
        <w:ind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省医保局印发</w:t>
      </w:r>
      <w:r>
        <w:rPr>
          <w:rFonts w:hint="eastAsia" w:ascii="Times New Roman" w:hAnsi="Times New Roman" w:eastAsia="方正仿宋_GBK" w:cs="Times New Roman"/>
          <w:sz w:val="30"/>
          <w:szCs w:val="30"/>
          <w:lang w:eastAsia="zh-CN"/>
        </w:rPr>
        <w:t>了</w:t>
      </w:r>
      <w:r>
        <w:rPr>
          <w:rFonts w:hint="default" w:ascii="Times New Roman" w:hAnsi="Times New Roman" w:eastAsia="方正仿宋_GBK" w:cs="Times New Roman"/>
          <w:sz w:val="30"/>
          <w:szCs w:val="30"/>
        </w:rPr>
        <w:t>《广东省医疗保障局关于公布放射治疗类等医疗服务价格项目的通知》</w:t>
      </w:r>
      <w:r>
        <w:rPr>
          <w:rFonts w:hint="eastAsia" w:ascii="Times New Roman" w:hAnsi="Times New Roman" w:eastAsia="方正仿宋_GBK" w:cs="Times New Roman"/>
          <w:sz w:val="30"/>
          <w:szCs w:val="30"/>
          <w:lang w:eastAsia="zh-CN"/>
        </w:rPr>
        <w:t>和</w:t>
      </w:r>
      <w:r>
        <w:rPr>
          <w:rFonts w:hint="default" w:ascii="Times New Roman" w:hAnsi="Times New Roman" w:eastAsia="方正仿宋_GBK" w:cs="Times New Roman"/>
          <w:sz w:val="30"/>
          <w:szCs w:val="30"/>
        </w:rPr>
        <w:t>《广东省医疗保障局关于公布综合诊查类医疗服务价格项目的通知》，对综合诊查类、放射治疗类、心血管系统类、妇科类、器官移植类</w:t>
      </w:r>
      <w:r>
        <w:rPr>
          <w:rFonts w:hint="eastAsia" w:ascii="Times New Roman" w:hAnsi="Times New Roman" w:eastAsia="方正仿宋_GBK" w:cs="Times New Roman"/>
          <w:sz w:val="30"/>
          <w:szCs w:val="30"/>
          <w:lang w:eastAsia="zh-CN"/>
        </w:rPr>
        <w:t>等</w:t>
      </w:r>
      <w:r>
        <w:rPr>
          <w:rFonts w:hint="default" w:ascii="Times New Roman" w:hAnsi="Times New Roman" w:eastAsia="方正仿宋_GBK" w:cs="Times New Roman"/>
          <w:sz w:val="30"/>
          <w:szCs w:val="30"/>
        </w:rPr>
        <w:t>医疗服务项目进行规范整合，制定项目的最高限价，并要求各地市</w:t>
      </w:r>
      <w:r>
        <w:rPr>
          <w:rFonts w:hint="eastAsia" w:ascii="Times New Roman" w:hAnsi="Times New Roman" w:eastAsia="方正仿宋_GBK" w:cs="Times New Roman"/>
          <w:sz w:val="30"/>
          <w:szCs w:val="30"/>
          <w:lang w:eastAsia="zh-CN"/>
        </w:rPr>
        <w:t>制定</w:t>
      </w:r>
      <w:r>
        <w:rPr>
          <w:rFonts w:hint="default" w:ascii="Times New Roman" w:hAnsi="Times New Roman" w:eastAsia="方正仿宋_GBK" w:cs="Times New Roman"/>
          <w:sz w:val="30"/>
          <w:szCs w:val="30"/>
        </w:rPr>
        <w:t>政府指导价。</w:t>
      </w:r>
    </w:p>
    <w:p w14:paraId="4DCE067E">
      <w:pPr>
        <w:keepNext w:val="0"/>
        <w:keepLines w:val="0"/>
        <w:pageBreakBefore w:val="0"/>
        <w:widowControl w:val="0"/>
        <w:kinsoku/>
        <w:wordWrap/>
        <w:overflowPunct/>
        <w:topLinePunct w:val="0"/>
        <w:bidi w:val="0"/>
        <w:adjustRightInd w:val="0"/>
        <w:snapToGrid w:val="0"/>
        <w:spacing w:line="580" w:lineRule="exact"/>
        <w:ind w:firstLine="600" w:firstLineChars="200"/>
        <w:textAlignment w:val="auto"/>
        <w:rPr>
          <w:rFonts w:hint="eastAsia" w:ascii="方正黑体_GBK" w:hAnsi="方正黑体_GBK" w:eastAsia="方正黑体_GBK" w:cs="方正黑体_GBK"/>
          <w:b/>
          <w:bCs/>
          <w:sz w:val="30"/>
          <w:szCs w:val="30"/>
        </w:rPr>
      </w:pPr>
      <w:r>
        <w:rPr>
          <w:rFonts w:hint="eastAsia" w:ascii="方正黑体_GBK" w:hAnsi="方正黑体_GBK" w:eastAsia="方正黑体_GBK" w:cs="方正黑体_GBK"/>
          <w:b w:val="0"/>
          <w:bCs w:val="0"/>
          <w:sz w:val="30"/>
          <w:szCs w:val="30"/>
        </w:rPr>
        <w:t>二、定价文件依据</w:t>
      </w:r>
    </w:p>
    <w:p w14:paraId="31263FF2">
      <w:pPr>
        <w:pStyle w:val="2"/>
        <w:keepNext w:val="0"/>
        <w:keepLines w:val="0"/>
        <w:pageBreakBefore w:val="0"/>
        <w:widowControl w:val="0"/>
        <w:kinsoku/>
        <w:wordWrap/>
        <w:overflowPunct/>
        <w:topLinePunct w:val="0"/>
        <w:bidi w:val="0"/>
        <w:spacing w:line="580" w:lineRule="exact"/>
        <w:ind w:firstLine="64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color w:val="000000" w:themeColor="text1"/>
          <w:kern w:val="2"/>
          <w:sz w:val="30"/>
          <w:szCs w:val="30"/>
          <w:lang w:val="en-US" w:eastAsia="zh-CN"/>
          <w14:textFill>
            <w14:solidFill>
              <w14:schemeClr w14:val="tx1"/>
            </w14:solidFill>
          </w14:textFill>
        </w:rPr>
        <w:t>（一）</w:t>
      </w:r>
      <w:r>
        <w:rPr>
          <w:rFonts w:hint="default" w:ascii="Times New Roman" w:hAnsi="Times New Roman" w:eastAsia="方正仿宋_GBK" w:cs="Times New Roman"/>
          <w:sz w:val="30"/>
          <w:szCs w:val="30"/>
        </w:rPr>
        <w:t>《广东省医疗保障局关于公布放射治疗类等医疗服务价格项目的通知》（粤医保发〔2025〕35号）</w:t>
      </w:r>
    </w:p>
    <w:p w14:paraId="5428E332">
      <w:pPr>
        <w:pStyle w:val="2"/>
        <w:keepNext w:val="0"/>
        <w:keepLines w:val="0"/>
        <w:pageBreakBefore w:val="0"/>
        <w:widowControl w:val="0"/>
        <w:kinsoku/>
        <w:wordWrap/>
        <w:overflowPunct/>
        <w:topLinePunct w:val="0"/>
        <w:bidi w:val="0"/>
        <w:spacing w:line="580" w:lineRule="exact"/>
        <w:ind w:firstLine="64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color w:val="000000" w:themeColor="text1"/>
          <w:kern w:val="2"/>
          <w:sz w:val="30"/>
          <w:szCs w:val="30"/>
          <w:lang w:val="en-US" w:eastAsia="zh-CN"/>
          <w14:textFill>
            <w14:solidFill>
              <w14:schemeClr w14:val="tx1"/>
            </w14:solidFill>
          </w14:textFill>
        </w:rPr>
        <w:t>（二）</w:t>
      </w:r>
      <w:r>
        <w:rPr>
          <w:rFonts w:hint="default" w:ascii="Times New Roman" w:hAnsi="Times New Roman" w:eastAsia="方正仿宋_GBK" w:cs="Times New Roman"/>
          <w:sz w:val="30"/>
          <w:szCs w:val="30"/>
        </w:rPr>
        <w:t>《广东省医疗保障局关于公布综合诊查类医疗服务价格项目的通知》（粤医保发〔2025〕36号）</w:t>
      </w:r>
    </w:p>
    <w:p w14:paraId="3348F866">
      <w:pPr>
        <w:pStyle w:val="2"/>
        <w:keepNext w:val="0"/>
        <w:keepLines w:val="0"/>
        <w:pageBreakBefore w:val="0"/>
        <w:widowControl w:val="0"/>
        <w:kinsoku/>
        <w:wordWrap/>
        <w:overflowPunct/>
        <w:topLinePunct w:val="0"/>
        <w:bidi w:val="0"/>
        <w:spacing w:line="580" w:lineRule="exact"/>
        <w:ind w:firstLine="640"/>
        <w:textAlignment w:val="auto"/>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eastAsia="zh-CN"/>
        </w:rPr>
        <w:t>（三）《广东省医疗保障局关于公布美容整形类和脑机接口等医疗服务价格项目的通知》</w:t>
      </w:r>
      <w:r>
        <w:rPr>
          <w:rFonts w:hint="default" w:ascii="Times New Roman" w:hAnsi="Times New Roman" w:eastAsia="方正仿宋_GBK" w:cs="Times New Roman"/>
          <w:sz w:val="30"/>
          <w:szCs w:val="30"/>
        </w:rPr>
        <w:t>（粤医保发〔2025〕</w:t>
      </w:r>
      <w:r>
        <w:rPr>
          <w:rFonts w:hint="eastAsia" w:ascii="Times New Roman" w:hAnsi="Times New Roman" w:eastAsia="方正仿宋_GBK" w:cs="Times New Roman"/>
          <w:sz w:val="30"/>
          <w:szCs w:val="30"/>
          <w:lang w:val="en-US" w:eastAsia="zh-CN"/>
        </w:rPr>
        <w:t>27</w:t>
      </w:r>
      <w:r>
        <w:rPr>
          <w:rFonts w:hint="default" w:ascii="Times New Roman" w:hAnsi="Times New Roman" w:eastAsia="方正仿宋_GBK" w:cs="Times New Roman"/>
          <w:sz w:val="30"/>
          <w:szCs w:val="30"/>
        </w:rPr>
        <w:t>号）</w:t>
      </w:r>
    </w:p>
    <w:p w14:paraId="022599A5">
      <w:pPr>
        <w:keepNext w:val="0"/>
        <w:keepLines w:val="0"/>
        <w:pageBreakBefore w:val="0"/>
        <w:widowControl w:val="0"/>
        <w:kinsoku/>
        <w:wordWrap/>
        <w:overflowPunct/>
        <w:topLinePunct w:val="0"/>
        <w:bidi w:val="0"/>
        <w:adjustRightInd w:val="0"/>
        <w:snapToGrid w:val="0"/>
        <w:spacing w:line="580" w:lineRule="exact"/>
        <w:ind w:firstLine="600" w:firstLineChars="200"/>
        <w:textAlignment w:val="auto"/>
        <w:rPr>
          <w:rFonts w:hint="default" w:ascii="Times New Roman" w:hAnsi="Times New Roman" w:eastAsia="方正仿宋_GBK" w:cs="Times New Roman"/>
          <w:color w:val="000000" w:themeColor="text1"/>
          <w:kern w:val="2"/>
          <w:sz w:val="30"/>
          <w:szCs w:val="30"/>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30"/>
          <w:szCs w:val="30"/>
          <w:lang w:val="en-US" w:eastAsia="zh-CN"/>
          <w14:textFill>
            <w14:solidFill>
              <w14:schemeClr w14:val="tx1"/>
            </w14:solidFill>
          </w14:textFill>
        </w:rPr>
        <w:t>（</w:t>
      </w:r>
      <w:r>
        <w:rPr>
          <w:rFonts w:hint="eastAsia" w:ascii="Times New Roman" w:hAnsi="Times New Roman" w:eastAsia="方正仿宋_GBK" w:cs="Times New Roman"/>
          <w:color w:val="000000" w:themeColor="text1"/>
          <w:kern w:val="2"/>
          <w:sz w:val="30"/>
          <w:szCs w:val="30"/>
          <w:lang w:val="en-US" w:eastAsia="zh-CN"/>
          <w14:textFill>
            <w14:solidFill>
              <w14:schemeClr w14:val="tx1"/>
            </w14:solidFill>
          </w14:textFill>
        </w:rPr>
        <w:t>四</w:t>
      </w:r>
      <w:r>
        <w:rPr>
          <w:rFonts w:hint="default" w:ascii="Times New Roman" w:hAnsi="Times New Roman" w:eastAsia="方正仿宋_GBK" w:cs="Times New Roman"/>
          <w:color w:val="000000" w:themeColor="text1"/>
          <w:kern w:val="2"/>
          <w:sz w:val="30"/>
          <w:szCs w:val="30"/>
          <w:lang w:val="en-US" w:eastAsia="zh-CN"/>
          <w14:textFill>
            <w14:solidFill>
              <w14:schemeClr w14:val="tx1"/>
            </w14:solidFill>
          </w14:textFill>
        </w:rPr>
        <w:t>）《广东省发展改革委关于印发&lt;关于政府制定价格行为规则的实施细则（2024年修订）&gt;的通知》（粤发改规〔2024〕3号）</w:t>
      </w:r>
    </w:p>
    <w:p w14:paraId="3924A777">
      <w:pPr>
        <w:keepNext w:val="0"/>
        <w:keepLines w:val="0"/>
        <w:pageBreakBefore w:val="0"/>
        <w:widowControl w:val="0"/>
        <w:kinsoku/>
        <w:wordWrap/>
        <w:overflowPunct/>
        <w:topLinePunct w:val="0"/>
        <w:bidi w:val="0"/>
        <w:spacing w:line="580" w:lineRule="exact"/>
        <w:ind w:firstLine="600" w:firstLineChars="200"/>
        <w:textAlignment w:val="auto"/>
        <w:rPr>
          <w:rFonts w:hint="eastAsia" w:ascii="方正黑体_GBK" w:hAnsi="方正黑体_GBK" w:eastAsia="方正黑体_GBK" w:cs="方正黑体_GBK"/>
          <w:b/>
          <w:bCs/>
          <w:sz w:val="30"/>
          <w:szCs w:val="30"/>
          <w:lang w:eastAsia="zh-CN"/>
        </w:rPr>
      </w:pPr>
      <w:r>
        <w:rPr>
          <w:rFonts w:hint="eastAsia" w:ascii="方正黑体_GBK" w:hAnsi="方正黑体_GBK" w:eastAsia="方正黑体_GBK" w:cs="方正黑体_GBK"/>
          <w:b w:val="0"/>
          <w:bCs w:val="0"/>
          <w:sz w:val="30"/>
          <w:szCs w:val="30"/>
        </w:rPr>
        <w:t>三、</w:t>
      </w:r>
      <w:r>
        <w:rPr>
          <w:rFonts w:hint="eastAsia" w:ascii="方正黑体_GBK" w:hAnsi="方正黑体_GBK" w:eastAsia="方正黑体_GBK" w:cs="方正黑体_GBK"/>
          <w:b w:val="0"/>
          <w:bCs w:val="0"/>
          <w:sz w:val="30"/>
          <w:szCs w:val="30"/>
          <w:lang w:eastAsia="zh-CN"/>
        </w:rPr>
        <w:t>主要内容</w:t>
      </w:r>
    </w:p>
    <w:p w14:paraId="43912BC1">
      <w:pPr>
        <w:keepNext w:val="0"/>
        <w:keepLines w:val="0"/>
        <w:pageBreakBefore w:val="0"/>
        <w:widowControl w:val="0"/>
        <w:kinsoku/>
        <w:wordWrap/>
        <w:overflowPunct/>
        <w:topLinePunct w:val="0"/>
        <w:bidi w:val="0"/>
        <w:spacing w:line="580" w:lineRule="exact"/>
        <w:ind w:firstLine="600" w:firstLineChars="200"/>
        <w:textAlignment w:val="auto"/>
        <w:rPr>
          <w:rFonts w:hint="default" w:ascii="Times New Roman" w:hAnsi="Times New Roman" w:eastAsia="方正仿宋_GBK" w:cs="Times New Roman"/>
          <w:sz w:val="30"/>
          <w:szCs w:val="30"/>
          <w:lang w:eastAsia="zh-CN"/>
        </w:rPr>
      </w:pPr>
      <w:r>
        <w:rPr>
          <w:rFonts w:hint="default" w:ascii="Times New Roman" w:hAnsi="Times New Roman" w:eastAsia="方正仿宋_GBK" w:cs="Times New Roman"/>
          <w:sz w:val="30"/>
          <w:szCs w:val="30"/>
          <w:lang w:eastAsia="zh-CN"/>
        </w:rPr>
        <w:t>对</w:t>
      </w:r>
      <w:r>
        <w:rPr>
          <w:rFonts w:hint="default" w:ascii="Times New Roman" w:hAnsi="Times New Roman" w:eastAsia="方正仿宋_GBK" w:cs="Times New Roman"/>
          <w:sz w:val="30"/>
          <w:szCs w:val="30"/>
        </w:rPr>
        <w:t>综合诊查类、放射治疗类、心血管系统类、妇科类、器官移植类</w:t>
      </w:r>
      <w:r>
        <w:rPr>
          <w:rFonts w:hint="eastAsia" w:ascii="Times New Roman" w:hAnsi="Times New Roman" w:eastAsia="方正仿宋_GBK" w:cs="Times New Roman"/>
          <w:sz w:val="30"/>
          <w:szCs w:val="30"/>
          <w:lang w:eastAsia="zh-CN"/>
        </w:rPr>
        <w:t>等</w:t>
      </w:r>
      <w:r>
        <w:rPr>
          <w:rFonts w:hint="default" w:ascii="Times New Roman" w:hAnsi="Times New Roman" w:eastAsia="方正仿宋_GBK" w:cs="Times New Roman"/>
          <w:sz w:val="30"/>
          <w:szCs w:val="30"/>
          <w:lang w:eastAsia="zh-CN"/>
        </w:rPr>
        <w:t>医疗服务项目进行规范整合，并对省公布的</w:t>
      </w:r>
      <w:r>
        <w:rPr>
          <w:rFonts w:hint="default" w:ascii="Times New Roman" w:hAnsi="Times New Roman" w:eastAsia="方正仿宋_GBK"/>
          <w:color w:val="auto"/>
          <w:sz w:val="30"/>
          <w:szCs w:val="30"/>
        </w:rPr>
        <w:t>综合诊查类项目35项</w:t>
      </w:r>
      <w:r>
        <w:rPr>
          <w:rFonts w:hint="default" w:ascii="Times New Roman" w:hAnsi="Times New Roman" w:eastAsia="方正仿宋_GBK" w:cs="Times New Roman"/>
          <w:sz w:val="30"/>
          <w:szCs w:val="30"/>
          <w:lang w:eastAsia="zh-CN"/>
        </w:rPr>
        <w:t>、放射治疗类项目15项、心血管系统类项目129项、妇科类项目85项、器官移植类项目12项及其相应加收、扩展项目和我市暂未定价的</w:t>
      </w:r>
      <w:r>
        <w:rPr>
          <w:rFonts w:hint="default" w:ascii="Times New Roman" w:hAnsi="Times New Roman" w:eastAsia="方正仿宋_GBK" w:cs="Times New Roman"/>
          <w:sz w:val="30"/>
          <w:szCs w:val="30"/>
          <w:lang w:val="en-US" w:eastAsia="zh-CN"/>
        </w:rPr>
        <w:t>“侵入式脑机接口置入费”等3项脑机接口价格项目</w:t>
      </w:r>
      <w:r>
        <w:rPr>
          <w:rFonts w:hint="default" w:ascii="Times New Roman" w:hAnsi="Times New Roman" w:eastAsia="方正仿宋_GBK" w:cs="Times New Roman"/>
          <w:sz w:val="30"/>
          <w:szCs w:val="30"/>
          <w:lang w:eastAsia="zh-CN"/>
        </w:rPr>
        <w:t>按照以下原则进行定价：</w:t>
      </w:r>
    </w:p>
    <w:p w14:paraId="67E84E48">
      <w:pPr>
        <w:keepNext w:val="0"/>
        <w:keepLines w:val="0"/>
        <w:pageBreakBefore w:val="0"/>
        <w:widowControl w:val="0"/>
        <w:kinsoku/>
        <w:wordWrap/>
        <w:overflowPunct/>
        <w:topLinePunct w:val="0"/>
        <w:bidi w:val="0"/>
        <w:spacing w:line="580" w:lineRule="exact"/>
        <w:ind w:firstLine="600" w:firstLineChars="200"/>
        <w:textAlignment w:val="auto"/>
        <w:rPr>
          <w:rFonts w:hint="default" w:ascii="Times New Roman" w:hAnsi="Times New Roman" w:eastAsia="方正仿宋_GBK" w:cs="Times New Roman"/>
          <w:sz w:val="30"/>
          <w:szCs w:val="30"/>
          <w:lang w:eastAsia="zh-CN"/>
        </w:rPr>
      </w:pPr>
      <w:r>
        <w:rPr>
          <w:rFonts w:hint="default" w:ascii="Times New Roman" w:hAnsi="Times New Roman" w:eastAsia="方正仿宋_GBK" w:cs="Times New Roman"/>
          <w:sz w:val="30"/>
          <w:szCs w:val="30"/>
          <w:lang w:eastAsia="zh-CN"/>
        </w:rPr>
        <w:t>（一）医疗机构成本调查平均值高于省最高限价的医疗服务价格项目，按省最高限价定价；</w:t>
      </w:r>
    </w:p>
    <w:p w14:paraId="19412E90">
      <w:pPr>
        <w:keepNext w:val="0"/>
        <w:keepLines w:val="0"/>
        <w:pageBreakBefore w:val="0"/>
        <w:widowControl w:val="0"/>
        <w:kinsoku/>
        <w:wordWrap/>
        <w:overflowPunct/>
        <w:topLinePunct w:val="0"/>
        <w:bidi w:val="0"/>
        <w:spacing w:line="580" w:lineRule="exact"/>
        <w:ind w:firstLine="600" w:firstLineChars="200"/>
        <w:textAlignment w:val="auto"/>
        <w:rPr>
          <w:rFonts w:hint="default" w:ascii="Times New Roman" w:hAnsi="Times New Roman" w:eastAsia="方正仿宋_GBK" w:cs="Times New Roman"/>
          <w:sz w:val="30"/>
          <w:szCs w:val="30"/>
          <w:lang w:eastAsia="zh-CN"/>
        </w:rPr>
      </w:pPr>
      <w:r>
        <w:rPr>
          <w:rFonts w:hint="default" w:ascii="Times New Roman" w:hAnsi="Times New Roman" w:eastAsia="方正仿宋_GBK" w:cs="Times New Roman"/>
          <w:sz w:val="30"/>
          <w:szCs w:val="30"/>
          <w:lang w:eastAsia="zh-CN"/>
        </w:rPr>
        <w:t>（二）医疗机构成本调查平均值低于省最高限价的医疗服务价格项目，按医疗机构成本调查结果定价</w:t>
      </w:r>
      <w:r>
        <w:rPr>
          <w:rFonts w:hint="eastAsia" w:ascii="Times New Roman" w:hAnsi="Times New Roman" w:eastAsia="方正仿宋_GBK" w:cs="Times New Roman"/>
          <w:sz w:val="30"/>
          <w:szCs w:val="30"/>
          <w:lang w:eastAsia="zh-CN"/>
        </w:rPr>
        <w:t>；</w:t>
      </w:r>
    </w:p>
    <w:p w14:paraId="16DCB426">
      <w:pPr>
        <w:pStyle w:val="2"/>
        <w:keepNext w:val="0"/>
        <w:keepLines w:val="0"/>
        <w:pageBreakBefore w:val="0"/>
        <w:widowControl w:val="0"/>
        <w:kinsoku/>
        <w:wordWrap/>
        <w:overflowPunct/>
        <w:topLinePunct w:val="0"/>
        <w:bidi w:val="0"/>
        <w:spacing w:line="580" w:lineRule="exact"/>
        <w:ind w:firstLine="600" w:firstLineChars="200"/>
        <w:textAlignment w:val="auto"/>
        <w:rPr>
          <w:rFonts w:hint="default" w:ascii="Times New Roman" w:hAnsi="Times New Roman" w:eastAsia="方正仿宋_GBK" w:cs="Times New Roman"/>
          <w:sz w:val="30"/>
          <w:szCs w:val="30"/>
          <w:lang w:eastAsia="zh-CN"/>
        </w:rPr>
      </w:pPr>
      <w:r>
        <w:rPr>
          <w:rFonts w:hint="default" w:ascii="Times New Roman" w:hAnsi="Times New Roman" w:eastAsia="方正仿宋_GBK" w:cs="Times New Roman"/>
          <w:sz w:val="30"/>
          <w:szCs w:val="30"/>
          <w:lang w:eastAsia="zh-CN"/>
        </w:rPr>
        <w:t>（三）根据省</w:t>
      </w:r>
      <w:r>
        <w:rPr>
          <w:rFonts w:hint="eastAsia" w:ascii="Times New Roman" w:hAnsi="Times New Roman" w:eastAsia="方正仿宋_GBK" w:cs="Times New Roman"/>
          <w:sz w:val="30"/>
          <w:szCs w:val="30"/>
          <w:lang w:eastAsia="zh-CN"/>
        </w:rPr>
        <w:t>文件</w:t>
      </w:r>
      <w:r>
        <w:rPr>
          <w:rFonts w:hint="default" w:ascii="Times New Roman" w:hAnsi="Times New Roman" w:eastAsia="方正仿宋_GBK" w:cs="Times New Roman"/>
          <w:sz w:val="30"/>
          <w:szCs w:val="30"/>
          <w:lang w:eastAsia="zh-CN"/>
        </w:rPr>
        <w:t>要求，对各类门诊诊查费、一般诊疗费、各类急诊诊查费、互联网复诊诊查费、家庭病床建床费</w:t>
      </w:r>
      <w:r>
        <w:rPr>
          <w:rFonts w:hint="eastAsia" w:ascii="Times New Roman" w:hAnsi="Times New Roman" w:eastAsia="方正仿宋_GBK" w:cs="Times New Roman"/>
          <w:sz w:val="30"/>
          <w:szCs w:val="30"/>
          <w:lang w:eastAsia="zh-CN"/>
        </w:rPr>
        <w:t>等</w:t>
      </w:r>
      <w:r>
        <w:rPr>
          <w:rFonts w:hint="default" w:ascii="Times New Roman" w:hAnsi="Times New Roman" w:eastAsia="方正仿宋_GBK" w:cs="Times New Roman"/>
          <w:sz w:val="30"/>
          <w:szCs w:val="30"/>
          <w:lang w:eastAsia="zh-CN"/>
        </w:rPr>
        <w:t>项目，原则上按本地现行项目价格直接平移</w:t>
      </w:r>
      <w:r>
        <w:rPr>
          <w:rFonts w:hint="eastAsia" w:ascii="Times New Roman" w:hAnsi="Times New Roman" w:eastAsia="方正仿宋_GBK" w:cs="Times New Roman"/>
          <w:sz w:val="30"/>
          <w:szCs w:val="30"/>
          <w:lang w:eastAsia="zh-CN"/>
        </w:rPr>
        <w:t>；</w:t>
      </w:r>
    </w:p>
    <w:p w14:paraId="0EDD79E5">
      <w:pPr>
        <w:numPr>
          <w:ilvl w:val="0"/>
          <w:numId w:val="0"/>
        </w:numPr>
        <w:spacing w:line="540" w:lineRule="exact"/>
        <w:ind w:firstLine="600" w:firstLineChars="200"/>
        <w:rPr>
          <w:rFonts w:hint="default" w:ascii="Times New Roman" w:hAnsi="Times New Roman" w:eastAsia="方正仿宋_GBK" w:cs="Times New Roman"/>
          <w:sz w:val="30"/>
          <w:szCs w:val="30"/>
          <w:lang w:eastAsia="zh-CN"/>
        </w:rPr>
      </w:pPr>
      <w:r>
        <w:rPr>
          <w:rFonts w:hint="default" w:ascii="Times New Roman" w:hAnsi="Times New Roman" w:eastAsia="方正仿宋_GBK" w:cs="Times New Roman"/>
          <w:sz w:val="30"/>
          <w:szCs w:val="30"/>
          <w:lang w:eastAsia="zh-CN"/>
        </w:rPr>
        <w:t>（四）根据《江门市非营利性医疗机构医疗服务价格》</w:t>
      </w:r>
      <w:r>
        <w:rPr>
          <w:rFonts w:hint="eastAsia" w:ascii="Times New Roman" w:hAnsi="Times New Roman" w:eastAsia="方正仿宋_GBK" w:cs="Times New Roman"/>
          <w:sz w:val="30"/>
          <w:szCs w:val="30"/>
          <w:lang w:eastAsia="zh-CN"/>
        </w:rPr>
        <w:t>（江价</w:t>
      </w:r>
      <w:r>
        <w:rPr>
          <w:rFonts w:hint="default" w:ascii="Times New Roman" w:hAnsi="Times New Roman" w:eastAsia="方正仿宋_GBK" w:cs="Times New Roman"/>
          <w:sz w:val="30"/>
          <w:szCs w:val="30"/>
          <w:lang w:eastAsia="zh-CN"/>
        </w:rPr>
        <w:t>〔2008〕246号</w:t>
      </w:r>
      <w:r>
        <w:rPr>
          <w:rFonts w:hint="eastAsia" w:ascii="Times New Roman" w:hAnsi="Times New Roman" w:eastAsia="方正仿宋_GBK" w:cs="Times New Roman"/>
          <w:sz w:val="30"/>
          <w:szCs w:val="30"/>
          <w:lang w:eastAsia="zh-CN"/>
        </w:rPr>
        <w:t>）</w:t>
      </w:r>
      <w:r>
        <w:rPr>
          <w:rFonts w:hint="default" w:ascii="Times New Roman" w:hAnsi="Times New Roman" w:eastAsia="方正仿宋_GBK" w:cs="Times New Roman"/>
          <w:sz w:val="30"/>
          <w:szCs w:val="30"/>
          <w:lang w:eastAsia="zh-CN"/>
        </w:rPr>
        <w:t>要求，本批定价的项目参照我市既往做法，城市三级按我市最高限价设置，城市二级和县市一级下浮5%，乡镇一级下浮10%。儿童加收项目的加收比例统一按我市现行政策加收10%执行。</w:t>
      </w:r>
      <w:r>
        <w:rPr>
          <w:rFonts w:hint="eastAsia" w:ascii="Times New Roman" w:hAnsi="Times New Roman" w:eastAsia="方正仿宋_GBK" w:cs="Times New Roman"/>
          <w:sz w:val="30"/>
          <w:szCs w:val="30"/>
          <w:lang w:val="en-US" w:eastAsia="zh-CN"/>
        </w:rPr>
        <w:t>结合我市项目现行定价，并根据《广东省医疗保障局关于完善公立医疗机构医疗服务价格管理机制的通知》</w:t>
      </w:r>
      <w:r>
        <w:rPr>
          <w:rFonts w:hint="default" w:ascii="Times New Roman" w:hAnsi="Times New Roman" w:eastAsia="方正仿宋_GBK"/>
          <w:sz w:val="30"/>
          <w:szCs w:val="30"/>
        </w:rPr>
        <w:t>（粤医保</w:t>
      </w:r>
      <w:r>
        <w:rPr>
          <w:rFonts w:hint="eastAsia" w:ascii="Times New Roman" w:hAnsi="Times New Roman" w:eastAsia="方正仿宋_GBK"/>
          <w:sz w:val="30"/>
          <w:szCs w:val="30"/>
          <w:lang w:eastAsia="zh-CN"/>
        </w:rPr>
        <w:t>规</w:t>
      </w:r>
      <w:r>
        <w:rPr>
          <w:rFonts w:hint="default" w:ascii="Times New Roman" w:hAnsi="Times New Roman" w:eastAsia="方正仿宋_GBK"/>
          <w:sz w:val="30"/>
          <w:szCs w:val="30"/>
        </w:rPr>
        <w:t>〔2025〕5号）</w:t>
      </w:r>
      <w:r>
        <w:rPr>
          <w:rFonts w:hint="eastAsia" w:ascii="Times New Roman" w:hAnsi="Times New Roman" w:eastAsia="方正仿宋_GBK" w:cs="Times New Roman"/>
          <w:sz w:val="30"/>
          <w:szCs w:val="30"/>
          <w:lang w:val="en-US" w:eastAsia="zh-CN"/>
        </w:rPr>
        <w:t>文件精神，均质化程度高、使用场景或技术差异不大的项目可采取同城同价，我市门诊诊查费（便民门诊）、一般诊疗费和救护车相关项目不设价差。</w:t>
      </w:r>
    </w:p>
    <w:p w14:paraId="723A6A4E">
      <w:pPr>
        <w:pStyle w:val="2"/>
        <w:keepNext w:val="0"/>
        <w:keepLines w:val="0"/>
        <w:pageBreakBefore w:val="0"/>
        <w:widowControl w:val="0"/>
        <w:kinsoku/>
        <w:wordWrap/>
        <w:overflowPunct/>
        <w:topLinePunct w:val="0"/>
        <w:bidi w:val="0"/>
        <w:spacing w:line="580" w:lineRule="exact"/>
        <w:ind w:firstLine="600" w:firstLineChars="200"/>
        <w:textAlignment w:val="auto"/>
        <w:rPr>
          <w:rFonts w:hint="default" w:ascii="Times New Roman" w:hAnsi="Times New Roman" w:eastAsia="方正仿宋_GBK" w:cs="Times New Roman"/>
          <w:sz w:val="30"/>
          <w:szCs w:val="30"/>
          <w:lang w:eastAsia="zh-CN"/>
        </w:rPr>
      </w:pPr>
      <w:r>
        <w:rPr>
          <w:rFonts w:hint="eastAsia" w:ascii="Times New Roman" w:hAnsi="Times New Roman" w:eastAsia="方正仿宋_GBK" w:cs="Times New Roman"/>
          <w:sz w:val="30"/>
          <w:szCs w:val="30"/>
          <w:lang w:eastAsia="zh-CN"/>
        </w:rPr>
        <w:t>（五）我市既往设立的，本批次涉及的五个类别儿童加收项目，将随本次项目规范整合工作同步废止。</w:t>
      </w:r>
    </w:p>
    <w:p w14:paraId="3D4A72CA">
      <w:pPr>
        <w:pStyle w:val="2"/>
        <w:keepNext w:val="0"/>
        <w:keepLines w:val="0"/>
        <w:pageBreakBefore w:val="0"/>
        <w:widowControl w:val="0"/>
        <w:kinsoku/>
        <w:wordWrap/>
        <w:overflowPunct/>
        <w:topLinePunct w:val="0"/>
        <w:bidi w:val="0"/>
        <w:spacing w:line="580" w:lineRule="exact"/>
        <w:ind w:firstLine="600" w:firstLineChars="200"/>
        <w:textAlignment w:val="auto"/>
        <w:rPr>
          <w:rFonts w:hint="eastAsia" w:ascii="方正黑体_GBK" w:hAnsi="方正黑体_GBK" w:eastAsia="方正黑体_GBK" w:cs="方正黑体_GBK"/>
          <w:sz w:val="30"/>
          <w:szCs w:val="30"/>
          <w:lang w:eastAsia="zh-CN"/>
        </w:rPr>
      </w:pPr>
      <w:r>
        <w:rPr>
          <w:rFonts w:hint="eastAsia" w:ascii="方正黑体_GBK" w:hAnsi="方正黑体_GBK" w:eastAsia="方正黑体_GBK" w:cs="方正黑体_GBK"/>
          <w:b w:val="0"/>
          <w:bCs w:val="0"/>
          <w:sz w:val="30"/>
          <w:szCs w:val="30"/>
          <w:lang w:eastAsia="zh-CN"/>
        </w:rPr>
        <w:t>四</w:t>
      </w:r>
      <w:r>
        <w:rPr>
          <w:rFonts w:hint="eastAsia" w:ascii="方正黑体_GBK" w:hAnsi="方正黑体_GBK" w:eastAsia="方正黑体_GBK" w:cs="方正黑体_GBK"/>
          <w:b w:val="0"/>
          <w:bCs w:val="0"/>
          <w:sz w:val="30"/>
          <w:szCs w:val="30"/>
        </w:rPr>
        <w:t>、</w:t>
      </w:r>
      <w:r>
        <w:rPr>
          <w:rFonts w:hint="eastAsia" w:ascii="方正黑体_GBK" w:hAnsi="方正黑体_GBK" w:eastAsia="方正黑体_GBK" w:cs="方正黑体_GBK"/>
          <w:b w:val="0"/>
          <w:bCs w:val="0"/>
          <w:sz w:val="30"/>
          <w:szCs w:val="30"/>
          <w:lang w:eastAsia="zh-CN"/>
        </w:rPr>
        <w:t>实施时间</w:t>
      </w:r>
    </w:p>
    <w:p w14:paraId="7B168BC7">
      <w:pPr>
        <w:pStyle w:val="2"/>
        <w:keepNext w:val="0"/>
        <w:keepLines w:val="0"/>
        <w:pageBreakBefore w:val="0"/>
        <w:widowControl w:val="0"/>
        <w:numPr>
          <w:ilvl w:val="-1"/>
          <w:numId w:val="0"/>
        </w:numPr>
        <w:kinsoku/>
        <w:wordWrap/>
        <w:overflowPunct/>
        <w:topLinePunct w:val="0"/>
        <w:bidi w:val="0"/>
        <w:spacing w:line="580" w:lineRule="exact"/>
        <w:ind w:firstLine="600" w:firstLineChars="200"/>
        <w:textAlignment w:val="auto"/>
        <w:rPr>
          <w:rFonts w:hint="default" w:ascii="Times New Roman" w:hAnsi="Times New Roman" w:eastAsia="方正仿宋_GBK" w:cs="Times New Roman"/>
          <w:color w:val="auto"/>
          <w:kern w:val="2"/>
          <w:sz w:val="30"/>
          <w:szCs w:val="30"/>
          <w:lang w:val="en-US" w:eastAsia="zh-CN"/>
        </w:rPr>
      </w:pPr>
      <w:r>
        <w:rPr>
          <w:rFonts w:hint="default" w:ascii="Times New Roman" w:hAnsi="Times New Roman" w:eastAsia="方正仿宋_GBK" w:cs="Times New Roman"/>
          <w:sz w:val="30"/>
          <w:szCs w:val="30"/>
        </w:rPr>
        <w:t>本通知自202</w:t>
      </w:r>
      <w:r>
        <w:rPr>
          <w:rFonts w:hint="eastAsia" w:ascii="Times New Roman" w:hAnsi="Times New Roman" w:eastAsia="方正仿宋_GBK" w:cs="Times New Roman"/>
          <w:sz w:val="30"/>
          <w:szCs w:val="30"/>
          <w:lang w:val="en-US" w:eastAsia="zh-CN"/>
        </w:rPr>
        <w:t>6</w:t>
      </w:r>
      <w:r>
        <w:rPr>
          <w:rFonts w:hint="default" w:ascii="Times New Roman" w:hAnsi="Times New Roman" w:eastAsia="方正仿宋_GBK" w:cs="Times New Roman"/>
          <w:sz w:val="30"/>
          <w:szCs w:val="30"/>
        </w:rPr>
        <w:t>年</w:t>
      </w:r>
      <w:r>
        <w:rPr>
          <w:rFonts w:hint="eastAsia" w:ascii="Times New Roman" w:hAnsi="Times New Roman" w:eastAsia="方正仿宋_GBK" w:cs="Times New Roman"/>
          <w:sz w:val="30"/>
          <w:szCs w:val="30"/>
          <w:lang w:val="en-US" w:eastAsia="zh-CN"/>
        </w:rPr>
        <w:t>3</w:t>
      </w:r>
      <w:r>
        <w:rPr>
          <w:rFonts w:hint="default" w:ascii="Times New Roman" w:hAnsi="Times New Roman" w:eastAsia="方正仿宋_GBK" w:cs="Times New Roman"/>
          <w:sz w:val="30"/>
          <w:szCs w:val="30"/>
        </w:rPr>
        <w:t>月30日起执行，此前文件与本通知不符的，以本通知为准。</w:t>
      </w:r>
    </w:p>
    <w:sectPr>
      <w:footerReference r:id="rId3" w:type="default"/>
      <w:footerReference r:id="rId4" w:type="even"/>
      <w:pgSz w:w="11906" w:h="16838"/>
      <w:pgMar w:top="1701" w:right="1474" w:bottom="1134" w:left="1588" w:header="851" w:footer="992" w:gutter="0"/>
      <w:pgNumType w:fmt="numberInDash" w:start="1"/>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仿宋简体">
    <w:panose1 w:val="02000000000000000000"/>
    <w:charset w:val="86"/>
    <w:family w:val="auto"/>
    <w:pitch w:val="default"/>
    <w:sig w:usb0="A00002BF" w:usb1="184F6CFA" w:usb2="00000012" w:usb3="00000000" w:csb0="00040001" w:csb1="00000000"/>
  </w:font>
  <w:font w:name="方正大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0E459">
    <w:pPr>
      <w:pStyle w:val="5"/>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DC7D15">
                          <w:pPr>
                            <w:pStyle w:val="5"/>
                            <w:rPr>
                              <w:rStyle w:val="10"/>
                              <w:rFonts w:ascii="宋体" w:hAnsi="宋体"/>
                              <w:sz w:val="28"/>
                            </w:rPr>
                          </w:pPr>
                          <w:r>
                            <w:rPr>
                              <w:rFonts w:ascii="宋体" w:hAnsi="宋体"/>
                              <w:sz w:val="28"/>
                            </w:rPr>
                            <w:fldChar w:fldCharType="begin"/>
                          </w:r>
                          <w:r>
                            <w:rPr>
                              <w:rStyle w:val="10"/>
                              <w:rFonts w:ascii="宋体" w:hAnsi="宋体"/>
                              <w:sz w:val="28"/>
                            </w:rPr>
                            <w:instrText xml:space="preserve">PAGE  </w:instrText>
                          </w:r>
                          <w:r>
                            <w:rPr>
                              <w:rFonts w:ascii="宋体" w:hAnsi="宋体"/>
                              <w:sz w:val="28"/>
                            </w:rPr>
                            <w:fldChar w:fldCharType="separate"/>
                          </w:r>
                          <w:r>
                            <w:rPr>
                              <w:rStyle w:val="10"/>
                              <w:rFonts w:ascii="宋体" w:hAnsi="宋体"/>
                              <w:sz w:val="28"/>
                            </w:rPr>
                            <w:t>- 1 -</w:t>
                          </w:r>
                          <w:r>
                            <w:rPr>
                              <w:rFonts w:ascii="宋体" w:hAnsi="宋体"/>
                              <w:sz w:val="28"/>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4ADC7D15">
                    <w:pPr>
                      <w:pStyle w:val="5"/>
                      <w:rPr>
                        <w:rStyle w:val="10"/>
                        <w:rFonts w:ascii="宋体" w:hAnsi="宋体"/>
                        <w:sz w:val="28"/>
                      </w:rPr>
                    </w:pPr>
                    <w:r>
                      <w:rPr>
                        <w:rFonts w:ascii="宋体" w:hAnsi="宋体"/>
                        <w:sz w:val="28"/>
                      </w:rPr>
                      <w:fldChar w:fldCharType="begin"/>
                    </w:r>
                    <w:r>
                      <w:rPr>
                        <w:rStyle w:val="10"/>
                        <w:rFonts w:ascii="宋体" w:hAnsi="宋体"/>
                        <w:sz w:val="28"/>
                      </w:rPr>
                      <w:instrText xml:space="preserve">PAGE  </w:instrText>
                    </w:r>
                    <w:r>
                      <w:rPr>
                        <w:rFonts w:ascii="宋体" w:hAnsi="宋体"/>
                        <w:sz w:val="28"/>
                      </w:rPr>
                      <w:fldChar w:fldCharType="separate"/>
                    </w:r>
                    <w:r>
                      <w:rPr>
                        <w:rStyle w:val="10"/>
                        <w:rFonts w:ascii="宋体" w:hAnsi="宋体"/>
                        <w:sz w:val="28"/>
                      </w:rPr>
                      <w:t>- 1 -</w:t>
                    </w:r>
                    <w:r>
                      <w:rPr>
                        <w:rFonts w:ascii="宋体" w:hAnsi="宋体"/>
                        <w:sz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E260D">
    <w:pPr>
      <w:pStyle w:val="5"/>
      <w:framePr w:wrap="around" w:vAnchor="text" w:hAnchor="margin" w:xAlign="outside" w:y="1"/>
      <w:rPr>
        <w:rStyle w:val="10"/>
      </w:rPr>
    </w:pPr>
    <w:r>
      <w:fldChar w:fldCharType="begin"/>
    </w:r>
    <w:r>
      <w:rPr>
        <w:rStyle w:val="10"/>
      </w:rPr>
      <w:instrText xml:space="preserve">PAGE  </w:instrText>
    </w:r>
    <w:r>
      <w:fldChar w:fldCharType="separate"/>
    </w:r>
    <w:r>
      <w:rPr>
        <w:rStyle w:val="10"/>
      </w:rPr>
      <w:t>- 1 -</w:t>
    </w:r>
    <w:r>
      <w:fldChar w:fldCharType="end"/>
    </w:r>
  </w:p>
  <w:p w14:paraId="4F09E70D">
    <w:pPr>
      <w:pStyle w:val="5"/>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19.121.241.45/seeyon/officeservlet"/>
  </w:docVars>
  <w:rsids>
    <w:rsidRoot w:val="00172A27"/>
    <w:rsid w:val="00005AF9"/>
    <w:rsid w:val="00015382"/>
    <w:rsid w:val="00031E6F"/>
    <w:rsid w:val="000461B4"/>
    <w:rsid w:val="0004731F"/>
    <w:rsid w:val="00052947"/>
    <w:rsid w:val="000669D4"/>
    <w:rsid w:val="00070185"/>
    <w:rsid w:val="00080F05"/>
    <w:rsid w:val="00086F39"/>
    <w:rsid w:val="000A20CC"/>
    <w:rsid w:val="000B0C37"/>
    <w:rsid w:val="000D0E34"/>
    <w:rsid w:val="000E1A23"/>
    <w:rsid w:val="000F0344"/>
    <w:rsid w:val="00105301"/>
    <w:rsid w:val="00106EBA"/>
    <w:rsid w:val="00115406"/>
    <w:rsid w:val="0014421E"/>
    <w:rsid w:val="00145E00"/>
    <w:rsid w:val="00151D21"/>
    <w:rsid w:val="001712C8"/>
    <w:rsid w:val="001748F5"/>
    <w:rsid w:val="001A2061"/>
    <w:rsid w:val="001A3E21"/>
    <w:rsid w:val="001C6A44"/>
    <w:rsid w:val="001D2746"/>
    <w:rsid w:val="001D7A1C"/>
    <w:rsid w:val="001E21A6"/>
    <w:rsid w:val="001E4CF5"/>
    <w:rsid w:val="001F71ED"/>
    <w:rsid w:val="002057E4"/>
    <w:rsid w:val="00206CA1"/>
    <w:rsid w:val="00210248"/>
    <w:rsid w:val="00234B11"/>
    <w:rsid w:val="002368C7"/>
    <w:rsid w:val="002627DD"/>
    <w:rsid w:val="002640CF"/>
    <w:rsid w:val="00264839"/>
    <w:rsid w:val="00275573"/>
    <w:rsid w:val="00291173"/>
    <w:rsid w:val="00297775"/>
    <w:rsid w:val="002B749A"/>
    <w:rsid w:val="002B7FDE"/>
    <w:rsid w:val="002C434C"/>
    <w:rsid w:val="002C5FA7"/>
    <w:rsid w:val="002D1714"/>
    <w:rsid w:val="002D422C"/>
    <w:rsid w:val="002D4670"/>
    <w:rsid w:val="002D589D"/>
    <w:rsid w:val="002E2A2A"/>
    <w:rsid w:val="002E2BA3"/>
    <w:rsid w:val="002E2EBD"/>
    <w:rsid w:val="002E7416"/>
    <w:rsid w:val="002E7D17"/>
    <w:rsid w:val="002F2A95"/>
    <w:rsid w:val="0031317C"/>
    <w:rsid w:val="00321C78"/>
    <w:rsid w:val="00333DD8"/>
    <w:rsid w:val="00334FFA"/>
    <w:rsid w:val="00354803"/>
    <w:rsid w:val="00356EA1"/>
    <w:rsid w:val="00362973"/>
    <w:rsid w:val="0036657C"/>
    <w:rsid w:val="00367F1D"/>
    <w:rsid w:val="003726B9"/>
    <w:rsid w:val="00383630"/>
    <w:rsid w:val="00392D2F"/>
    <w:rsid w:val="0039475F"/>
    <w:rsid w:val="003A2BE4"/>
    <w:rsid w:val="003C505D"/>
    <w:rsid w:val="003E1D4D"/>
    <w:rsid w:val="003E4E7A"/>
    <w:rsid w:val="003F10F9"/>
    <w:rsid w:val="003F3BA5"/>
    <w:rsid w:val="003F3ECF"/>
    <w:rsid w:val="003F4DD3"/>
    <w:rsid w:val="00403A81"/>
    <w:rsid w:val="00407F09"/>
    <w:rsid w:val="00413772"/>
    <w:rsid w:val="00424262"/>
    <w:rsid w:val="004278FA"/>
    <w:rsid w:val="00444AFA"/>
    <w:rsid w:val="004472DD"/>
    <w:rsid w:val="0045375D"/>
    <w:rsid w:val="00482D73"/>
    <w:rsid w:val="0048772D"/>
    <w:rsid w:val="004940D8"/>
    <w:rsid w:val="004972A6"/>
    <w:rsid w:val="004A4B0D"/>
    <w:rsid w:val="004C3F0C"/>
    <w:rsid w:val="004D0A89"/>
    <w:rsid w:val="004D14F7"/>
    <w:rsid w:val="004D34F4"/>
    <w:rsid w:val="004D38C6"/>
    <w:rsid w:val="004D6140"/>
    <w:rsid w:val="004F6B64"/>
    <w:rsid w:val="00500D9A"/>
    <w:rsid w:val="005435D8"/>
    <w:rsid w:val="005508C6"/>
    <w:rsid w:val="00554976"/>
    <w:rsid w:val="00556F07"/>
    <w:rsid w:val="0058062C"/>
    <w:rsid w:val="00597CFA"/>
    <w:rsid w:val="005A02FF"/>
    <w:rsid w:val="005B2B6F"/>
    <w:rsid w:val="005B6DD0"/>
    <w:rsid w:val="005B79F3"/>
    <w:rsid w:val="005C6261"/>
    <w:rsid w:val="005E3DCF"/>
    <w:rsid w:val="005F1AD3"/>
    <w:rsid w:val="005F75FF"/>
    <w:rsid w:val="005F7D4C"/>
    <w:rsid w:val="00602D38"/>
    <w:rsid w:val="00603E9C"/>
    <w:rsid w:val="00604400"/>
    <w:rsid w:val="00606ED8"/>
    <w:rsid w:val="00611586"/>
    <w:rsid w:val="0061503A"/>
    <w:rsid w:val="00615D8A"/>
    <w:rsid w:val="006317AE"/>
    <w:rsid w:val="006359E6"/>
    <w:rsid w:val="0064624F"/>
    <w:rsid w:val="00651DDD"/>
    <w:rsid w:val="00655677"/>
    <w:rsid w:val="006719FD"/>
    <w:rsid w:val="006725BB"/>
    <w:rsid w:val="00677A64"/>
    <w:rsid w:val="00697387"/>
    <w:rsid w:val="00697597"/>
    <w:rsid w:val="006A0C68"/>
    <w:rsid w:val="006A361B"/>
    <w:rsid w:val="006B4469"/>
    <w:rsid w:val="006D5352"/>
    <w:rsid w:val="006D6F12"/>
    <w:rsid w:val="006F327F"/>
    <w:rsid w:val="00710940"/>
    <w:rsid w:val="007342D4"/>
    <w:rsid w:val="0073478D"/>
    <w:rsid w:val="00742072"/>
    <w:rsid w:val="00746DFF"/>
    <w:rsid w:val="00770467"/>
    <w:rsid w:val="00781896"/>
    <w:rsid w:val="007832B2"/>
    <w:rsid w:val="00786914"/>
    <w:rsid w:val="00793B97"/>
    <w:rsid w:val="007B44B8"/>
    <w:rsid w:val="007D061D"/>
    <w:rsid w:val="007E09F3"/>
    <w:rsid w:val="007E19FF"/>
    <w:rsid w:val="0080587E"/>
    <w:rsid w:val="0081149A"/>
    <w:rsid w:val="008216CE"/>
    <w:rsid w:val="008328D6"/>
    <w:rsid w:val="008329BD"/>
    <w:rsid w:val="00847AB6"/>
    <w:rsid w:val="008573EC"/>
    <w:rsid w:val="0087455A"/>
    <w:rsid w:val="00874961"/>
    <w:rsid w:val="0088769F"/>
    <w:rsid w:val="0089302E"/>
    <w:rsid w:val="00896B28"/>
    <w:rsid w:val="008A737F"/>
    <w:rsid w:val="008C3FA0"/>
    <w:rsid w:val="008D3118"/>
    <w:rsid w:val="008D31D9"/>
    <w:rsid w:val="008D5FF0"/>
    <w:rsid w:val="008F1B0C"/>
    <w:rsid w:val="008F6DBC"/>
    <w:rsid w:val="00911F52"/>
    <w:rsid w:val="0091292F"/>
    <w:rsid w:val="009167C2"/>
    <w:rsid w:val="00926127"/>
    <w:rsid w:val="00937F3D"/>
    <w:rsid w:val="0094022D"/>
    <w:rsid w:val="00945085"/>
    <w:rsid w:val="00945E84"/>
    <w:rsid w:val="00953495"/>
    <w:rsid w:val="00953897"/>
    <w:rsid w:val="00954EBC"/>
    <w:rsid w:val="0095754F"/>
    <w:rsid w:val="00963708"/>
    <w:rsid w:val="00966B24"/>
    <w:rsid w:val="00971476"/>
    <w:rsid w:val="009742A1"/>
    <w:rsid w:val="00980641"/>
    <w:rsid w:val="009977D4"/>
    <w:rsid w:val="009A177E"/>
    <w:rsid w:val="009A4D39"/>
    <w:rsid w:val="009A7744"/>
    <w:rsid w:val="009C3DE2"/>
    <w:rsid w:val="009D1135"/>
    <w:rsid w:val="009E2BB9"/>
    <w:rsid w:val="009F74EA"/>
    <w:rsid w:val="00A03ED5"/>
    <w:rsid w:val="00A22DD5"/>
    <w:rsid w:val="00A25084"/>
    <w:rsid w:val="00A37FAE"/>
    <w:rsid w:val="00A450B0"/>
    <w:rsid w:val="00A4707B"/>
    <w:rsid w:val="00A51256"/>
    <w:rsid w:val="00A51A1C"/>
    <w:rsid w:val="00A57C73"/>
    <w:rsid w:val="00A7240D"/>
    <w:rsid w:val="00A80A82"/>
    <w:rsid w:val="00A9767E"/>
    <w:rsid w:val="00AA1718"/>
    <w:rsid w:val="00AA5907"/>
    <w:rsid w:val="00AB0063"/>
    <w:rsid w:val="00AB233F"/>
    <w:rsid w:val="00AC3029"/>
    <w:rsid w:val="00AC4EDB"/>
    <w:rsid w:val="00AD3BB4"/>
    <w:rsid w:val="00AD65FF"/>
    <w:rsid w:val="00AE01DA"/>
    <w:rsid w:val="00AE750C"/>
    <w:rsid w:val="00B00EB1"/>
    <w:rsid w:val="00B032C6"/>
    <w:rsid w:val="00B157FF"/>
    <w:rsid w:val="00B3105E"/>
    <w:rsid w:val="00B8670B"/>
    <w:rsid w:val="00B92F15"/>
    <w:rsid w:val="00BC49A6"/>
    <w:rsid w:val="00BD24DA"/>
    <w:rsid w:val="00BE2790"/>
    <w:rsid w:val="00BE7EF6"/>
    <w:rsid w:val="00C00633"/>
    <w:rsid w:val="00C110DE"/>
    <w:rsid w:val="00C21A5D"/>
    <w:rsid w:val="00C357A7"/>
    <w:rsid w:val="00C4092E"/>
    <w:rsid w:val="00C4586C"/>
    <w:rsid w:val="00C5383A"/>
    <w:rsid w:val="00C642EC"/>
    <w:rsid w:val="00C66743"/>
    <w:rsid w:val="00C720A7"/>
    <w:rsid w:val="00C9488B"/>
    <w:rsid w:val="00CA37E6"/>
    <w:rsid w:val="00CA6680"/>
    <w:rsid w:val="00CB179F"/>
    <w:rsid w:val="00CB53E2"/>
    <w:rsid w:val="00CD35A0"/>
    <w:rsid w:val="00CD40C7"/>
    <w:rsid w:val="00CD6180"/>
    <w:rsid w:val="00CE1736"/>
    <w:rsid w:val="00CE1EA9"/>
    <w:rsid w:val="00CE1ED5"/>
    <w:rsid w:val="00CE4A33"/>
    <w:rsid w:val="00CF3702"/>
    <w:rsid w:val="00CF3811"/>
    <w:rsid w:val="00CF7445"/>
    <w:rsid w:val="00D0626C"/>
    <w:rsid w:val="00D06B2C"/>
    <w:rsid w:val="00D1444F"/>
    <w:rsid w:val="00D225AA"/>
    <w:rsid w:val="00D2276D"/>
    <w:rsid w:val="00D23CAE"/>
    <w:rsid w:val="00D34CAA"/>
    <w:rsid w:val="00D356D6"/>
    <w:rsid w:val="00D40E58"/>
    <w:rsid w:val="00D6369D"/>
    <w:rsid w:val="00D75041"/>
    <w:rsid w:val="00D94FB6"/>
    <w:rsid w:val="00DA0F2C"/>
    <w:rsid w:val="00DC5F31"/>
    <w:rsid w:val="00DE5335"/>
    <w:rsid w:val="00DE7CBA"/>
    <w:rsid w:val="00E01B63"/>
    <w:rsid w:val="00E1002D"/>
    <w:rsid w:val="00E209CE"/>
    <w:rsid w:val="00E2107F"/>
    <w:rsid w:val="00E247D5"/>
    <w:rsid w:val="00E30CEC"/>
    <w:rsid w:val="00E319EB"/>
    <w:rsid w:val="00E44570"/>
    <w:rsid w:val="00E45B58"/>
    <w:rsid w:val="00E55958"/>
    <w:rsid w:val="00E579B8"/>
    <w:rsid w:val="00E9145D"/>
    <w:rsid w:val="00E91AF0"/>
    <w:rsid w:val="00EB4133"/>
    <w:rsid w:val="00EC2980"/>
    <w:rsid w:val="00EC4321"/>
    <w:rsid w:val="00EC7922"/>
    <w:rsid w:val="00EE3132"/>
    <w:rsid w:val="00EE394C"/>
    <w:rsid w:val="00EF3AA4"/>
    <w:rsid w:val="00EF5F5A"/>
    <w:rsid w:val="00F143AF"/>
    <w:rsid w:val="00F16FAB"/>
    <w:rsid w:val="00F20086"/>
    <w:rsid w:val="00F22917"/>
    <w:rsid w:val="00F339AD"/>
    <w:rsid w:val="00F351C2"/>
    <w:rsid w:val="00F37376"/>
    <w:rsid w:val="00F4583D"/>
    <w:rsid w:val="00F54134"/>
    <w:rsid w:val="00F56DCE"/>
    <w:rsid w:val="00F570E0"/>
    <w:rsid w:val="00F6524A"/>
    <w:rsid w:val="00F8042F"/>
    <w:rsid w:val="00F81B3C"/>
    <w:rsid w:val="00F840E5"/>
    <w:rsid w:val="00F86BFC"/>
    <w:rsid w:val="00F96AD1"/>
    <w:rsid w:val="00F97636"/>
    <w:rsid w:val="00FC4CE0"/>
    <w:rsid w:val="00FD3726"/>
    <w:rsid w:val="00FE7BB0"/>
    <w:rsid w:val="00FF06DE"/>
    <w:rsid w:val="00FF2A7F"/>
    <w:rsid w:val="00FF2C15"/>
    <w:rsid w:val="00FF430F"/>
    <w:rsid w:val="00FF57B9"/>
    <w:rsid w:val="00FF7885"/>
    <w:rsid w:val="02EF4363"/>
    <w:rsid w:val="053A5C51"/>
    <w:rsid w:val="08BD692A"/>
    <w:rsid w:val="09EDA635"/>
    <w:rsid w:val="0B365423"/>
    <w:rsid w:val="0C0F5691"/>
    <w:rsid w:val="0CAB173F"/>
    <w:rsid w:val="0D702D58"/>
    <w:rsid w:val="0E5C4A3C"/>
    <w:rsid w:val="0EBC5CC6"/>
    <w:rsid w:val="0EDC2E8C"/>
    <w:rsid w:val="0FC25001"/>
    <w:rsid w:val="13FC3E82"/>
    <w:rsid w:val="14361776"/>
    <w:rsid w:val="153F1177"/>
    <w:rsid w:val="15DF9D60"/>
    <w:rsid w:val="16AB42E4"/>
    <w:rsid w:val="17DE73D7"/>
    <w:rsid w:val="17EA1737"/>
    <w:rsid w:val="18FD306E"/>
    <w:rsid w:val="1A342B46"/>
    <w:rsid w:val="1AA25A86"/>
    <w:rsid w:val="1E007545"/>
    <w:rsid w:val="1EFB0672"/>
    <w:rsid w:val="2107679C"/>
    <w:rsid w:val="214E17B8"/>
    <w:rsid w:val="22F90BE2"/>
    <w:rsid w:val="24333369"/>
    <w:rsid w:val="27DB6852"/>
    <w:rsid w:val="28A13310"/>
    <w:rsid w:val="294F7845"/>
    <w:rsid w:val="2B1B40CA"/>
    <w:rsid w:val="2E97673E"/>
    <w:rsid w:val="2FAB16A6"/>
    <w:rsid w:val="3095443C"/>
    <w:rsid w:val="315F2FFA"/>
    <w:rsid w:val="317D5E4F"/>
    <w:rsid w:val="32764F53"/>
    <w:rsid w:val="32E04CFA"/>
    <w:rsid w:val="34130371"/>
    <w:rsid w:val="353F7926"/>
    <w:rsid w:val="35623EA5"/>
    <w:rsid w:val="35E52A65"/>
    <w:rsid w:val="3777BC01"/>
    <w:rsid w:val="37D7D37E"/>
    <w:rsid w:val="38234431"/>
    <w:rsid w:val="387C349D"/>
    <w:rsid w:val="39CC2F4E"/>
    <w:rsid w:val="3AFF3FD2"/>
    <w:rsid w:val="3D954604"/>
    <w:rsid w:val="3DB0F3ED"/>
    <w:rsid w:val="3EA617AD"/>
    <w:rsid w:val="3EBDB490"/>
    <w:rsid w:val="3EFDE5DA"/>
    <w:rsid w:val="3FAA3979"/>
    <w:rsid w:val="3FEFCAA4"/>
    <w:rsid w:val="3FFBE7E3"/>
    <w:rsid w:val="4125397A"/>
    <w:rsid w:val="427E0628"/>
    <w:rsid w:val="42E35327"/>
    <w:rsid w:val="44023A7E"/>
    <w:rsid w:val="47FE5A13"/>
    <w:rsid w:val="4B314379"/>
    <w:rsid w:val="4CBE3CAE"/>
    <w:rsid w:val="4D172D16"/>
    <w:rsid w:val="4D4C27E7"/>
    <w:rsid w:val="4E7371E4"/>
    <w:rsid w:val="4EFF1B42"/>
    <w:rsid w:val="4F5A56A3"/>
    <w:rsid w:val="50C55F83"/>
    <w:rsid w:val="51C91F4E"/>
    <w:rsid w:val="52A729F4"/>
    <w:rsid w:val="536D509A"/>
    <w:rsid w:val="55261521"/>
    <w:rsid w:val="57B2190D"/>
    <w:rsid w:val="59131421"/>
    <w:rsid w:val="5A1D61FA"/>
    <w:rsid w:val="5A5CF482"/>
    <w:rsid w:val="5BBD11E7"/>
    <w:rsid w:val="5D89F6AB"/>
    <w:rsid w:val="5E0A3A08"/>
    <w:rsid w:val="5F1F7155"/>
    <w:rsid w:val="5FFC03CE"/>
    <w:rsid w:val="606556FD"/>
    <w:rsid w:val="60EC2CE7"/>
    <w:rsid w:val="621C72E5"/>
    <w:rsid w:val="629143BF"/>
    <w:rsid w:val="63031C79"/>
    <w:rsid w:val="64365FB1"/>
    <w:rsid w:val="644321E7"/>
    <w:rsid w:val="66F364B0"/>
    <w:rsid w:val="68281011"/>
    <w:rsid w:val="684E46D6"/>
    <w:rsid w:val="68C85E5E"/>
    <w:rsid w:val="6983523B"/>
    <w:rsid w:val="6AE910C9"/>
    <w:rsid w:val="6BD0DB60"/>
    <w:rsid w:val="6CBB30AB"/>
    <w:rsid w:val="6E5D43FE"/>
    <w:rsid w:val="6E6E77EA"/>
    <w:rsid w:val="6F6A3B83"/>
    <w:rsid w:val="6F769002"/>
    <w:rsid w:val="6F79CE15"/>
    <w:rsid w:val="6F7F6233"/>
    <w:rsid w:val="6FFF289D"/>
    <w:rsid w:val="6FFFED05"/>
    <w:rsid w:val="776D4245"/>
    <w:rsid w:val="77DD55DF"/>
    <w:rsid w:val="77FD7297"/>
    <w:rsid w:val="78227BB4"/>
    <w:rsid w:val="785F2F63"/>
    <w:rsid w:val="78FEC4A5"/>
    <w:rsid w:val="79152252"/>
    <w:rsid w:val="7ABB6070"/>
    <w:rsid w:val="7B1F23EE"/>
    <w:rsid w:val="7BD00DDF"/>
    <w:rsid w:val="7BFF99C1"/>
    <w:rsid w:val="7DDF6AF3"/>
    <w:rsid w:val="7DFE7111"/>
    <w:rsid w:val="7DFEEA01"/>
    <w:rsid w:val="7F366EE2"/>
    <w:rsid w:val="7F730185"/>
    <w:rsid w:val="7F743353"/>
    <w:rsid w:val="7F745690"/>
    <w:rsid w:val="7FBF3B91"/>
    <w:rsid w:val="7FCE591D"/>
    <w:rsid w:val="7FD3427C"/>
    <w:rsid w:val="7FE8FFFD"/>
    <w:rsid w:val="7FF768C1"/>
    <w:rsid w:val="7FFE545F"/>
    <w:rsid w:val="7FFF9CDD"/>
    <w:rsid w:val="81D61942"/>
    <w:rsid w:val="87FFB6B7"/>
    <w:rsid w:val="9F73E953"/>
    <w:rsid w:val="9FBCC5E3"/>
    <w:rsid w:val="AE764D13"/>
    <w:rsid w:val="B9D9F78D"/>
    <w:rsid w:val="BEB6D3B4"/>
    <w:rsid w:val="BFF5F886"/>
    <w:rsid w:val="C744DEFA"/>
    <w:rsid w:val="CDEF03AE"/>
    <w:rsid w:val="CFFF27CD"/>
    <w:rsid w:val="D5BFB136"/>
    <w:rsid w:val="DF2D909A"/>
    <w:rsid w:val="DF7162CF"/>
    <w:rsid w:val="DFFFA692"/>
    <w:rsid w:val="E39E5D49"/>
    <w:rsid w:val="E47D6F7D"/>
    <w:rsid w:val="E7FFF6AB"/>
    <w:rsid w:val="EEBFC6B3"/>
    <w:rsid w:val="EF5B021A"/>
    <w:rsid w:val="EFCE76B0"/>
    <w:rsid w:val="F2FE1775"/>
    <w:rsid w:val="F7AE1407"/>
    <w:rsid w:val="F7FB170E"/>
    <w:rsid w:val="F7FF65CD"/>
    <w:rsid w:val="F9B823F0"/>
    <w:rsid w:val="FAF7D209"/>
    <w:rsid w:val="FBA2E3F2"/>
    <w:rsid w:val="FC7796FB"/>
    <w:rsid w:val="FCBFE43A"/>
    <w:rsid w:val="FDFC7454"/>
    <w:rsid w:val="FDFF58A5"/>
    <w:rsid w:val="FDFFA755"/>
    <w:rsid w:val="FEFFA206"/>
    <w:rsid w:val="FF4FBC10"/>
    <w:rsid w:val="FF755E12"/>
    <w:rsid w:val="FF9FD65C"/>
    <w:rsid w:val="FFDEDC8D"/>
    <w:rsid w:val="FFE92FC3"/>
    <w:rsid w:val="FFF4020B"/>
    <w:rsid w:val="FFFF14BF"/>
    <w:rsid w:val="FFFF560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character" w:default="1" w:styleId="8">
    <w:name w:val="Default Paragraph Font"/>
    <w:qFormat/>
    <w:uiPriority w:val="0"/>
  </w:style>
  <w:style w:type="table" w:default="1" w:styleId="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CellMar>
        <w:top w:w="0" w:type="dxa"/>
        <w:left w:w="108" w:type="dxa"/>
        <w:bottom w:w="0" w:type="dxa"/>
        <w:right w:w="108" w:type="dxa"/>
      </w:tblCellMar>
    </w:tblPr>
  </w:style>
  <w:style w:type="paragraph" w:customStyle="1" w:styleId="2">
    <w:name w:val="Default"/>
    <w:unhideWhenUsed/>
    <w:qFormat/>
    <w:uiPriority w:val="99"/>
    <w:pPr>
      <w:widowControl w:val="0"/>
      <w:autoSpaceDE w:val="0"/>
      <w:autoSpaceDN w:val="0"/>
      <w:adjustRightInd w:val="0"/>
    </w:pPr>
    <w:rPr>
      <w:rFonts w:hint="eastAsia" w:ascii="方正仿宋简体" w:hAnsi="方正仿宋简体" w:eastAsia="方正仿宋简体" w:cs="Times New Roman"/>
      <w:color w:val="000000"/>
      <w:sz w:val="24"/>
      <w:szCs w:val="22"/>
      <w:lang w:val="en-US" w:eastAsia="zh-CN" w:bidi="ar-SA"/>
    </w:rPr>
  </w:style>
  <w:style w:type="paragraph" w:styleId="3">
    <w:name w:val="Plain Text"/>
    <w:basedOn w:val="1"/>
    <w:link w:val="12"/>
    <w:unhideWhenUsed/>
    <w:qFormat/>
    <w:uiPriority w:val="0"/>
    <w:rPr>
      <w:rFonts w:ascii="宋体" w:hAnsi="Courier New" w:eastAsia="宋体" w:cs="Courier New"/>
      <w:szCs w:val="21"/>
    </w:rPr>
  </w:style>
  <w:style w:type="paragraph" w:styleId="4">
    <w:name w:val="Balloon Text"/>
    <w:basedOn w:val="1"/>
    <w:link w:val="13"/>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character" w:styleId="9">
    <w:name w:val="Strong"/>
    <w:qFormat/>
    <w:uiPriority w:val="0"/>
    <w:rPr>
      <w:b/>
    </w:rPr>
  </w:style>
  <w:style w:type="character" w:styleId="10">
    <w:name w:val="page number"/>
    <w:qFormat/>
    <w:uiPriority w:val="0"/>
  </w:style>
  <w:style w:type="character" w:styleId="11">
    <w:name w:val="Hyperlink"/>
    <w:qFormat/>
    <w:uiPriority w:val="0"/>
    <w:rPr>
      <w:color w:val="0000FF"/>
      <w:u w:val="single"/>
    </w:rPr>
  </w:style>
  <w:style w:type="character" w:customStyle="1" w:styleId="12">
    <w:name w:val="纯文本 Char"/>
    <w:link w:val="3"/>
    <w:qFormat/>
    <w:uiPriority w:val="0"/>
    <w:rPr>
      <w:rFonts w:ascii="宋体" w:hAnsi="Courier New" w:cs="Courier New"/>
      <w:kern w:val="2"/>
      <w:sz w:val="21"/>
      <w:szCs w:val="21"/>
    </w:rPr>
  </w:style>
  <w:style w:type="character" w:customStyle="1" w:styleId="13">
    <w:name w:val="批注框文本 Char"/>
    <w:link w:val="4"/>
    <w:qFormat/>
    <w:uiPriority w:val="0"/>
    <w:rPr>
      <w:rFonts w:ascii="Calibri" w:hAnsi="Calibri"/>
      <w:kern w:val="2"/>
      <w:sz w:val="18"/>
      <w:szCs w:val="18"/>
    </w:rPr>
  </w:style>
  <w:style w:type="character" w:customStyle="1" w:styleId="14">
    <w:name w:val="页眉 Char"/>
    <w:link w:val="6"/>
    <w:qFormat/>
    <w:uiPriority w:val="0"/>
    <w:rPr>
      <w:rFonts w:ascii="Calibri" w:hAnsi="Calibri"/>
      <w:kern w:val="2"/>
      <w:sz w:val="18"/>
      <w:szCs w:val="18"/>
    </w:rPr>
  </w:style>
  <w:style w:type="paragraph" w:customStyle="1" w:styleId="15">
    <w:name w:val="正文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
    <w:name w:val="正文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7">
    <w:name w:val=" Char Char Char Char Char Char1 Char"/>
    <w:basedOn w:val="16"/>
    <w:qFormat/>
    <w:uiPriority w:val="0"/>
    <w:pPr>
      <w:widowControl/>
      <w:spacing w:after="160" w:afterLines="0" w:afterAutospacing="0" w:line="240" w:lineRule="exact"/>
      <w:jc w:val="left"/>
    </w:pPr>
  </w:style>
  <w:style w:type="paragraph" w:customStyle="1" w:styleId="18">
    <w:name w:val="Normal (Web)"/>
    <w:basedOn w:val="1"/>
    <w:qFormat/>
    <w:uiPriority w:val="0"/>
    <w:pPr>
      <w:spacing w:before="0" w:beforeLines="0" w:beforeAutospacing="0" w:after="0" w:afterLines="0" w:afterAutospacing="0"/>
      <w:ind w:left="0" w:right="0"/>
      <w:jc w:val="left"/>
    </w:pPr>
    <w:rPr>
      <w:kern w:val="0"/>
      <w:sz w:val="24"/>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1253</Words>
  <Characters>1306</Characters>
  <Lines>7</Lines>
  <Paragraphs>2</Paragraphs>
  <TotalTime>0</TotalTime>
  <ScaleCrop>false</ScaleCrop>
  <LinksUpToDate>false</LinksUpToDate>
  <CharactersWithSpaces>1308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2014-11-13T04:08:00Z</dcterms:created>
  <dc:creator>admin</dc:creator>
  <cp:lastModifiedBy>曾可 </cp:lastModifiedBy>
  <cp:lastPrinted>2021-06-11T22:57:00Z</cp:lastPrinted>
  <dcterms:modified xsi:type="dcterms:W3CDTF">2026-02-25T03:47:45Z</dcterms:modified>
  <dc:title>潮州市公立医院全面取消医用耗材加成 调整医疗服务价格实施方案</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6AF26EB6D988E4A9AF908A69772A54DB</vt:lpwstr>
  </property>
  <property fmtid="{D5CDD505-2E9C-101B-9397-08002B2CF9AE}" pid="4" name="KSOTemplateDocerSaveRecord">
    <vt:lpwstr>eyJoZGlkIjoiODNlM2RmOWU3ODQ3NDlhYzViMWQ0NDY4YzZlNTc0YzYiLCJ1c2VySWQiOiIzNDE0MTM4MzYifQ==</vt:lpwstr>
  </property>
</Properties>
</file>