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tLeast"/>
        <w:rPr>
          <w:rFonts w:hint="default" w:ascii="方正黑体_GBK" w:hAnsi="方正黑体_GBK" w:eastAsia="方正黑体_GBK" w:cs="方正黑体_GBK"/>
          <w:sz w:val="30"/>
          <w:szCs w:val="30"/>
          <w:lang w:val="en-US" w:eastAsia="zh-CN"/>
        </w:rPr>
      </w:pPr>
      <w:r>
        <w:rPr>
          <w:rFonts w:hint="eastAsia" w:ascii="方正黑体_GBK" w:hAnsi="方正黑体_GBK" w:eastAsia="方正黑体_GBK" w:cs="方正黑体_GBK"/>
          <w:sz w:val="30"/>
          <w:szCs w:val="30"/>
        </w:rPr>
        <w:t>附件</w:t>
      </w:r>
      <w:r>
        <w:rPr>
          <w:rFonts w:hint="eastAsia" w:ascii="方正黑体_GBK" w:hAnsi="方正黑体_GBK" w:eastAsia="方正黑体_GBK" w:cs="方正黑体_GBK"/>
          <w:sz w:val="30"/>
          <w:szCs w:val="30"/>
          <w:lang w:val="en-US" w:eastAsia="zh-CN"/>
        </w:rPr>
        <w:t xml:space="preserve">        </w:t>
      </w:r>
    </w:p>
    <w:p>
      <w:pPr>
        <w:spacing w:line="240" w:lineRule="atLeast"/>
        <w:jc w:val="center"/>
        <w:rPr>
          <w:rFonts w:hint="eastAsia" w:ascii="方正大标宋_GBK" w:hAnsi="方正大标宋_GBK" w:eastAsia="方正大标宋_GBK" w:cs="方正大标宋_GBK"/>
          <w:sz w:val="42"/>
          <w:szCs w:val="42"/>
        </w:rPr>
      </w:pPr>
      <w:bookmarkStart w:id="0" w:name="_GoBack"/>
      <w:r>
        <w:rPr>
          <w:rFonts w:hint="eastAsia" w:ascii="方正大标宋_GBK" w:hAnsi="方正大标宋_GBK" w:eastAsia="方正大标宋_GBK" w:cs="方正大标宋_GBK"/>
          <w:sz w:val="42"/>
          <w:szCs w:val="42"/>
        </w:rPr>
        <w:t>社会组织公益性捐赠税前扣除资格确认信息表</w:t>
      </w:r>
    </w:p>
    <w:bookmarkEnd w:id="0"/>
    <w:p>
      <w:pPr>
        <w:spacing w:line="240" w:lineRule="atLeast"/>
        <w:ind w:firstLine="640" w:firstLineChars="200"/>
        <w:rPr>
          <w:rFonts w:eastAsia="方正仿宋简体"/>
          <w:szCs w:val="32"/>
        </w:rPr>
      </w:pPr>
    </w:p>
    <w:p>
      <w:pPr>
        <w:spacing w:line="240" w:lineRule="atLeas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填报单位（盖章）：    </w:t>
      </w:r>
      <w:r>
        <w:rPr>
          <w:rFonts w:hint="default" w:ascii="Times New Roman" w:hAnsi="Times New Roman" w:eastAsia="方正仿宋_GBK" w:cs="Times New Roman"/>
          <w:sz w:val="30"/>
          <w:szCs w:val="30"/>
          <w:lang w:val="en-US" w:eastAsia="zh-CN"/>
        </w:rPr>
        <w:t xml:space="preserve">            </w:t>
      </w:r>
      <w:r>
        <w:rPr>
          <w:rFonts w:hint="default" w:ascii="Times New Roman" w:hAnsi="Times New Roman" w:eastAsia="方正仿宋_GBK" w:cs="Times New Roman"/>
          <w:sz w:val="30"/>
          <w:szCs w:val="30"/>
        </w:rPr>
        <w:t xml:space="preserve">  法定代表人签名：          </w:t>
      </w:r>
      <w:r>
        <w:rPr>
          <w:rFonts w:hint="default" w:ascii="Times New Roman" w:hAnsi="Times New Roman" w:eastAsia="方正仿宋_GBK" w:cs="Times New Roman"/>
          <w:sz w:val="30"/>
          <w:szCs w:val="30"/>
          <w:lang w:val="en-US" w:eastAsia="zh-CN"/>
        </w:rPr>
        <w:t xml:space="preserve">      </w:t>
      </w:r>
      <w:r>
        <w:rPr>
          <w:rFonts w:hint="default" w:ascii="Times New Roman" w:hAnsi="Times New Roman" w:eastAsia="方正仿宋_GBK" w:cs="Times New Roman"/>
          <w:sz w:val="30"/>
          <w:szCs w:val="30"/>
        </w:rPr>
        <w:t>填报时间：</w:t>
      </w:r>
      <w:r>
        <w:rPr>
          <w:rFonts w:hint="default" w:ascii="Times New Roman" w:hAnsi="Times New Roman" w:eastAsia="方正仿宋_GBK" w:cs="Times New Roman"/>
          <w:sz w:val="30"/>
          <w:szCs w:val="30"/>
          <w:lang w:val="en-US" w:eastAsia="zh-CN"/>
        </w:rPr>
        <w:t>2026</w:t>
      </w:r>
      <w:r>
        <w:rPr>
          <w:rFonts w:hint="default" w:ascii="Times New Roman" w:hAnsi="Times New Roman" w:eastAsia="方正仿宋_GBK" w:cs="Times New Roman"/>
          <w:sz w:val="30"/>
          <w:szCs w:val="30"/>
        </w:rPr>
        <w:t>年</w:t>
      </w:r>
      <w:r>
        <w:rPr>
          <w:rFonts w:hint="default" w:ascii="Times New Roman" w:hAnsi="Times New Roman" w:eastAsia="方正仿宋_GBK" w:cs="Times New Roman"/>
          <w:sz w:val="30"/>
          <w:szCs w:val="30"/>
          <w:lang w:val="en-US" w:eastAsia="zh-CN"/>
        </w:rPr>
        <w:t>X</w:t>
      </w:r>
      <w:r>
        <w:rPr>
          <w:rFonts w:hint="default" w:ascii="Times New Roman" w:hAnsi="Times New Roman" w:eastAsia="方正仿宋_GBK" w:cs="Times New Roman"/>
          <w:sz w:val="30"/>
          <w:szCs w:val="30"/>
        </w:rPr>
        <w:t>月</w:t>
      </w:r>
      <w:r>
        <w:rPr>
          <w:rFonts w:hint="default" w:ascii="Times New Roman" w:hAnsi="Times New Roman" w:eastAsia="方正仿宋_GBK" w:cs="Times New Roman"/>
          <w:sz w:val="30"/>
          <w:szCs w:val="30"/>
          <w:lang w:val="en-US" w:eastAsia="zh-CN"/>
        </w:rPr>
        <w:t>X</w:t>
      </w:r>
      <w:r>
        <w:rPr>
          <w:rFonts w:hint="default" w:ascii="Times New Roman" w:hAnsi="Times New Roman" w:eastAsia="方正仿宋_GBK" w:cs="Times New Roman"/>
          <w:sz w:val="30"/>
          <w:szCs w:val="30"/>
        </w:rPr>
        <w:t>日</w:t>
      </w:r>
    </w:p>
    <w:tbl>
      <w:tblPr>
        <w:tblStyle w:val="7"/>
        <w:tblW w:w="14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1079"/>
        <w:gridCol w:w="687"/>
        <w:gridCol w:w="687"/>
        <w:gridCol w:w="687"/>
        <w:gridCol w:w="948"/>
        <w:gridCol w:w="1096"/>
        <w:gridCol w:w="1227"/>
        <w:gridCol w:w="1226"/>
        <w:gridCol w:w="1227"/>
        <w:gridCol w:w="1096"/>
        <w:gridCol w:w="703"/>
        <w:gridCol w:w="703"/>
        <w:gridCol w:w="684"/>
        <w:gridCol w:w="1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5"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确认</w:t>
            </w:r>
          </w:p>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年度</w:t>
            </w:r>
          </w:p>
        </w:tc>
        <w:tc>
          <w:tcPr>
            <w:tcW w:w="1134" w:type="dxa"/>
            <w:vMerge w:val="restart"/>
            <w:noWrap w:val="0"/>
            <w:vAlign w:val="center"/>
          </w:tcPr>
          <w:p>
            <w:pPr>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社会组织名称</w:t>
            </w:r>
          </w:p>
        </w:tc>
        <w:tc>
          <w:tcPr>
            <w:tcW w:w="709" w:type="dxa"/>
            <w:vMerge w:val="restart"/>
            <w:noWrap w:val="0"/>
            <w:vAlign w:val="center"/>
          </w:tcPr>
          <w:p>
            <w:pPr>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登记管理机关</w:t>
            </w:r>
          </w:p>
        </w:tc>
        <w:tc>
          <w:tcPr>
            <w:tcW w:w="709" w:type="dxa"/>
            <w:vMerge w:val="restart"/>
            <w:noWrap w:val="0"/>
            <w:vAlign w:val="center"/>
          </w:tcPr>
          <w:p>
            <w:pPr>
              <w:spacing w:line="240" w:lineRule="atLeast"/>
              <w:jc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统一社会信用代码</w:t>
            </w:r>
          </w:p>
        </w:tc>
        <w:tc>
          <w:tcPr>
            <w:tcW w:w="709" w:type="dxa"/>
            <w:vMerge w:val="restart"/>
            <w:noWrap w:val="0"/>
            <w:vAlign w:val="center"/>
          </w:tcPr>
          <w:p>
            <w:pPr>
              <w:spacing w:line="240" w:lineRule="atLeast"/>
              <w:jc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成立登记日期</w:t>
            </w:r>
          </w:p>
        </w:tc>
        <w:tc>
          <w:tcPr>
            <w:tcW w:w="10246" w:type="dxa"/>
            <w:gridSpan w:val="10"/>
            <w:noWrap w:val="0"/>
            <w:vAlign w:val="center"/>
          </w:tcPr>
          <w:p>
            <w:pPr>
              <w:spacing w:line="240" w:lineRule="atLeast"/>
              <w:jc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确认条件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75"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1134"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709"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709" w:type="dxa"/>
            <w:vMerge w:val="continue"/>
            <w:noWrap w:val="0"/>
            <w:vAlign w:val="top"/>
          </w:tcPr>
          <w:p>
            <w:pPr>
              <w:spacing w:line="240" w:lineRule="atLeast"/>
              <w:jc w:val="left"/>
              <w:rPr>
                <w:rFonts w:hint="default" w:ascii="Times New Roman" w:hAnsi="Times New Roman" w:eastAsia="方正仿宋_GBK" w:cs="Times New Roman"/>
                <w:sz w:val="21"/>
                <w:szCs w:val="21"/>
              </w:rPr>
            </w:pPr>
          </w:p>
        </w:tc>
        <w:tc>
          <w:tcPr>
            <w:tcW w:w="709" w:type="dxa"/>
            <w:vMerge w:val="continue"/>
            <w:noWrap w:val="0"/>
            <w:vAlign w:val="top"/>
          </w:tcPr>
          <w:p>
            <w:pPr>
              <w:spacing w:line="240" w:lineRule="atLeast"/>
              <w:jc w:val="left"/>
              <w:rPr>
                <w:rFonts w:hint="default" w:ascii="Times New Roman" w:hAnsi="Times New Roman" w:eastAsia="方正仿宋_GBK" w:cs="Times New Roman"/>
                <w:sz w:val="21"/>
                <w:szCs w:val="21"/>
              </w:rPr>
            </w:pPr>
          </w:p>
        </w:tc>
        <w:tc>
          <w:tcPr>
            <w:tcW w:w="992"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1.符合企业所得税法实施条例第五十二条第一项到第八项规定的条件</w:t>
            </w:r>
          </w:p>
        </w:tc>
        <w:tc>
          <w:tcPr>
            <w:tcW w:w="1134"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2.经审计的上年度专项信息报告，首次确认的，需要提供</w:t>
            </w:r>
            <w:r>
              <w:rPr>
                <w:rFonts w:hint="default" w:ascii="Times New Roman" w:hAnsi="Times New Roman" w:eastAsia="方正仿宋_GBK" w:cs="Times New Roman"/>
                <w:color w:val="333333"/>
                <w:sz w:val="21"/>
                <w:szCs w:val="21"/>
                <w:shd w:val="clear" w:color="auto" w:fill="FFFFFF"/>
              </w:rPr>
              <w:t>经审计的前两个年度的专项信息报告</w:t>
            </w:r>
          </w:p>
        </w:tc>
        <w:tc>
          <w:tcPr>
            <w:tcW w:w="2551" w:type="dxa"/>
            <w:gridSpan w:val="2"/>
            <w:noWrap w:val="0"/>
            <w:vAlign w:val="center"/>
          </w:tcPr>
          <w:p>
            <w:pPr>
              <w:spacing w:line="240" w:lineRule="atLeast"/>
              <w:jc w:val="left"/>
              <w:rPr>
                <w:rFonts w:hint="default" w:ascii="Times New Roman" w:hAnsi="Times New Roman" w:eastAsia="方正仿宋_GBK" w:cs="Times New Roman"/>
                <w:color w:val="333333"/>
                <w:sz w:val="21"/>
                <w:szCs w:val="21"/>
              </w:rPr>
            </w:pPr>
            <w:r>
              <w:rPr>
                <w:rFonts w:hint="default" w:ascii="Times New Roman" w:hAnsi="Times New Roman" w:eastAsia="方正仿宋_GBK" w:cs="Times New Roman"/>
                <w:color w:val="333333"/>
                <w:sz w:val="21"/>
                <w:szCs w:val="21"/>
              </w:rPr>
              <w:t>3.慈善事业支出占比</w:t>
            </w:r>
          </w:p>
        </w:tc>
        <w:tc>
          <w:tcPr>
            <w:tcW w:w="2410" w:type="dxa"/>
            <w:gridSpan w:val="2"/>
            <w:noWrap w:val="0"/>
            <w:vAlign w:val="center"/>
          </w:tcPr>
          <w:p>
            <w:pPr>
              <w:spacing w:line="240" w:lineRule="atLeast"/>
              <w:jc w:val="left"/>
              <w:rPr>
                <w:rFonts w:hint="default" w:ascii="Times New Roman" w:hAnsi="Times New Roman" w:eastAsia="方正仿宋_GBK" w:cs="Times New Roman"/>
                <w:color w:val="333333"/>
                <w:sz w:val="21"/>
                <w:szCs w:val="21"/>
              </w:rPr>
            </w:pPr>
            <w:r>
              <w:rPr>
                <w:rFonts w:hint="default" w:ascii="Times New Roman" w:hAnsi="Times New Roman" w:eastAsia="方正仿宋_GBK" w:cs="Times New Roman"/>
                <w:color w:val="333333"/>
                <w:sz w:val="21"/>
                <w:szCs w:val="21"/>
              </w:rPr>
              <w:t>4.管理费用支出占比</w:t>
            </w:r>
          </w:p>
        </w:tc>
        <w:tc>
          <w:tcPr>
            <w:tcW w:w="709"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w:t>
            </w:r>
            <w:r>
              <w:rPr>
                <w:rFonts w:hint="default" w:ascii="Times New Roman" w:hAnsi="Times New Roman" w:eastAsia="方正仿宋_GBK" w:cs="Times New Roman"/>
                <w:color w:val="333333"/>
                <w:sz w:val="21"/>
                <w:szCs w:val="21"/>
                <w:shd w:val="clear" w:color="auto" w:fill="FFFFFF"/>
              </w:rPr>
              <w:t xml:space="preserve"> 具有非营利组织免税资格，且免税资格在有效期内</w:t>
            </w:r>
          </w:p>
        </w:tc>
        <w:tc>
          <w:tcPr>
            <w:tcW w:w="709"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color w:val="333333"/>
                <w:sz w:val="21"/>
                <w:szCs w:val="21"/>
                <w:shd w:val="clear" w:color="auto" w:fill="FFFFFF"/>
              </w:rPr>
              <w:t>6.前两年度未受到登记管理机关行政处罚（警告除外）</w:t>
            </w:r>
          </w:p>
        </w:tc>
        <w:tc>
          <w:tcPr>
            <w:tcW w:w="708"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color w:val="333333"/>
                <w:sz w:val="18"/>
                <w:szCs w:val="18"/>
                <w:shd w:val="clear" w:color="auto" w:fill="FFFFFF"/>
              </w:rPr>
              <w:t>7.前两年度未被登记管理机关列入严重违法失信名单</w:t>
            </w:r>
          </w:p>
        </w:tc>
        <w:tc>
          <w:tcPr>
            <w:tcW w:w="1033" w:type="dxa"/>
            <w:vMerge w:val="restart"/>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color w:val="333333"/>
                <w:sz w:val="21"/>
                <w:szCs w:val="21"/>
              </w:rPr>
              <w:t>8.社会组织评估等级为</w:t>
            </w:r>
            <w:r>
              <w:rPr>
                <w:rFonts w:hint="default" w:ascii="Times New Roman" w:hAnsi="Times New Roman" w:eastAsia="方正仿宋_GBK" w:cs="Times New Roman"/>
                <w:color w:val="333333"/>
                <w:sz w:val="21"/>
                <w:szCs w:val="21"/>
                <w:shd w:val="clear" w:color="auto" w:fill="FFFFFF"/>
              </w:rPr>
              <w:t>3A以上（含3A）且该评估结果在确认公益性捐赠税前扣除资格时仍在有效期内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75"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1134"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709"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709" w:type="dxa"/>
            <w:vMerge w:val="continue"/>
            <w:noWrap w:val="0"/>
            <w:vAlign w:val="top"/>
          </w:tcPr>
          <w:p>
            <w:pPr>
              <w:spacing w:line="240" w:lineRule="atLeast"/>
              <w:jc w:val="left"/>
              <w:rPr>
                <w:rFonts w:hint="default" w:ascii="Times New Roman" w:hAnsi="Times New Roman" w:eastAsia="方正仿宋_GBK" w:cs="Times New Roman"/>
                <w:sz w:val="21"/>
                <w:szCs w:val="21"/>
              </w:rPr>
            </w:pPr>
          </w:p>
        </w:tc>
        <w:tc>
          <w:tcPr>
            <w:tcW w:w="709" w:type="dxa"/>
            <w:vMerge w:val="continue"/>
            <w:noWrap w:val="0"/>
            <w:vAlign w:val="top"/>
          </w:tcPr>
          <w:p>
            <w:pPr>
              <w:spacing w:line="240" w:lineRule="atLeast"/>
              <w:jc w:val="left"/>
              <w:rPr>
                <w:rFonts w:hint="default" w:ascii="Times New Roman" w:hAnsi="Times New Roman" w:eastAsia="方正仿宋_GBK" w:cs="Times New Roman"/>
                <w:sz w:val="21"/>
                <w:szCs w:val="21"/>
              </w:rPr>
            </w:pPr>
          </w:p>
        </w:tc>
        <w:tc>
          <w:tcPr>
            <w:tcW w:w="992"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1134"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c>
          <w:tcPr>
            <w:tcW w:w="1276" w:type="dxa"/>
            <w:noWrap w:val="0"/>
            <w:vAlign w:val="center"/>
          </w:tcPr>
          <w:p>
            <w:pPr>
              <w:spacing w:line="240" w:lineRule="atLeast"/>
              <w:jc w:val="left"/>
              <w:rPr>
                <w:rFonts w:hint="default" w:ascii="Times New Roman" w:hAnsi="Times New Roman" w:eastAsia="方正仿宋_GBK" w:cs="Times New Roman"/>
                <w:color w:val="333333"/>
                <w:sz w:val="21"/>
                <w:szCs w:val="21"/>
              </w:rPr>
            </w:pPr>
            <w:r>
              <w:rPr>
                <w:rFonts w:hint="default" w:ascii="Times New Roman" w:hAnsi="Times New Roman" w:eastAsia="方正仿宋_GBK" w:cs="Times New Roman"/>
                <w:color w:val="333333"/>
                <w:sz w:val="21"/>
                <w:szCs w:val="21"/>
              </w:rPr>
              <w:t>具有公开募捐资格的社会组织，前两年度每年用于公益慈善事业的支出占上年总收入的比例均不得低于</w:t>
            </w:r>
            <w:r>
              <w:rPr>
                <w:rFonts w:hint="default" w:ascii="Times New Roman" w:hAnsi="Times New Roman" w:eastAsia="方正仿宋_GBK" w:cs="Times New Roman"/>
                <w:color w:val="333333"/>
                <w:sz w:val="21"/>
                <w:szCs w:val="21"/>
                <w:shd w:val="clear" w:color="auto" w:fill="FFFFFF"/>
              </w:rPr>
              <w:t>70%</w:t>
            </w:r>
          </w:p>
        </w:tc>
        <w:tc>
          <w:tcPr>
            <w:tcW w:w="1275" w:type="dxa"/>
            <w:noWrap w:val="0"/>
            <w:vAlign w:val="center"/>
          </w:tcPr>
          <w:p>
            <w:pPr>
              <w:spacing w:line="240" w:lineRule="atLeast"/>
              <w:jc w:val="left"/>
              <w:rPr>
                <w:rFonts w:hint="default" w:ascii="Times New Roman" w:hAnsi="Times New Roman" w:eastAsia="方正仿宋_GBK" w:cs="Times New Roman"/>
                <w:color w:val="333333"/>
                <w:sz w:val="21"/>
                <w:szCs w:val="21"/>
              </w:rPr>
            </w:pPr>
            <w:r>
              <w:rPr>
                <w:rFonts w:hint="default" w:ascii="Times New Roman" w:hAnsi="Times New Roman" w:eastAsia="方正仿宋_GBK" w:cs="Times New Roman"/>
                <w:color w:val="333333"/>
                <w:sz w:val="21"/>
                <w:szCs w:val="21"/>
              </w:rPr>
              <w:t>不具有公开募捐资格的社会组织，前两年度每年用于公益慈善事业的支出占上年末净资产的比例均不得低于</w:t>
            </w:r>
            <w:r>
              <w:rPr>
                <w:rFonts w:hint="default" w:ascii="Times New Roman" w:hAnsi="Times New Roman" w:eastAsia="方正仿宋_GBK" w:cs="Times New Roman"/>
                <w:color w:val="333333"/>
                <w:sz w:val="21"/>
                <w:szCs w:val="21"/>
                <w:shd w:val="clear" w:color="auto" w:fill="FFFFFF"/>
              </w:rPr>
              <w:t>8%</w:t>
            </w:r>
          </w:p>
        </w:tc>
        <w:tc>
          <w:tcPr>
            <w:tcW w:w="1276" w:type="dxa"/>
            <w:noWrap w:val="0"/>
            <w:vAlign w:val="center"/>
          </w:tcPr>
          <w:p>
            <w:pPr>
              <w:spacing w:line="240" w:lineRule="atLeast"/>
              <w:jc w:val="left"/>
              <w:rPr>
                <w:rFonts w:hint="default" w:ascii="Times New Roman" w:hAnsi="Times New Roman" w:eastAsia="方正仿宋_GBK" w:cs="Times New Roman"/>
                <w:color w:val="333333"/>
                <w:sz w:val="21"/>
                <w:szCs w:val="21"/>
              </w:rPr>
            </w:pPr>
            <w:r>
              <w:rPr>
                <w:rFonts w:hint="default" w:ascii="Times New Roman" w:hAnsi="Times New Roman" w:eastAsia="方正仿宋_GBK" w:cs="Times New Roman"/>
                <w:color w:val="333333"/>
                <w:sz w:val="21"/>
                <w:szCs w:val="21"/>
              </w:rPr>
              <w:t>具有公开募捐资格的社会组织，前两年度每年支出的管理费用占当年总支出的比例均不得高于</w:t>
            </w:r>
            <w:r>
              <w:rPr>
                <w:rFonts w:hint="default" w:ascii="Times New Roman" w:hAnsi="Times New Roman" w:eastAsia="方正仿宋_GBK" w:cs="Times New Roman"/>
                <w:color w:val="333333"/>
                <w:sz w:val="21"/>
                <w:szCs w:val="21"/>
                <w:shd w:val="clear" w:color="auto" w:fill="FFFFFF"/>
              </w:rPr>
              <w:t>10%</w:t>
            </w:r>
          </w:p>
        </w:tc>
        <w:tc>
          <w:tcPr>
            <w:tcW w:w="1134" w:type="dxa"/>
            <w:noWrap w:val="0"/>
            <w:vAlign w:val="center"/>
          </w:tcPr>
          <w:p>
            <w:pPr>
              <w:spacing w:line="240" w:lineRule="atLeast"/>
              <w:jc w:val="left"/>
              <w:rPr>
                <w:rFonts w:hint="default" w:ascii="Times New Roman" w:hAnsi="Times New Roman" w:eastAsia="方正仿宋_GBK" w:cs="Times New Roman"/>
                <w:color w:val="333333"/>
                <w:sz w:val="21"/>
                <w:szCs w:val="21"/>
              </w:rPr>
            </w:pPr>
            <w:r>
              <w:rPr>
                <w:rFonts w:hint="default" w:ascii="Times New Roman" w:hAnsi="Times New Roman" w:eastAsia="方正仿宋_GBK" w:cs="Times New Roman"/>
                <w:color w:val="333333"/>
                <w:sz w:val="21"/>
                <w:szCs w:val="21"/>
              </w:rPr>
              <w:t>不具有公开募捐资格的社会组织，前两年每年支出的管理费用占当年总支出的比例均不得高于</w:t>
            </w:r>
            <w:r>
              <w:rPr>
                <w:rFonts w:hint="default" w:ascii="Times New Roman" w:hAnsi="Times New Roman" w:eastAsia="方正仿宋_GBK" w:cs="Times New Roman"/>
                <w:color w:val="333333"/>
                <w:sz w:val="21"/>
                <w:szCs w:val="21"/>
                <w:shd w:val="clear" w:color="auto" w:fill="FFFFFF"/>
              </w:rPr>
              <w:t>12%</w:t>
            </w:r>
          </w:p>
        </w:tc>
        <w:tc>
          <w:tcPr>
            <w:tcW w:w="709" w:type="dxa"/>
            <w:vMerge w:val="continue"/>
            <w:noWrap w:val="0"/>
            <w:vAlign w:val="center"/>
          </w:tcPr>
          <w:p>
            <w:pPr>
              <w:spacing w:line="240" w:lineRule="atLeast"/>
              <w:jc w:val="left"/>
              <w:rPr>
                <w:rFonts w:hint="default" w:ascii="Times New Roman" w:hAnsi="Times New Roman" w:eastAsia="方正仿宋_GBK" w:cs="Times New Roman"/>
                <w:color w:val="333333"/>
                <w:sz w:val="21"/>
                <w:szCs w:val="21"/>
                <w:shd w:val="clear" w:color="auto" w:fill="FFFFFF"/>
              </w:rPr>
            </w:pPr>
          </w:p>
        </w:tc>
        <w:tc>
          <w:tcPr>
            <w:tcW w:w="709" w:type="dxa"/>
            <w:vMerge w:val="continue"/>
            <w:noWrap w:val="0"/>
            <w:vAlign w:val="center"/>
          </w:tcPr>
          <w:p>
            <w:pPr>
              <w:spacing w:line="240" w:lineRule="atLeast"/>
              <w:jc w:val="left"/>
              <w:rPr>
                <w:rFonts w:hint="default" w:ascii="Times New Roman" w:hAnsi="Times New Roman" w:eastAsia="方正仿宋_GBK" w:cs="Times New Roman"/>
                <w:color w:val="333333"/>
                <w:sz w:val="21"/>
                <w:szCs w:val="21"/>
                <w:shd w:val="clear" w:color="auto" w:fill="FFFFFF"/>
              </w:rPr>
            </w:pPr>
          </w:p>
        </w:tc>
        <w:tc>
          <w:tcPr>
            <w:tcW w:w="708" w:type="dxa"/>
            <w:vMerge w:val="continue"/>
            <w:noWrap w:val="0"/>
            <w:vAlign w:val="center"/>
          </w:tcPr>
          <w:p>
            <w:pPr>
              <w:spacing w:line="240" w:lineRule="atLeast"/>
              <w:jc w:val="left"/>
              <w:rPr>
                <w:rFonts w:hint="default" w:ascii="Times New Roman" w:hAnsi="Times New Roman" w:eastAsia="方正仿宋_GBK" w:cs="Times New Roman"/>
                <w:color w:val="333333"/>
                <w:sz w:val="21"/>
                <w:szCs w:val="21"/>
              </w:rPr>
            </w:pPr>
          </w:p>
        </w:tc>
        <w:tc>
          <w:tcPr>
            <w:tcW w:w="1033" w:type="dxa"/>
            <w:vMerge w:val="continue"/>
            <w:noWrap w:val="0"/>
            <w:vAlign w:val="center"/>
          </w:tcPr>
          <w:p>
            <w:pPr>
              <w:spacing w:line="240" w:lineRule="atLeast"/>
              <w:jc w:val="left"/>
              <w:rPr>
                <w:rFonts w:hint="default" w:ascii="Times New Roman" w:hAnsi="Times New Roman" w:eastAsia="方正仿宋_GBK"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5" w:type="dxa"/>
            <w:noWrap w:val="0"/>
            <w:vAlign w:val="center"/>
          </w:tcPr>
          <w:p>
            <w:pPr>
              <w:spacing w:line="240" w:lineRule="atLeast"/>
              <w:jc w:val="lef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202</w:t>
            </w:r>
            <w:r>
              <w:rPr>
                <w:rFonts w:hint="default" w:ascii="Times New Roman" w:hAnsi="Times New Roman" w:eastAsia="方正仿宋_GBK" w:cs="Times New Roman"/>
                <w:sz w:val="21"/>
                <w:szCs w:val="21"/>
                <w:lang w:val="en-US" w:eastAsia="zh-CN"/>
              </w:rPr>
              <w:t>7</w:t>
            </w:r>
            <w:r>
              <w:rPr>
                <w:rFonts w:hint="default" w:ascii="Times New Roman" w:hAnsi="Times New Roman" w:eastAsia="方正仿宋_GBK" w:cs="Times New Roman"/>
                <w:sz w:val="21"/>
                <w:szCs w:val="21"/>
              </w:rPr>
              <w:t>-202</w:t>
            </w:r>
            <w:r>
              <w:rPr>
                <w:rFonts w:hint="default" w:ascii="Times New Roman" w:hAnsi="Times New Roman" w:eastAsia="方正仿宋_GBK" w:cs="Times New Roman"/>
                <w:sz w:val="21"/>
                <w:szCs w:val="21"/>
                <w:lang w:val="en-US" w:eastAsia="zh-CN"/>
              </w:rPr>
              <w:t>9</w:t>
            </w:r>
            <w:r>
              <w:rPr>
                <w:rFonts w:hint="default" w:ascii="Times New Roman" w:hAnsi="Times New Roman" w:eastAsia="方正仿宋_GBK" w:cs="Times New Roman"/>
                <w:sz w:val="21"/>
                <w:szCs w:val="21"/>
              </w:rPr>
              <w:t>年</w:t>
            </w:r>
          </w:p>
        </w:tc>
        <w:tc>
          <w:tcPr>
            <w:tcW w:w="1134" w:type="dxa"/>
            <w:noWrap w:val="0"/>
            <w:vAlign w:val="center"/>
          </w:tcPr>
          <w:p>
            <w:pPr>
              <w:spacing w:line="240" w:lineRule="atLeast"/>
              <w:jc w:val="left"/>
              <w:rPr>
                <w:rFonts w:hint="default" w:ascii="Times New Roman" w:hAnsi="Times New Roman" w:eastAsia="方正仿宋_GBK" w:cs="Times New Roman"/>
                <w:sz w:val="21"/>
                <w:szCs w:val="21"/>
              </w:rPr>
            </w:pPr>
          </w:p>
        </w:tc>
        <w:tc>
          <w:tcPr>
            <w:tcW w:w="709" w:type="dxa"/>
            <w:noWrap w:val="0"/>
            <w:vAlign w:val="center"/>
          </w:tcPr>
          <w:p>
            <w:pPr>
              <w:spacing w:line="240" w:lineRule="atLeast"/>
              <w:jc w:val="left"/>
              <w:rPr>
                <w:rFonts w:hint="default" w:ascii="Times New Roman" w:hAnsi="Times New Roman" w:eastAsia="方正仿宋_GBK" w:cs="Times New Roman"/>
                <w:sz w:val="21"/>
                <w:szCs w:val="21"/>
              </w:rPr>
            </w:pPr>
          </w:p>
        </w:tc>
        <w:tc>
          <w:tcPr>
            <w:tcW w:w="709" w:type="dxa"/>
            <w:noWrap w:val="0"/>
            <w:vAlign w:val="top"/>
          </w:tcPr>
          <w:p>
            <w:pPr>
              <w:spacing w:line="240" w:lineRule="atLeast"/>
              <w:jc w:val="left"/>
              <w:rPr>
                <w:rFonts w:hint="default" w:ascii="Times New Roman" w:hAnsi="Times New Roman" w:eastAsia="方正仿宋_GBK" w:cs="Times New Roman"/>
                <w:sz w:val="21"/>
                <w:szCs w:val="21"/>
              </w:rPr>
            </w:pPr>
          </w:p>
        </w:tc>
        <w:tc>
          <w:tcPr>
            <w:tcW w:w="709" w:type="dxa"/>
            <w:noWrap w:val="0"/>
            <w:vAlign w:val="top"/>
          </w:tcPr>
          <w:p>
            <w:pPr>
              <w:spacing w:line="240" w:lineRule="atLeast"/>
              <w:jc w:val="left"/>
              <w:rPr>
                <w:rFonts w:hint="default" w:ascii="Times New Roman" w:hAnsi="Times New Roman" w:eastAsia="方正仿宋_GBK" w:cs="Times New Roman"/>
                <w:sz w:val="21"/>
                <w:szCs w:val="21"/>
                <w:lang w:val="en-US" w:eastAsia="zh-CN"/>
              </w:rPr>
            </w:pPr>
          </w:p>
        </w:tc>
        <w:tc>
          <w:tcPr>
            <w:tcW w:w="992" w:type="dxa"/>
            <w:noWrap w:val="0"/>
            <w:vAlign w:val="center"/>
          </w:tcPr>
          <w:p>
            <w:pPr>
              <w:spacing w:line="240" w:lineRule="atLeast"/>
              <w:jc w:val="left"/>
              <w:rPr>
                <w:rFonts w:hint="default" w:ascii="Times New Roman" w:hAnsi="Times New Roman" w:eastAsia="方正仿宋_GBK" w:cs="Times New Roman"/>
                <w:sz w:val="21"/>
                <w:szCs w:val="21"/>
                <w:lang w:val="en-US" w:eastAsia="zh-CN"/>
              </w:rPr>
            </w:pPr>
          </w:p>
        </w:tc>
        <w:tc>
          <w:tcPr>
            <w:tcW w:w="1134" w:type="dxa"/>
            <w:noWrap w:val="0"/>
            <w:vAlign w:val="center"/>
          </w:tcPr>
          <w:p>
            <w:pPr>
              <w:spacing w:line="240" w:lineRule="atLeast"/>
              <w:jc w:val="left"/>
              <w:rPr>
                <w:rFonts w:hint="default" w:ascii="Times New Roman" w:hAnsi="Times New Roman" w:eastAsia="方正仿宋_GBK" w:cs="Times New Roman"/>
                <w:sz w:val="21"/>
                <w:szCs w:val="21"/>
              </w:rPr>
            </w:pPr>
          </w:p>
        </w:tc>
        <w:tc>
          <w:tcPr>
            <w:tcW w:w="1276" w:type="dxa"/>
            <w:noWrap w:val="0"/>
            <w:vAlign w:val="center"/>
          </w:tcPr>
          <w:p>
            <w:pPr>
              <w:spacing w:line="240" w:lineRule="atLeast"/>
              <w:jc w:val="left"/>
              <w:rPr>
                <w:rFonts w:hint="default" w:ascii="Times New Roman" w:hAnsi="Times New Roman" w:eastAsia="方正仿宋_GBK" w:cs="Times New Roman"/>
                <w:color w:val="333333"/>
                <w:sz w:val="21"/>
                <w:szCs w:val="21"/>
                <w:lang w:val="en-US" w:eastAsia="zh-CN"/>
              </w:rPr>
            </w:pPr>
          </w:p>
        </w:tc>
        <w:tc>
          <w:tcPr>
            <w:tcW w:w="1275" w:type="dxa"/>
            <w:noWrap w:val="0"/>
            <w:vAlign w:val="center"/>
          </w:tcPr>
          <w:p>
            <w:pPr>
              <w:spacing w:line="240" w:lineRule="atLeast"/>
              <w:jc w:val="left"/>
              <w:rPr>
                <w:rFonts w:hint="default" w:ascii="Times New Roman" w:hAnsi="Times New Roman" w:eastAsia="方正仿宋_GBK" w:cs="Times New Roman"/>
                <w:color w:val="333333"/>
                <w:sz w:val="21"/>
                <w:szCs w:val="21"/>
              </w:rPr>
            </w:pPr>
          </w:p>
        </w:tc>
        <w:tc>
          <w:tcPr>
            <w:tcW w:w="1276" w:type="dxa"/>
            <w:noWrap w:val="0"/>
            <w:vAlign w:val="center"/>
          </w:tcPr>
          <w:p>
            <w:pPr>
              <w:spacing w:line="240" w:lineRule="atLeast"/>
              <w:jc w:val="left"/>
              <w:rPr>
                <w:rFonts w:hint="default" w:ascii="Times New Roman" w:hAnsi="Times New Roman" w:eastAsia="方正仿宋_GBK" w:cs="Times New Roman"/>
                <w:color w:val="333333"/>
                <w:sz w:val="21"/>
                <w:szCs w:val="21"/>
              </w:rPr>
            </w:pPr>
          </w:p>
        </w:tc>
        <w:tc>
          <w:tcPr>
            <w:tcW w:w="1134" w:type="dxa"/>
            <w:noWrap w:val="0"/>
            <w:vAlign w:val="center"/>
          </w:tcPr>
          <w:p>
            <w:pPr>
              <w:spacing w:line="240" w:lineRule="atLeast"/>
              <w:jc w:val="left"/>
              <w:rPr>
                <w:rFonts w:hint="default" w:ascii="Times New Roman" w:hAnsi="Times New Roman" w:eastAsia="方正仿宋_GBK" w:cs="Times New Roman"/>
                <w:color w:val="333333"/>
                <w:sz w:val="21"/>
                <w:szCs w:val="21"/>
              </w:rPr>
            </w:pPr>
          </w:p>
        </w:tc>
        <w:tc>
          <w:tcPr>
            <w:tcW w:w="709" w:type="dxa"/>
            <w:noWrap w:val="0"/>
            <w:vAlign w:val="center"/>
          </w:tcPr>
          <w:p>
            <w:pPr>
              <w:spacing w:line="240" w:lineRule="atLeast"/>
              <w:jc w:val="left"/>
              <w:rPr>
                <w:rFonts w:hint="default" w:ascii="Times New Roman" w:hAnsi="Times New Roman" w:eastAsia="方正仿宋_GBK" w:cs="Times New Roman"/>
                <w:color w:val="333333"/>
                <w:sz w:val="21"/>
                <w:szCs w:val="21"/>
                <w:shd w:val="clear" w:color="auto" w:fill="FFFFFF"/>
              </w:rPr>
            </w:pPr>
          </w:p>
        </w:tc>
        <w:tc>
          <w:tcPr>
            <w:tcW w:w="709" w:type="dxa"/>
            <w:noWrap w:val="0"/>
            <w:vAlign w:val="center"/>
          </w:tcPr>
          <w:p>
            <w:pPr>
              <w:spacing w:line="240" w:lineRule="atLeast"/>
              <w:jc w:val="left"/>
              <w:rPr>
                <w:rFonts w:hint="default" w:ascii="Times New Roman" w:hAnsi="Times New Roman" w:eastAsia="方正仿宋_GBK" w:cs="Times New Roman"/>
                <w:color w:val="333333"/>
                <w:sz w:val="21"/>
                <w:szCs w:val="21"/>
                <w:shd w:val="clear" w:color="auto" w:fill="FFFFFF"/>
              </w:rPr>
            </w:pPr>
          </w:p>
        </w:tc>
        <w:tc>
          <w:tcPr>
            <w:tcW w:w="708" w:type="dxa"/>
            <w:noWrap w:val="0"/>
            <w:vAlign w:val="center"/>
          </w:tcPr>
          <w:p>
            <w:pPr>
              <w:spacing w:line="240" w:lineRule="atLeast"/>
              <w:jc w:val="left"/>
              <w:rPr>
                <w:rFonts w:hint="default" w:ascii="Times New Roman" w:hAnsi="Times New Roman" w:eastAsia="方正仿宋_GBK" w:cs="Times New Roman"/>
                <w:color w:val="333333"/>
                <w:sz w:val="21"/>
                <w:szCs w:val="21"/>
              </w:rPr>
            </w:pPr>
          </w:p>
        </w:tc>
        <w:tc>
          <w:tcPr>
            <w:tcW w:w="1033" w:type="dxa"/>
            <w:noWrap w:val="0"/>
            <w:vAlign w:val="center"/>
          </w:tcPr>
          <w:p>
            <w:pPr>
              <w:spacing w:line="240" w:lineRule="atLeast"/>
              <w:jc w:val="left"/>
              <w:rPr>
                <w:rFonts w:hint="default" w:ascii="Times New Roman" w:hAnsi="Times New Roman" w:eastAsia="方正仿宋_GBK" w:cs="Times New Roman"/>
                <w:sz w:val="21"/>
                <w:szCs w:val="21"/>
              </w:rPr>
            </w:pPr>
          </w:p>
        </w:tc>
      </w:tr>
    </w:tbl>
    <w:p>
      <w:pPr>
        <w:spacing w:line="240" w:lineRule="atLeas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1.“确认条件”中除第3、4项需填写具体财务数据，其余符合条件的打</w:t>
      </w:r>
      <w:r>
        <w:rPr>
          <w:rFonts w:hint="default" w:ascii="Times New Roman" w:hAnsi="Times New Roman" w:eastAsia="方正仿宋_GBK" w:cs="Times New Roman"/>
          <w:sz w:val="21"/>
          <w:szCs w:val="21"/>
          <w:lang w:eastAsia="zh-CN"/>
        </w:rPr>
        <w:t>“√”</w:t>
      </w:r>
      <w:r>
        <w:rPr>
          <w:rFonts w:hint="default" w:ascii="Times New Roman" w:hAnsi="Times New Roman" w:eastAsia="方正仿宋_GBK" w:cs="Times New Roman"/>
          <w:sz w:val="21"/>
          <w:szCs w:val="21"/>
        </w:rPr>
        <w:t>即可。</w:t>
      </w:r>
    </w:p>
    <w:p>
      <w:pPr>
        <w:spacing w:line="240" w:lineRule="atLeast"/>
        <w:rPr>
          <w:rFonts w:hint="default" w:ascii="Times New Roman" w:hAnsi="Times New Roman" w:eastAsia="方正仿宋_GBK" w:cs="Times New Roman"/>
          <w:bCs/>
          <w:szCs w:val="32"/>
        </w:rPr>
      </w:pPr>
      <w:r>
        <w:rPr>
          <w:rFonts w:hint="default" w:ascii="Times New Roman" w:hAnsi="Times New Roman" w:eastAsia="方正仿宋_GBK" w:cs="Times New Roman"/>
          <w:sz w:val="21"/>
          <w:szCs w:val="21"/>
        </w:rPr>
        <w:t>2.按照《中华人民共和国慈善法》新设立或新认定的慈善组织，在其取得非营利组织免税资格的当年，只需要符合确认条件的第1项、第6项、第7项即可。</w:t>
      </w:r>
    </w:p>
    <w:sectPr>
      <w:footerReference r:id="rId3" w:type="default"/>
      <w:pgSz w:w="16838" w:h="11906" w:orient="landscape"/>
      <w:pgMar w:top="1587" w:right="1440" w:bottom="1474"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方正大标宋_GBK">
    <w:panose1 w:val="03000509000000000000"/>
    <w:charset w:val="86"/>
    <w:family w:val="auto"/>
    <w:pitch w:val="default"/>
    <w:sig w:usb0="00000001" w:usb1="080E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ind w:left="320" w:leftChars="100" w:right="320" w:rightChars="100"/>
      <w:rPr>
        <w:rStyle w:val="9"/>
        <w:rFonts w:hint="eastAsia" w:ascii="宋体" w:eastAsia="仿宋_GB2312"/>
        <w:b/>
        <w:bCs/>
        <w:sz w:val="28"/>
        <w:lang w:eastAsia="zh-CN"/>
      </w:rPr>
    </w:pPr>
    <w:r>
      <w:rPr>
        <w:rStyle w:val="9"/>
        <w:rFonts w:hint="eastAsia"/>
        <w:sz w:val="28"/>
        <w:lang w:val="en-US" w:eastAsia="zh-CN"/>
      </w:rPr>
      <w:t xml:space="preserve"> </w:t>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revisionView w:markup="0"/>
  <w:documentProtection w:enforcement="0"/>
  <w:defaultTabStop w:val="425"/>
  <w:hyphenationZone w:val="360"/>
  <w:drawingGridHorizontalSpacing w:val="315"/>
  <w:drawingGridVerticalSpacing w:val="579"/>
  <w:displayHorizontalDrawingGridEvery w:val="0"/>
  <w:displayVerticalDrawingGridEvery w:val="1"/>
  <w:characterSpacingControl w:val="compressPunctuation"/>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M2YmY3M2JiYTk2ZTQ1YWFhYzczZTRiYjJiNGYyMDMifQ=="/>
  </w:docVars>
  <w:rsids>
    <w:rsidRoot w:val="00AD58BB"/>
    <w:rsid w:val="00002623"/>
    <w:rsid w:val="00013050"/>
    <w:rsid w:val="00035AB4"/>
    <w:rsid w:val="00055102"/>
    <w:rsid w:val="000823EE"/>
    <w:rsid w:val="000848E3"/>
    <w:rsid w:val="00090045"/>
    <w:rsid w:val="000C5B2B"/>
    <w:rsid w:val="000D7AC3"/>
    <w:rsid w:val="000F1860"/>
    <w:rsid w:val="000F42B3"/>
    <w:rsid w:val="00117B3A"/>
    <w:rsid w:val="0013301F"/>
    <w:rsid w:val="00140254"/>
    <w:rsid w:val="00155F87"/>
    <w:rsid w:val="001769A3"/>
    <w:rsid w:val="00180B86"/>
    <w:rsid w:val="00187C90"/>
    <w:rsid w:val="001D182A"/>
    <w:rsid w:val="002109CC"/>
    <w:rsid w:val="00220C65"/>
    <w:rsid w:val="0022339D"/>
    <w:rsid w:val="00223D9D"/>
    <w:rsid w:val="002757C6"/>
    <w:rsid w:val="002A00ED"/>
    <w:rsid w:val="002B3FB8"/>
    <w:rsid w:val="002C155F"/>
    <w:rsid w:val="002C21F8"/>
    <w:rsid w:val="002D6C1A"/>
    <w:rsid w:val="002F0448"/>
    <w:rsid w:val="0032231B"/>
    <w:rsid w:val="00322AD8"/>
    <w:rsid w:val="00341442"/>
    <w:rsid w:val="003420C1"/>
    <w:rsid w:val="00345C48"/>
    <w:rsid w:val="003469DA"/>
    <w:rsid w:val="00352837"/>
    <w:rsid w:val="0039432A"/>
    <w:rsid w:val="003C1D04"/>
    <w:rsid w:val="003C4903"/>
    <w:rsid w:val="003D32E9"/>
    <w:rsid w:val="003E1269"/>
    <w:rsid w:val="003F4F50"/>
    <w:rsid w:val="00404054"/>
    <w:rsid w:val="004517F5"/>
    <w:rsid w:val="00465D1D"/>
    <w:rsid w:val="0048532E"/>
    <w:rsid w:val="00487466"/>
    <w:rsid w:val="00497D58"/>
    <w:rsid w:val="004B3DF1"/>
    <w:rsid w:val="004C0D4C"/>
    <w:rsid w:val="004E6F38"/>
    <w:rsid w:val="00516931"/>
    <w:rsid w:val="00516BEB"/>
    <w:rsid w:val="005250D7"/>
    <w:rsid w:val="005450B1"/>
    <w:rsid w:val="00585AE1"/>
    <w:rsid w:val="00585C55"/>
    <w:rsid w:val="00596341"/>
    <w:rsid w:val="005B492F"/>
    <w:rsid w:val="005B5326"/>
    <w:rsid w:val="005C5443"/>
    <w:rsid w:val="005C79B1"/>
    <w:rsid w:val="005D5FFE"/>
    <w:rsid w:val="005E33B5"/>
    <w:rsid w:val="00616704"/>
    <w:rsid w:val="0064691B"/>
    <w:rsid w:val="0065031D"/>
    <w:rsid w:val="00667323"/>
    <w:rsid w:val="00695E81"/>
    <w:rsid w:val="00697128"/>
    <w:rsid w:val="006C35F7"/>
    <w:rsid w:val="006D36A0"/>
    <w:rsid w:val="006E2F43"/>
    <w:rsid w:val="006E6F0F"/>
    <w:rsid w:val="00707169"/>
    <w:rsid w:val="00713CDC"/>
    <w:rsid w:val="00720EB4"/>
    <w:rsid w:val="00727B2D"/>
    <w:rsid w:val="00772870"/>
    <w:rsid w:val="007A050A"/>
    <w:rsid w:val="007B693A"/>
    <w:rsid w:val="007C013C"/>
    <w:rsid w:val="007C10F4"/>
    <w:rsid w:val="007C6BA9"/>
    <w:rsid w:val="007D4481"/>
    <w:rsid w:val="007D64B6"/>
    <w:rsid w:val="007F228D"/>
    <w:rsid w:val="007F2573"/>
    <w:rsid w:val="007F2B9F"/>
    <w:rsid w:val="00803762"/>
    <w:rsid w:val="0081753C"/>
    <w:rsid w:val="00830A02"/>
    <w:rsid w:val="00833266"/>
    <w:rsid w:val="008455E4"/>
    <w:rsid w:val="00853C2B"/>
    <w:rsid w:val="00857DC3"/>
    <w:rsid w:val="00865392"/>
    <w:rsid w:val="00874B43"/>
    <w:rsid w:val="00892292"/>
    <w:rsid w:val="008A3BD8"/>
    <w:rsid w:val="008C102B"/>
    <w:rsid w:val="00906311"/>
    <w:rsid w:val="00964AE5"/>
    <w:rsid w:val="00973E7A"/>
    <w:rsid w:val="00994E31"/>
    <w:rsid w:val="009A78A8"/>
    <w:rsid w:val="009D065B"/>
    <w:rsid w:val="009D075D"/>
    <w:rsid w:val="00A042BC"/>
    <w:rsid w:val="00A22D02"/>
    <w:rsid w:val="00A45405"/>
    <w:rsid w:val="00A72569"/>
    <w:rsid w:val="00A97D52"/>
    <w:rsid w:val="00AA3AA5"/>
    <w:rsid w:val="00AC09D6"/>
    <w:rsid w:val="00AC21D9"/>
    <w:rsid w:val="00AD58BB"/>
    <w:rsid w:val="00B009CC"/>
    <w:rsid w:val="00B00E6E"/>
    <w:rsid w:val="00B452CD"/>
    <w:rsid w:val="00B66E53"/>
    <w:rsid w:val="00B733B5"/>
    <w:rsid w:val="00B800AD"/>
    <w:rsid w:val="00BA3E8B"/>
    <w:rsid w:val="00BE38D0"/>
    <w:rsid w:val="00C0267B"/>
    <w:rsid w:val="00C43587"/>
    <w:rsid w:val="00C4724A"/>
    <w:rsid w:val="00C47A36"/>
    <w:rsid w:val="00C62749"/>
    <w:rsid w:val="00C6375C"/>
    <w:rsid w:val="00C7040A"/>
    <w:rsid w:val="00C8312F"/>
    <w:rsid w:val="00C87FBB"/>
    <w:rsid w:val="00CA3760"/>
    <w:rsid w:val="00CE259D"/>
    <w:rsid w:val="00CE4F6C"/>
    <w:rsid w:val="00CF34F3"/>
    <w:rsid w:val="00D248B3"/>
    <w:rsid w:val="00D270F3"/>
    <w:rsid w:val="00D548AF"/>
    <w:rsid w:val="00D63387"/>
    <w:rsid w:val="00D9433D"/>
    <w:rsid w:val="00D94F8B"/>
    <w:rsid w:val="00DA002E"/>
    <w:rsid w:val="00DA79FF"/>
    <w:rsid w:val="00DC789B"/>
    <w:rsid w:val="00DD2DFE"/>
    <w:rsid w:val="00DD46C9"/>
    <w:rsid w:val="00E1074C"/>
    <w:rsid w:val="00E16417"/>
    <w:rsid w:val="00E24767"/>
    <w:rsid w:val="00E549A7"/>
    <w:rsid w:val="00ED06D7"/>
    <w:rsid w:val="00EF36CE"/>
    <w:rsid w:val="00EF6C3D"/>
    <w:rsid w:val="00F072EB"/>
    <w:rsid w:val="00F24E01"/>
    <w:rsid w:val="00F46D62"/>
    <w:rsid w:val="00F60094"/>
    <w:rsid w:val="00F66929"/>
    <w:rsid w:val="00F7356C"/>
    <w:rsid w:val="00F81930"/>
    <w:rsid w:val="00F91FBB"/>
    <w:rsid w:val="00FC31B0"/>
    <w:rsid w:val="00FD10CE"/>
    <w:rsid w:val="00FE0B13"/>
    <w:rsid w:val="092D4AAC"/>
    <w:rsid w:val="3C7E0919"/>
    <w:rsid w:val="3E8E66F3"/>
    <w:rsid w:val="4BBE76AF"/>
    <w:rsid w:val="5FDE0E87"/>
    <w:rsid w:val="5FFF0F23"/>
    <w:rsid w:val="6D316CCC"/>
    <w:rsid w:val="79F5D4CA"/>
    <w:rsid w:val="7BFE67AA"/>
    <w:rsid w:val="7CFEB944"/>
    <w:rsid w:val="7FF94C90"/>
    <w:rsid w:val="D779A285"/>
    <w:rsid w:val="DEDD84F2"/>
    <w:rsid w:val="E3AB2A94"/>
    <w:rsid w:val="FFDFA1A4"/>
    <w:rsid w:val="FFE912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560" w:firstLineChars="200"/>
    </w:pPr>
    <w:rPr>
      <w:sz w:val="28"/>
      <w:szCs w:val="24"/>
    </w:rPr>
  </w:style>
  <w:style w:type="paragraph" w:styleId="3">
    <w:name w:val="Plain Tex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4">
    <w:name w:val="Date"/>
    <w:basedOn w:val="1"/>
    <w:next w:val="1"/>
    <w:qFormat/>
    <w:uiPriority w:val="0"/>
    <w:pPr>
      <w:ind w:left="100" w:leftChars="2500"/>
    </w:pPr>
    <w:rPr>
      <w:rFonts w:eastAsia="方正仿宋简体"/>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character" w:styleId="9">
    <w:name w:val="page number"/>
    <w:basedOn w:val="8"/>
    <w:qFormat/>
    <w:uiPriority w:val="0"/>
  </w:style>
  <w:style w:type="character" w:styleId="10">
    <w:name w:val="Hyperlink"/>
    <w:qFormat/>
    <w:uiPriority w:val="0"/>
    <w:rPr>
      <w:color w:val="0000FF"/>
      <w:u w:val="single"/>
    </w:rPr>
  </w:style>
  <w:style w:type="paragraph" w:customStyle="1" w:styleId="11">
    <w:name w:val=" Char"/>
    <w:basedOn w:val="1"/>
    <w:qFormat/>
    <w:uiPriority w:val="0"/>
    <w:rPr>
      <w:rFonts w:ascii="Tahoma" w:hAnsi="Tahoma"/>
      <w:sz w:val="24"/>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opt/apps/cn.wps.wps-office-pro/files/kingsoft/wps-office/office6/C:\Program%20Files\Common%20Files\gwb\gwb0.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gwb0</Template>
  <Company> </Company>
  <Pages>7</Pages>
  <Words>515</Words>
  <Characters>2936</Characters>
  <Lines>24</Lines>
  <Paragraphs>6</Paragraphs>
  <TotalTime>10</TotalTime>
  <ScaleCrop>false</ScaleCrop>
  <LinksUpToDate>false</LinksUpToDate>
  <CharactersWithSpaces>3445</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2004-07-21T16:37:00Z</dcterms:created>
  <dc:creator>user</dc:creator>
  <cp:lastModifiedBy>greatwall</cp:lastModifiedBy>
  <cp:lastPrinted>2026-03-10T09:57:58Z</cp:lastPrinted>
  <dcterms:modified xsi:type="dcterms:W3CDTF">2026-03-10T09:58:05Z</dcterms:modified>
  <dc:title>江民函〔2026〕XX号</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8C5C570C8CDE022BD869AF69BAA75A70</vt:lpwstr>
  </property>
</Properties>
</file>