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59D3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</w:t>
      </w:r>
    </w:p>
    <w:p w14:paraId="1E260D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jc w:val="center"/>
        <w:textAlignment w:val="auto"/>
        <w:rPr>
          <w:rFonts w:hint="default" w:ascii="Times New Roman" w:hAnsi="Times New Roman" w:eastAsia="方正大标宋_GBK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方正大标宋_GBK" w:cs="Times New Roman"/>
          <w:sz w:val="44"/>
          <w:szCs w:val="44"/>
          <w:lang w:eastAsia="zh-CN"/>
        </w:rPr>
        <w:t>江门</w:t>
      </w:r>
      <w:r>
        <w:rPr>
          <w:rFonts w:hint="default" w:ascii="Times New Roman" w:hAnsi="Times New Roman" w:eastAsia="方正大标宋_GBK" w:cs="Times New Roman"/>
          <w:sz w:val="44"/>
          <w:szCs w:val="44"/>
        </w:rPr>
        <w:t>市科技企业孵化载体运营评价</w:t>
      </w:r>
      <w:r>
        <w:rPr>
          <w:rFonts w:hint="default" w:ascii="Times New Roman" w:hAnsi="Times New Roman" w:eastAsia="方正大标宋_GBK" w:cs="Times New Roman"/>
          <w:sz w:val="44"/>
          <w:szCs w:val="44"/>
        </w:rPr>
        <w:br w:type="textWrapping"/>
      </w:r>
      <w:r>
        <w:rPr>
          <w:rFonts w:hint="default" w:ascii="Times New Roman" w:hAnsi="Times New Roman" w:eastAsia="方正大标宋_GBK" w:cs="Times New Roman"/>
          <w:sz w:val="44"/>
          <w:szCs w:val="44"/>
        </w:rPr>
        <w:t>指标体系</w:t>
      </w:r>
    </w:p>
    <w:p w14:paraId="6B621E8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textAlignment w:val="auto"/>
        <w:rPr>
          <w:rFonts w:hint="default" w:ascii="Times New Roman" w:hAnsi="Times New Roman" w:eastAsia="仿宋" w:cs="Times New Roman"/>
          <w:sz w:val="31"/>
          <w:szCs w:val="31"/>
        </w:rPr>
      </w:pPr>
    </w:p>
    <w:p w14:paraId="2E64AB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为全力推进“科技引领”工程，推动我市科技孵化育成体系高质量发展，提高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我市科技企业孵化载体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孵化服务水平，发挥孵化载体在加速科研成果转化、加快培育新动能、促进地方经济转型升级、推动科技和经济融通发展中的重要作用，根据《广东省科技孵化育成体系高质量发展专项行动计划（2021-2025年）》、《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江门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市科技企业孵化载体管理办法》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《江门市科技孵化育成体系提质发展扶持办法（试行）》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等文件要求，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参照国家、省运营运营评价指标体系，结合我市实际，研究制定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《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江门市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科技企业孵化载体运营评价指标体系》（以下简称“指标体系”）。</w:t>
      </w:r>
    </w:p>
    <w:p w14:paraId="034DB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一、评价原则</w:t>
      </w:r>
    </w:p>
    <w:p w14:paraId="3008A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（一）目标导向。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以支撑国家创新驱动发展战略，推动创新创业高质量发展为目标，以提升孵化载体可持续发展能力为导向。</w:t>
      </w:r>
    </w:p>
    <w:p w14:paraId="0FE61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（二）科学客观。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评价指标设置注重科学性、公平性，按照定量与定性指标相结合，以年度火炬统计数据和运营工作报告为主要依据进行评价。</w:t>
      </w:r>
    </w:p>
    <w:p w14:paraId="3BA21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（三）突出重点。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注重孵化载体建设质量和服务体系，引导孵化载体专业化、特色化发展。</w:t>
      </w:r>
    </w:p>
    <w:p w14:paraId="16DE1B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（四）引导激励。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综合运用评价结果，健全激励机制，引导孵化载体加强运营管理，增强服务意识，提升服务效能。</w:t>
      </w:r>
    </w:p>
    <w:p w14:paraId="2EEEC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（五）动态调整。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指标体系将随着我市孵化载体发展水平的提升实行动态调整，以保障孵化载体不断适应创新创业的新需求。</w:t>
      </w:r>
    </w:p>
    <w:p w14:paraId="28E5F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二、评价</w:t>
      </w: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内容</w:t>
      </w:r>
    </w:p>
    <w:p w14:paraId="0035AB8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（一）评价对象：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在江门市内注册的独立法人，且经市级（含）以上科技主管部门认定的科技企业孵化器、科技企业加速器、大学科技园等科技企业孵化载体。</w:t>
      </w:r>
    </w:p>
    <w:p w14:paraId="6673E1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 w:val="0"/>
          <w:sz w:val="32"/>
          <w:szCs w:val="32"/>
          <w:lang w:eastAsia="zh-CN"/>
        </w:rPr>
        <w:t>（二）评价内容（</w:t>
      </w:r>
      <w:r>
        <w:rPr>
          <w:rFonts w:hint="default" w:ascii="Times New Roman" w:hAnsi="Times New Roman" w:eastAsia="方正楷体_GBK" w:cs="Times New Roman"/>
          <w:b w:val="0"/>
          <w:bCs w:val="0"/>
          <w:sz w:val="32"/>
          <w:szCs w:val="32"/>
          <w:lang w:val="en-US" w:eastAsia="zh-CN"/>
        </w:rPr>
        <w:t>详见附件）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：科技企业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孵化载体运营评价综合得分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总分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120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由基本情况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服务能力、孵化绩效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及加分项构成。基本情况占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,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主要考核孵化载体的场地基本情况、孵化载体资质等级与提升情况及参与火炬统计、运营评价情况等；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服务能力占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,包括孵化器总收入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、孵化基金情况、管理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团队建设、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创业导师情况、引进（签约）中介服务机构情况、公共（专业）技术服务平台建设情况以及开展创新创业活动情况等；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孵化绩效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占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45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主要考核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包括在孵企业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和毕业企业的相关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情况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，如在孵企业知识产权情况、投融资情况、研发投入、高企和科技型中小企业数量占比、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毕业企业（挂牌）上市情况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等；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加分项占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，包括推动产学研合作、推动大中小融通发展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开展粤港澳及国际化创新创业工作、高新技术企业“小升规”情况、开展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孵化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链条建设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工作等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 w14:paraId="41766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黑体_GBK" w:cs="Times New Roman"/>
          <w:sz w:val="32"/>
          <w:szCs w:val="32"/>
        </w:rPr>
        <w:t>、组织实施</w:t>
      </w:r>
    </w:p>
    <w:p w14:paraId="4EA72E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（一）评价频率。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每年开展一次评价工作，评价周期为评价年份1月1日至12月31日。</w:t>
      </w:r>
    </w:p>
    <w:p w14:paraId="1CA3AE3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（二）组织实施。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评价对象按照有关要求，按期如实上报火炬统计数据、运营评价工作报告和相关佐证资料。市科技局委托第三方机构开展运营评价工作，发布评价结果，并将评价结果作为支持我市科技企业孵化载体发展的重要依据。不按规定时间和要求填报数据、提供评价资料或提供虚假评价资料的市级孵化载体，当年考核不合格。</w:t>
      </w:r>
    </w:p>
    <w:p w14:paraId="61B5D1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（三）结果运营。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评价结果分为优秀（A）、良好（B）、合格（C）和不合格（D）四个等级。当年运营评价为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D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级的，限期1年内进行整改，整改仍不合格的取消资格。</w:t>
      </w:r>
    </w:p>
    <w:p w14:paraId="5FBD9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四、附则</w:t>
      </w:r>
    </w:p>
    <w:p w14:paraId="629DC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本运营评价指标体系由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江门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市科学技术局负责解释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自印发之日起实施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有效期至202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年12月31日。</w:t>
      </w:r>
    </w:p>
    <w:p w14:paraId="7C9AE0D7">
      <w:pPr>
        <w:rPr>
          <w:rFonts w:ascii="Times New Roman" w:hAnsi="Times New Roman"/>
        </w:rPr>
      </w:pPr>
    </w:p>
    <w:p w14:paraId="7F9AA96B">
      <w:pPr>
        <w:rPr>
          <w:rFonts w:ascii="Times New Roman" w:hAnsi="Times New Roman"/>
        </w:rPr>
      </w:pPr>
    </w:p>
    <w:p w14:paraId="31CBEBA8">
      <w:pPr>
        <w:rPr>
          <w:rFonts w:ascii="Times New Roman" w:hAnsi="Times New Roman"/>
        </w:rPr>
      </w:pPr>
    </w:p>
    <w:p w14:paraId="70950668">
      <w:pPr>
        <w:rPr>
          <w:rFonts w:ascii="Times New Roman" w:hAnsi="Times New Roman"/>
        </w:rPr>
      </w:pPr>
    </w:p>
    <w:p w14:paraId="75FBB52F">
      <w:pPr>
        <w:rPr>
          <w:rFonts w:ascii="Times New Roman" w:hAnsi="Times New Roman"/>
        </w:rPr>
      </w:pPr>
    </w:p>
    <w:p w14:paraId="7F00E856">
      <w:pPr>
        <w:rPr>
          <w:rFonts w:ascii="Times New Roman" w:hAnsi="Times New Roman"/>
        </w:rPr>
      </w:pPr>
    </w:p>
    <w:p w14:paraId="3FCE55C1">
      <w:pPr>
        <w:rPr>
          <w:rFonts w:ascii="Times New Roman" w:hAnsi="Times New Roman"/>
        </w:rPr>
      </w:pPr>
    </w:p>
    <w:p w14:paraId="5C35EE0F">
      <w:pPr>
        <w:rPr>
          <w:rFonts w:ascii="Times New Roman" w:hAnsi="Times New Roman"/>
        </w:rPr>
      </w:pPr>
    </w:p>
    <w:p w14:paraId="16A67D38">
      <w:pPr>
        <w:rPr>
          <w:rFonts w:ascii="Times New Roman" w:hAnsi="Times New Roman"/>
        </w:rPr>
      </w:pPr>
    </w:p>
    <w:p w14:paraId="5897A952">
      <w:pPr>
        <w:rPr>
          <w:rFonts w:ascii="Times New Roman" w:hAnsi="Times New Roman"/>
        </w:rPr>
      </w:pPr>
    </w:p>
    <w:p w14:paraId="5CA043FC">
      <w:pPr>
        <w:rPr>
          <w:rFonts w:ascii="Times New Roman" w:hAnsi="Times New Roman"/>
        </w:rPr>
      </w:pPr>
    </w:p>
    <w:p w14:paraId="38F79704">
      <w:pPr>
        <w:rPr>
          <w:rFonts w:ascii="Times New Roman" w:hAnsi="Times New Roman"/>
        </w:rPr>
      </w:pPr>
    </w:p>
    <w:p w14:paraId="3F9E0527">
      <w:pPr>
        <w:rPr>
          <w:rFonts w:ascii="Times New Roman" w:hAnsi="Times New Roman"/>
        </w:rPr>
      </w:pPr>
    </w:p>
    <w:p w14:paraId="590CF6A8">
      <w:pPr>
        <w:rPr>
          <w:rFonts w:ascii="Times New Roman" w:hAnsi="Times New Roman"/>
        </w:rPr>
      </w:pPr>
    </w:p>
    <w:p w14:paraId="37EDB9DA">
      <w:pPr>
        <w:rPr>
          <w:rFonts w:ascii="Times New Roman" w:hAnsi="Times New Roman"/>
        </w:rPr>
      </w:pPr>
    </w:p>
    <w:p w14:paraId="769258F9">
      <w:pPr>
        <w:rPr>
          <w:rFonts w:ascii="Times New Roman" w:hAnsi="Times New Roman"/>
        </w:rPr>
      </w:pPr>
    </w:p>
    <w:p w14:paraId="1486A7DF">
      <w:pPr>
        <w:rPr>
          <w:rFonts w:hint="default" w:ascii="Times New Roman" w:hAnsi="Times New Roman" w:eastAsia="华文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华文仿宋" w:cs="Times New Roman"/>
          <w:sz w:val="32"/>
          <w:szCs w:val="32"/>
          <w:lang w:val="en-US" w:eastAsia="zh-CN"/>
        </w:rPr>
        <w:t>附件：</w:t>
      </w:r>
    </w:p>
    <w:p w14:paraId="356E127D">
      <w:pPr>
        <w:jc w:val="center"/>
        <w:rPr>
          <w:rFonts w:hint="default" w:ascii="Times New Roman" w:hAnsi="Times New Roman" w:eastAsia="方正大标宋_GBK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大标宋_GBK" w:cs="Times New Roman"/>
          <w:sz w:val="44"/>
          <w:szCs w:val="44"/>
          <w:lang w:val="en-US" w:eastAsia="zh-CN"/>
        </w:rPr>
        <w:t>江门市科技企业孵化载体运营评价指标体系</w:t>
      </w:r>
    </w:p>
    <w:tbl>
      <w:tblPr>
        <w:tblStyle w:val="2"/>
        <w:tblW w:w="9759" w:type="dxa"/>
        <w:tblInd w:w="-3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2101"/>
        <w:gridCol w:w="707"/>
        <w:gridCol w:w="707"/>
        <w:gridCol w:w="707"/>
        <w:gridCol w:w="4125"/>
      </w:tblGrid>
      <w:tr w14:paraId="2D7BD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14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36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00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分值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13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6E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定量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E4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 估 标 准</w:t>
            </w:r>
          </w:p>
        </w:tc>
      </w:tr>
      <w:tr w14:paraId="37ECC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5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67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（20）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48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 孵化场地和结构情况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84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88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F9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44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①可自主支配的孵化场地使用面积：3000㎡-6000㎡，得2分；6000㎡-10000㎡，得3分；10000㎡（含）以上，得4分。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②建有展厅或项目路演大厅等公共配套活动空间得1分，没有该项不得分。</w:t>
            </w:r>
          </w:p>
        </w:tc>
      </w:tr>
      <w:tr w14:paraId="0F724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D61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C9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 孵化载体参与火炬统计及相关运营评价情况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A9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05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E9D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F0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①积极配合及完成年度火炬统计工作，得3分；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②积极参加各级运营评价工作，得2分；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③当年参加国家级或省级运营评价，获评B级（良好）以上，得3分；</w:t>
            </w:r>
          </w:p>
        </w:tc>
      </w:tr>
      <w:tr w14:paraId="06F54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1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43D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92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 孵化载体资质等级与提升情况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15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7B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3D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30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①省级或国家级孵化载体，得2分；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②当年（含2021年）获得省级孵化载体资质，得3分；当年（含2021年）获得国家级孵化载体资质，得5分。（注：同年获得省级和国家级资质的，分项从高不重复）</w:t>
            </w:r>
          </w:p>
        </w:tc>
      </w:tr>
      <w:tr w14:paraId="4787A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2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AA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服务能力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（35分）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F9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 孵化载体总收入情况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7A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C8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C3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12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①增长情况：孵化载体当年总收入比上一年度总收入增长比例，不低于5%，得1分；不低于10%，得2分；不低于20%，得3分；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②综合服务收入和投资收入占总收入比例：孵化载体除房屋及物业收入外的收入占总收入的比例，不低于10%，得1分；不低于20%，得2分；不低于30%，得3分。</w:t>
            </w:r>
          </w:p>
        </w:tc>
      </w:tr>
      <w:tr w14:paraId="56F38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592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05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 孵化基金总额及增长情况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AF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C47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EE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CA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①建立孵化基金(不低于300万)，得1分；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②当年新增孵化基金的，每增加200万，加1分，最多得2分。</w:t>
            </w:r>
          </w:p>
        </w:tc>
      </w:tr>
      <w:tr w14:paraId="7833F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CFC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00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 孵化载体管理团队人数，专业素质情况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8E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FA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93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1B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①专业孵化服务人员与在孵企业比例不少于1:10，得1分；不少于1:6，得2分；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②专业孵化服务人员占运营单位总人数不少于60%，得1分；不少于80%，得2分；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③服务人员中具有专科以上学历的占50%以上，得1分，否则0分。</w:t>
            </w:r>
          </w:p>
        </w:tc>
      </w:tr>
      <w:tr w14:paraId="7C354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1F2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5A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 创业导师数量，开展辅导服务情况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70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E8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35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27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①聘请创业导师3名及以上，得1分；6名及以上，得2分；9名及以上，得3分；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②创业导师对接企业及辅导情况，每个企业案例得1分，最高5分。</w:t>
            </w:r>
          </w:p>
        </w:tc>
      </w:tr>
      <w:tr w14:paraId="0E404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52A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6B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 引入（签约）中介服务机构数量，开展服务情况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0A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69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4F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831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①引入（签约）中介服务机构5家以上，得2分；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②每提供一个服务企业案例加1分，最高得2分。</w:t>
            </w:r>
          </w:p>
        </w:tc>
      </w:tr>
      <w:tr w14:paraId="4C8D0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21A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0A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 公共（专业）技术服务平台建设及服务情况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8E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D2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4C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A0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①建有公共（专业）技术服务平台，得2分；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②提供平台服务或应用案例，每个案例得1分，最高得2分。</w:t>
            </w:r>
          </w:p>
        </w:tc>
      </w:tr>
      <w:tr w14:paraId="7736C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3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266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41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 开展创新创业活动情况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CB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4F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25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84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①每举办1场双创活动得0.5分，最高得2分；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②在孵企业参加中国创新创业大赛成功报名的每增加1家得0.5分，最高3分。</w:t>
            </w:r>
          </w:p>
        </w:tc>
      </w:tr>
      <w:tr w14:paraId="0783E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48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孵化绩效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（45分）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3F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 在孵企业总数，当年新增在孵企业情况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1A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06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ED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39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①每千平米不少于3家在孵企业的，得2分；每千平米不少于5家在孵企业及以上的，得4分；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②当年新增在孵企业与在孵企业总数占比，不低于5%，得1分；不低于10%，得2分；不低于20%，得4分。</w:t>
            </w:r>
          </w:p>
        </w:tc>
      </w:tr>
      <w:tr w14:paraId="7D533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864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C2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 在孵企业知识产权情况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05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18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0A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B6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当年在孵企业知识产权总授权数和总申请数的数量和，按照数量和的排序打分。</w:t>
            </w:r>
          </w:p>
        </w:tc>
      </w:tr>
      <w:tr w14:paraId="2B13D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1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DB2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79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 当年获得投融资的企业数量，投融资案例情况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24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E88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72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55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①当年不少于1家在孵企业获得投融资的，得2分；（注：需提供投融资案例）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②每增加1家，加2分，最高得6分；</w:t>
            </w:r>
          </w:p>
        </w:tc>
      </w:tr>
      <w:tr w14:paraId="40B52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73A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96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 在孵企业研发总投入占在孵企业总收入的比例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65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625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C5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B5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在孵企业研发总投入占在孵企业总收入的比例，低于5%得2分，不低于5%得4分，不低于10%，得6分。</w:t>
            </w:r>
          </w:p>
        </w:tc>
      </w:tr>
      <w:tr w14:paraId="17D79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98A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14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3.5在孵企业中科技型中小企业数量占比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2C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8F8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E3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F2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科技型中小企业占比≥20%，得5分；占比≥10%，得3分；占比低于10%，但在孵企业中有科技型中小企业的，得2分，否则得0分。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（注：科技型中小企业指符合《科技型中小企业评价工作指引》（国科火字〔2020〕67号）要求。）</w:t>
            </w:r>
          </w:p>
        </w:tc>
      </w:tr>
      <w:tr w14:paraId="1EAF4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8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418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C7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 在孵企业中高新技术企业数量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09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E9F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A8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55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在孵企业当年获得国家高新技术企业数1家，得3分；每增加1家，该项评估增加1分，直至增加5分为止；年度未获得国家高新技术企业，该项评估不得分。</w:t>
            </w:r>
          </w:p>
        </w:tc>
      </w:tr>
      <w:tr w14:paraId="72B1E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ADC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D0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 当年毕业企业数量，以及毕业企业（挂牌）上市情况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D5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FDC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44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44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①当年毕业企业数量每增加1家，得1分，最高得5分；当年无毕业企业，不得分；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②当年毕业企业中有（挂牌）上市的，得3分，否则该项不得分。</w:t>
            </w:r>
          </w:p>
        </w:tc>
      </w:tr>
      <w:tr w14:paraId="02EC1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8D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加分项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（20分）</w:t>
            </w: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EE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 推动产学研合作、推动大中小融通发展、促进地区经济发展等方面的工作及成效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75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E4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74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7E1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孵化载体与高校、科研院所、大企业等主体合作，开展技术对接、成果转化、联合研发、人才培养、资金融通、品牌嫁接、资源共享等方面的合作.</w:t>
            </w:r>
          </w:p>
        </w:tc>
      </w:tr>
      <w:tr w14:paraId="11559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56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A0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 开展粤港澳及国际化创新创业工作，促进相关资源对接成效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17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F1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5A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60A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  <w:t>开展国际和港澳台合作，引进国际和港澳台创新资源方面的工作证明材料，如引进香港、澳门、国外人才、项目等创新资源落地的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情况。</w:t>
            </w:r>
          </w:p>
        </w:tc>
      </w:tr>
      <w:tr w14:paraId="4EEAA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4FA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07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 高新技术企业“小升规”情况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0C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8F1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89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98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当年培育高新技术企业“小升规”，每1家得2分，最高得4分。</w:t>
            </w:r>
          </w:p>
        </w:tc>
      </w:tr>
      <w:tr w14:paraId="5B5A4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B8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73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 开展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孵化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链条建设工作及成效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FF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91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BAD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74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指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  <w:t>开展“众创空间-孵化器-加速器”链条建设工作及成效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504D6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35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DA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62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4BD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</w:tbl>
    <w:p w14:paraId="5E549148">
      <w:pPr>
        <w:rPr>
          <w:rFonts w:ascii="Times New Roman" w:hAnsi="Times New Roman"/>
        </w:rPr>
      </w:pPr>
    </w:p>
    <w:sectPr>
      <w:pgSz w:w="11906" w:h="16838"/>
      <w:pgMar w:top="2154" w:right="1587" w:bottom="153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BD7F984F"/>
    <w:rsid w:val="2FC52A91"/>
    <w:rsid w:val="61FB5EF0"/>
    <w:rsid w:val="7ED606C4"/>
    <w:rsid w:val="A7FFC49A"/>
    <w:rsid w:val="BD7F984F"/>
    <w:rsid w:val="FAF4FA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3131</Words>
  <Characters>3276</Characters>
  <Lines>0</Lines>
  <Paragraphs>0</Paragraphs>
  <TotalTime>10</TotalTime>
  <ScaleCrop>false</ScaleCrop>
  <LinksUpToDate>false</LinksUpToDate>
  <CharactersWithSpaces>3299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2023-06-27T18:12:00Z</dcterms:created>
  <dc:creator>greatwall</dc:creator>
  <cp:lastModifiedBy>莫奔华</cp:lastModifiedBy>
  <dcterms:modified xsi:type="dcterms:W3CDTF">2026-03-25T03:26:00Z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936AF0AED4A514EB2A3BA664E6BE2599</vt:lpwstr>
  </property>
  <property fmtid="{D5CDD505-2E9C-101B-9397-08002B2CF9AE}" pid="4" name="KSOTemplateDocerSaveRecord">
    <vt:lpwstr>eyJoZGlkIjoiYWQxYmM3OTI3YzQxNzQwOTdiODJkMDYxNzgzZGQyZTciLCJ1c2VySWQiOiIxNjY1NDQxODkyIn0=</vt:lpwstr>
  </property>
</Properties>
</file>