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jc w:val="center"/>
        <w:rPr>
          <w:rFonts w:ascii="方正小标宋简体" w:hAnsi="Times New Roman" w:eastAsia="方正小标宋简体" w:cs="Times New Roman"/>
          <w:b w:val="0"/>
          <w:color w:val="000000" w:themeColor="text1"/>
          <w:spacing w:val="6"/>
          <w:sz w:val="44"/>
          <w:szCs w:val="44"/>
          <w:highlight w:val="none"/>
          <w:shd w:val="clear" w:color="auto" w:fill="auto"/>
          <w14:textFill>
            <w14:solidFill>
              <w14:schemeClr w14:val="tx1"/>
            </w14:solidFill>
          </w14:textFill>
        </w:rPr>
      </w:pPr>
      <w:r>
        <w:rPr>
          <w:rFonts w:hint="eastAsia" w:ascii="方正小标宋简体" w:hAnsi="Times New Roman" w:eastAsia="方正小标宋简体"/>
          <w:bCs w:val="0"/>
          <w:spacing w:val="6"/>
          <w:sz w:val="44"/>
          <w:szCs w:val="44"/>
          <w:highlight w:val="none"/>
        </w:rPr>
        <w:t>江门市市场监督管理局</w:t>
      </w:r>
      <w:r>
        <w:rPr>
          <w:rFonts w:hint="eastAsia" w:ascii="方正小标宋简体" w:eastAsia="方正小标宋简体"/>
          <w:spacing w:val="6"/>
          <w:sz w:val="44"/>
          <w:szCs w:val="44"/>
          <w:highlight w:val="none"/>
        </w:rPr>
        <w:t>公平竞争审查第三方评估</w:t>
      </w:r>
      <w:r>
        <w:rPr>
          <w:rFonts w:ascii="方正小标宋简体" w:eastAsia="方正小标宋简体"/>
          <w:spacing w:val="6"/>
          <w:sz w:val="44"/>
          <w:szCs w:val="44"/>
          <w:highlight w:val="none"/>
        </w:rPr>
        <w:t>服务项目</w:t>
      </w:r>
      <w:r>
        <w:rPr>
          <w:rFonts w:hint="eastAsia" w:ascii="方正小标宋简体" w:hAnsi="Times New Roman" w:eastAsia="方正小标宋简体" w:cs="Times New Roman"/>
          <w:b w:val="0"/>
          <w:color w:val="000000" w:themeColor="text1"/>
          <w:spacing w:val="6"/>
          <w:sz w:val="44"/>
          <w:szCs w:val="44"/>
          <w:highlight w:val="none"/>
          <w:shd w:val="clear" w:color="auto" w:fill="auto"/>
          <w14:textFill>
            <w14:solidFill>
              <w14:schemeClr w14:val="tx1"/>
            </w14:solidFill>
          </w14:textFill>
        </w:rPr>
        <w:t>合同</w:t>
      </w:r>
    </w:p>
    <w:p>
      <w:pPr>
        <w:spacing w:line="480" w:lineRule="exact"/>
        <w:jc w:val="center"/>
        <w:rPr>
          <w:rFonts w:ascii="宋体" w:hAnsi="宋体" w:eastAsia="宋体" w:cs="宋体"/>
          <w:b/>
          <w:color w:val="000000" w:themeColor="text1"/>
          <w:sz w:val="32"/>
          <w:szCs w:val="32"/>
          <w:highlight w:val="none"/>
          <w:shd w:val="clear" w:color="auto" w:fill="FFFFFF"/>
          <w14:textFill>
            <w14:solidFill>
              <w14:schemeClr w14:val="tx1"/>
            </w14:solidFill>
          </w14:textFill>
        </w:rPr>
      </w:pPr>
    </w:p>
    <w:p>
      <w:pPr>
        <w:spacing w:line="480" w:lineRule="exact"/>
        <w:rPr>
          <w:rFonts w:ascii="仿宋" w:hAnsi="仿宋" w:eastAsia="仿宋" w:cs="仿宋"/>
          <w:b/>
          <w:color w:val="000000"/>
          <w:sz w:val="28"/>
          <w:szCs w:val="28"/>
          <w:highlight w:val="none"/>
          <w:u w:val="single"/>
        </w:rPr>
      </w:pPr>
      <w:r>
        <w:rPr>
          <w:rFonts w:hint="eastAsia" w:ascii="仿宋" w:hAnsi="仿宋" w:eastAsia="仿宋" w:cs="仿宋"/>
          <w:b/>
          <w:bCs/>
          <w:color w:val="000000"/>
          <w:sz w:val="28"/>
          <w:szCs w:val="28"/>
          <w:highlight w:val="none"/>
        </w:rPr>
        <w:t>甲方</w:t>
      </w:r>
      <w:r>
        <w:rPr>
          <w:rFonts w:hint="eastAsia" w:ascii="仿宋" w:hAnsi="仿宋" w:eastAsia="仿宋" w:cs="仿宋"/>
          <w:color w:val="000000"/>
          <w:sz w:val="28"/>
          <w:szCs w:val="28"/>
          <w:highlight w:val="none"/>
        </w:rPr>
        <w:t xml:space="preserve">： </w:t>
      </w:r>
      <w:r>
        <w:rPr>
          <w:rFonts w:hint="eastAsia" w:ascii="仿宋" w:hAnsi="仿宋" w:eastAsia="仿宋" w:cs="仿宋"/>
          <w:bCs/>
          <w:sz w:val="28"/>
          <w:szCs w:val="28"/>
          <w:highlight w:val="none"/>
          <w:u w:val="single"/>
        </w:rPr>
        <w:t>江门市市场监督管理局</w:t>
      </w:r>
    </w:p>
    <w:p>
      <w:pPr>
        <w:spacing w:line="480" w:lineRule="exact"/>
        <w:rPr>
          <w:rFonts w:ascii="仿宋" w:hAnsi="仿宋" w:eastAsia="仿宋" w:cs="仿宋"/>
          <w:color w:val="000000"/>
          <w:sz w:val="28"/>
          <w:szCs w:val="28"/>
          <w:highlight w:val="none"/>
          <w:u w:val="single"/>
        </w:rPr>
      </w:pPr>
      <w:r>
        <w:rPr>
          <w:rFonts w:hint="eastAsia" w:ascii="仿宋" w:hAnsi="仿宋" w:eastAsia="仿宋" w:cs="仿宋"/>
          <w:color w:val="000000"/>
          <w:sz w:val="28"/>
          <w:szCs w:val="28"/>
          <w:highlight w:val="none"/>
        </w:rPr>
        <w:t xml:space="preserve">地址：  </w:t>
      </w:r>
      <w:r>
        <w:rPr>
          <w:rFonts w:hint="eastAsia" w:ascii="仿宋" w:hAnsi="仿宋" w:eastAsia="仿宋" w:cs="仿宋"/>
          <w:color w:val="000000"/>
          <w:sz w:val="28"/>
          <w:szCs w:val="28"/>
          <w:highlight w:val="none"/>
          <w:u w:val="single"/>
        </w:rPr>
        <w:t>江门市东华二路7号</w:t>
      </w:r>
    </w:p>
    <w:p>
      <w:pPr>
        <w:spacing w:line="480" w:lineRule="exact"/>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联系人：</w:t>
      </w:r>
    </w:p>
    <w:p>
      <w:pPr>
        <w:spacing w:line="480" w:lineRule="exact"/>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 xml:space="preserve">电话：  </w:t>
      </w:r>
    </w:p>
    <w:p>
      <w:pPr>
        <w:spacing w:line="480" w:lineRule="exact"/>
        <w:rPr>
          <w:rFonts w:ascii="仿宋" w:hAnsi="仿宋" w:eastAsia="仿宋" w:cs="仿宋"/>
          <w:b/>
          <w:color w:val="000000" w:themeColor="text1"/>
          <w:sz w:val="28"/>
          <w:szCs w:val="28"/>
          <w:highlight w:val="none"/>
          <w:u w:val="single"/>
          <w14:textFill>
            <w14:solidFill>
              <w14:schemeClr w14:val="tx1"/>
            </w14:solidFill>
          </w14:textFill>
        </w:rPr>
      </w:pPr>
      <w:r>
        <w:rPr>
          <w:rFonts w:hint="eastAsia" w:ascii="仿宋" w:hAnsi="仿宋" w:eastAsia="仿宋" w:cs="仿宋"/>
          <w:b/>
          <w:bCs/>
          <w:color w:val="000000"/>
          <w:sz w:val="28"/>
          <w:szCs w:val="28"/>
          <w:highlight w:val="none"/>
        </w:rPr>
        <w:t>乙方</w:t>
      </w:r>
      <w:r>
        <w:rPr>
          <w:rFonts w:hint="eastAsia" w:ascii="仿宋" w:hAnsi="仿宋" w:eastAsia="仿宋" w:cs="仿宋"/>
          <w:color w:val="000000"/>
          <w:sz w:val="28"/>
          <w:szCs w:val="28"/>
          <w:highlight w:val="none"/>
        </w:rPr>
        <w:t xml:space="preserve">： </w:t>
      </w:r>
    </w:p>
    <w:p>
      <w:pPr>
        <w:spacing w:line="480" w:lineRule="exact"/>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 xml:space="preserve">地址： </w:t>
      </w:r>
    </w:p>
    <w:p>
      <w:pPr>
        <w:spacing w:line="480" w:lineRule="exact"/>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联系人：</w:t>
      </w:r>
    </w:p>
    <w:p>
      <w:pPr>
        <w:spacing w:line="480" w:lineRule="exact"/>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 xml:space="preserve">电话： </w:t>
      </w:r>
    </w:p>
    <w:p>
      <w:pPr>
        <w:spacing w:line="480" w:lineRule="exact"/>
        <w:rPr>
          <w:rFonts w:ascii="仿宋" w:hAnsi="仿宋" w:eastAsia="仿宋" w:cs="仿宋"/>
          <w:color w:val="666666"/>
          <w:sz w:val="28"/>
          <w:szCs w:val="28"/>
          <w:highlight w:val="none"/>
          <w:shd w:val="clear" w:color="auto" w:fill="FFFFFF"/>
        </w:rPr>
      </w:pPr>
    </w:p>
    <w:p>
      <w:pPr>
        <w:pStyle w:val="5"/>
        <w:widowControl/>
        <w:spacing w:line="480" w:lineRule="exact"/>
        <w:ind w:firstLine="560" w:firstLineChars="200"/>
        <w:rPr>
          <w:rFonts w:ascii="仿宋" w:hAnsi="仿宋" w:eastAsia="仿宋" w:cs="仿宋"/>
          <w:b/>
          <w:bCs/>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甲、乙双方根据“江门市市场监督管理局公平竞争审查第三方评估项目”（项目编号：</w:t>
      </w:r>
      <w:r>
        <w:rPr>
          <w:rFonts w:hint="eastAsia" w:ascii="仿宋" w:hAnsi="仿宋" w:eastAsia="仿宋" w:cs="仿宋"/>
          <w:color w:val="000000" w:themeColor="text1"/>
          <w:sz w:val="28"/>
          <w:szCs w:val="28"/>
          <w:highlight w:val="none"/>
          <w:lang w:val="en-US" w:eastAsia="zh-CN"/>
          <w14:textFill>
            <w14:solidFill>
              <w14:schemeClr w14:val="tx1"/>
            </w14:solidFill>
          </w14:textFill>
        </w:rPr>
        <w:t>2025009</w:t>
      </w:r>
      <w:r>
        <w:rPr>
          <w:rFonts w:hint="eastAsia" w:ascii="仿宋" w:hAnsi="仿宋" w:eastAsia="仿宋" w:cs="仿宋"/>
          <w:color w:val="000000" w:themeColor="text1"/>
          <w:sz w:val="28"/>
          <w:szCs w:val="28"/>
          <w:highlight w:val="none"/>
          <w14:textFill>
            <w14:solidFill>
              <w14:schemeClr w14:val="tx1"/>
            </w14:solidFill>
          </w14:textFill>
        </w:rPr>
        <w:t>）（以下简称项目）的采购结果、招标文件、乙方的投标文件及澄清文件和中标通知书的要求，按照《中华人民共和国民法典》、《中华人民共和国政府采购法》及其实施条例等相关法律法规的规定，经双方协商，本着平等、自愿、公平和诚实信用的原则，一致同意签订合同如下</w:t>
      </w:r>
      <w:r>
        <w:rPr>
          <w:rFonts w:hint="eastAsia" w:ascii="仿宋" w:hAnsi="仿宋" w:eastAsia="仿宋" w:cs="仿宋"/>
          <w:color w:val="000000" w:themeColor="text1"/>
          <w:spacing w:val="-6"/>
          <w:sz w:val="28"/>
          <w:szCs w:val="28"/>
          <w:highlight w:val="none"/>
          <w14:textFill>
            <w14:solidFill>
              <w14:schemeClr w14:val="tx1"/>
            </w14:solidFill>
          </w14:textFill>
        </w:rPr>
        <w:t>：</w:t>
      </w:r>
      <w:r>
        <w:rPr>
          <w:rFonts w:hint="eastAsia" w:ascii="仿宋" w:hAnsi="仿宋" w:eastAsia="仿宋" w:cs="仿宋"/>
          <w:color w:val="000000"/>
          <w:sz w:val="28"/>
          <w:szCs w:val="28"/>
          <w:highlight w:val="none"/>
        </w:rPr>
        <w:t xml:space="preserve"> </w:t>
      </w:r>
    </w:p>
    <w:p>
      <w:pPr>
        <w:spacing w:line="480" w:lineRule="exact"/>
        <w:rPr>
          <w:rFonts w:ascii="仿宋" w:hAnsi="仿宋" w:eastAsia="仿宋" w:cs="仿宋"/>
          <w:b/>
          <w:bCs/>
          <w:color w:val="000000" w:themeColor="text1"/>
          <w:sz w:val="28"/>
          <w:szCs w:val="28"/>
          <w:highlight w:val="none"/>
          <w14:textFill>
            <w14:solidFill>
              <w14:schemeClr w14:val="tx1"/>
            </w14:solidFill>
          </w14:textFill>
        </w:rPr>
      </w:pPr>
      <w:r>
        <w:rPr>
          <w:rFonts w:hint="eastAsia" w:ascii="仿宋" w:hAnsi="仿宋" w:eastAsia="仿宋" w:cs="仿宋"/>
          <w:b/>
          <w:bCs/>
          <w:color w:val="000000" w:themeColor="text1"/>
          <w:sz w:val="28"/>
          <w:szCs w:val="28"/>
          <w:highlight w:val="none"/>
          <w14:textFill>
            <w14:solidFill>
              <w14:schemeClr w14:val="tx1"/>
            </w14:solidFill>
          </w14:textFill>
        </w:rPr>
        <w:t xml:space="preserve">第一条  项目内容 </w:t>
      </w:r>
    </w:p>
    <w:p>
      <w:pPr>
        <w:pStyle w:val="14"/>
        <w:widowControl/>
        <w:spacing w:line="500" w:lineRule="exact"/>
        <w:ind w:firstLine="560" w:firstLineChars="200"/>
        <w:rPr>
          <w:rFonts w:ascii="仿宋" w:hAnsi="仿宋" w:eastAsia="仿宋" w:cs="仿宋"/>
          <w:color w:val="000000" w:themeColor="text1"/>
          <w:sz w:val="28"/>
          <w:szCs w:val="28"/>
          <w:highlight w:val="none"/>
          <w:u w:val="none"/>
          <w14:textFill>
            <w14:solidFill>
              <w14:schemeClr w14:val="tx1"/>
            </w14:solidFill>
          </w14:textFill>
        </w:rPr>
      </w:pPr>
      <w:r>
        <w:rPr>
          <w:rFonts w:hint="eastAsia" w:ascii="仿宋" w:hAnsi="仿宋" w:eastAsia="仿宋" w:cs="仿宋"/>
          <w:color w:val="000000" w:themeColor="text1"/>
          <w:kern w:val="0"/>
          <w:sz w:val="28"/>
          <w:szCs w:val="28"/>
          <w:highlight w:val="none"/>
          <w:u w:val="none"/>
          <w14:textFill>
            <w14:solidFill>
              <w14:schemeClr w14:val="tx1"/>
            </w14:solidFill>
          </w14:textFill>
        </w:rPr>
        <w:t>甲方委托乙方就</w:t>
      </w:r>
      <w:r>
        <w:rPr>
          <w:rFonts w:ascii="仿宋" w:hAnsi="仿宋" w:eastAsia="仿宋" w:cs="仿宋"/>
          <w:color w:val="000000" w:themeColor="text1"/>
          <w:kern w:val="0"/>
          <w:sz w:val="28"/>
          <w:szCs w:val="28"/>
          <w:highlight w:val="none"/>
          <w:u w:val="none"/>
          <w14:textFill>
            <w14:solidFill>
              <w14:schemeClr w14:val="tx1"/>
            </w14:solidFill>
          </w14:textFill>
        </w:rPr>
        <w:t>2025</w:t>
      </w:r>
      <w:r>
        <w:rPr>
          <w:rFonts w:hint="eastAsia" w:ascii="仿宋" w:hAnsi="仿宋" w:eastAsia="仿宋" w:cs="仿宋"/>
          <w:color w:val="000000" w:themeColor="text1"/>
          <w:kern w:val="0"/>
          <w:sz w:val="28"/>
          <w:szCs w:val="28"/>
          <w:highlight w:val="none"/>
          <w:u w:val="none"/>
          <w14:textFill>
            <w14:solidFill>
              <w14:schemeClr w14:val="tx1"/>
            </w14:solidFill>
          </w14:textFill>
        </w:rPr>
        <w:t>年</w:t>
      </w:r>
      <w:r>
        <w:rPr>
          <w:rFonts w:hint="eastAsia" w:ascii="仿宋" w:hAnsi="仿宋" w:eastAsia="仿宋" w:cs="仿宋"/>
          <w:color w:val="000000" w:themeColor="text1"/>
          <w:sz w:val="28"/>
          <w:szCs w:val="28"/>
          <w:highlight w:val="none"/>
          <w14:textFill>
            <w14:solidFill>
              <w14:schemeClr w14:val="tx1"/>
            </w14:solidFill>
          </w14:textFill>
        </w:rPr>
        <w:t>江门市市场监督管理局公平竞争审查第三方评估</w:t>
      </w:r>
      <w:r>
        <w:rPr>
          <w:rFonts w:ascii="仿宋" w:hAnsi="仿宋" w:eastAsia="仿宋" w:cs="仿宋"/>
          <w:color w:val="000000" w:themeColor="text1"/>
          <w:kern w:val="0"/>
          <w:sz w:val="28"/>
          <w:szCs w:val="28"/>
          <w:highlight w:val="none"/>
          <w:u w:val="none"/>
          <w14:textFill>
            <w14:solidFill>
              <w14:schemeClr w14:val="tx1"/>
            </w14:solidFill>
          </w14:textFill>
        </w:rPr>
        <w:t>项目</w:t>
      </w:r>
      <w:r>
        <w:rPr>
          <w:rFonts w:hint="eastAsia" w:ascii="仿宋" w:hAnsi="仿宋" w:eastAsia="仿宋" w:cs="仿宋"/>
          <w:color w:val="000000" w:themeColor="text1"/>
          <w:kern w:val="0"/>
          <w:sz w:val="28"/>
          <w:szCs w:val="28"/>
          <w:highlight w:val="none"/>
          <w:u w:val="none"/>
          <w14:textFill>
            <w14:solidFill>
              <w14:schemeClr w14:val="tx1"/>
            </w14:solidFill>
          </w14:textFill>
        </w:rPr>
        <w:t>提供</w:t>
      </w:r>
      <w:r>
        <w:rPr>
          <w:rFonts w:ascii="仿宋" w:hAnsi="仿宋" w:eastAsia="仿宋" w:cs="仿宋"/>
          <w:color w:val="000000" w:themeColor="text1"/>
          <w:kern w:val="0"/>
          <w:sz w:val="28"/>
          <w:szCs w:val="28"/>
          <w:highlight w:val="none"/>
          <w:u w:val="none"/>
          <w14:textFill>
            <w14:solidFill>
              <w14:schemeClr w14:val="tx1"/>
            </w14:solidFill>
          </w14:textFill>
        </w:rPr>
        <w:t>审查</w:t>
      </w:r>
      <w:r>
        <w:rPr>
          <w:rFonts w:hint="eastAsia" w:ascii="仿宋" w:hAnsi="仿宋" w:eastAsia="仿宋" w:cs="仿宋"/>
          <w:color w:val="000000" w:themeColor="text1"/>
          <w:kern w:val="0"/>
          <w:sz w:val="28"/>
          <w:szCs w:val="28"/>
          <w:highlight w:val="none"/>
          <w:u w:val="none"/>
          <w14:textFill>
            <w14:solidFill>
              <w14:schemeClr w14:val="tx1"/>
            </w14:solidFill>
          </w14:textFill>
        </w:rPr>
        <w:t>服务工作，按甲方要求及标准在约定期限内，向甲方提供服务，并提交相关工作成果。</w:t>
      </w:r>
      <w:r>
        <w:rPr>
          <w:rFonts w:hint="eastAsia" w:ascii="仿宋" w:hAnsi="仿宋" w:eastAsia="仿宋" w:cs="仿宋"/>
          <w:color w:val="000000" w:themeColor="text1"/>
          <w:sz w:val="28"/>
          <w:szCs w:val="28"/>
          <w:highlight w:val="none"/>
          <w14:textFill>
            <w14:solidFill>
              <w14:schemeClr w14:val="tx1"/>
            </w14:solidFill>
          </w14:textFill>
        </w:rPr>
        <w:t>具体服务内容及要求如下：</w:t>
      </w:r>
    </w:p>
    <w:p>
      <w:pPr>
        <w:pStyle w:val="14"/>
        <w:widowControl/>
        <w:numPr>
          <w:ilvl w:val="0"/>
          <w:numId w:val="1"/>
        </w:numPr>
        <w:spacing w:line="500" w:lineRule="exact"/>
        <w:ind w:firstLine="560" w:firstLineChars="200"/>
        <w:rPr>
          <w:rFonts w:ascii="仿宋" w:hAnsi="仿宋" w:eastAsia="仿宋" w:cs="Times New Roman"/>
          <w:color w:val="000000" w:themeColor="text1"/>
          <w:sz w:val="28"/>
          <w:szCs w:val="28"/>
          <w:highlight w:val="none"/>
          <w14:textFill>
            <w14:solidFill>
              <w14:schemeClr w14:val="tx1"/>
            </w14:solidFill>
          </w14:textFill>
        </w:rPr>
      </w:pPr>
      <w:r>
        <w:rPr>
          <w:rFonts w:hint="eastAsia" w:ascii="仿宋" w:hAnsi="仿宋" w:eastAsia="仿宋" w:cs="Times New Roman"/>
          <w:color w:val="000000" w:themeColor="text1"/>
          <w:sz w:val="28"/>
          <w:szCs w:val="28"/>
          <w:highlight w:val="none"/>
          <w14:textFill>
            <w14:solidFill>
              <w14:schemeClr w14:val="tx1"/>
            </w14:solidFill>
          </w14:textFill>
        </w:rPr>
        <w:t>对</w:t>
      </w:r>
      <w:r>
        <w:rPr>
          <w:rFonts w:ascii="仿宋" w:hAnsi="仿宋" w:eastAsia="仿宋" w:cs="Times New Roman"/>
          <w:color w:val="000000" w:themeColor="text1"/>
          <w:sz w:val="28"/>
          <w:szCs w:val="28"/>
          <w:highlight w:val="none"/>
          <w14:textFill>
            <w14:solidFill>
              <w14:schemeClr w14:val="tx1"/>
            </w14:solidFill>
          </w14:textFill>
        </w:rPr>
        <w:t>2024</w:t>
      </w:r>
      <w:r>
        <w:rPr>
          <w:rFonts w:hint="eastAsia" w:ascii="仿宋" w:hAnsi="仿宋" w:eastAsia="仿宋" w:cs="Times New Roman"/>
          <w:color w:val="000000" w:themeColor="text1"/>
          <w:sz w:val="28"/>
          <w:szCs w:val="28"/>
          <w:highlight w:val="none"/>
          <w14:textFill>
            <w14:solidFill>
              <w14:schemeClr w14:val="tx1"/>
            </w14:solidFill>
          </w14:textFill>
        </w:rPr>
        <w:t>年以前全市出台涉及市场主体经济活动的政策措施文件</w:t>
      </w:r>
      <w:r>
        <w:rPr>
          <w:rFonts w:ascii="仿宋" w:hAnsi="仿宋" w:eastAsia="仿宋" w:cs="Times New Roman"/>
          <w:color w:val="000000" w:themeColor="text1"/>
          <w:sz w:val="28"/>
          <w:szCs w:val="28"/>
          <w:highlight w:val="none"/>
          <w14:textFill>
            <w14:solidFill>
              <w14:schemeClr w14:val="tx1"/>
            </w14:solidFill>
          </w14:textFill>
        </w:rPr>
        <w:t>公平竞争审查</w:t>
      </w:r>
      <w:r>
        <w:rPr>
          <w:rFonts w:hint="eastAsia" w:ascii="仿宋" w:hAnsi="仿宋" w:eastAsia="仿宋" w:cs="Times New Roman"/>
          <w:color w:val="000000" w:themeColor="text1"/>
          <w:sz w:val="28"/>
          <w:szCs w:val="28"/>
          <w:highlight w:val="none"/>
          <w14:textFill>
            <w14:solidFill>
              <w14:schemeClr w14:val="tx1"/>
            </w14:solidFill>
          </w14:textFill>
        </w:rPr>
        <w:t>进行评估并出具评估意见</w:t>
      </w:r>
      <w:r>
        <w:rPr>
          <w:rFonts w:ascii="仿宋" w:hAnsi="仿宋" w:eastAsia="仿宋" w:cs="Times New Roman"/>
          <w:color w:val="000000" w:themeColor="text1"/>
          <w:sz w:val="28"/>
          <w:szCs w:val="28"/>
          <w:highlight w:val="none"/>
          <w14:textFill>
            <w14:solidFill>
              <w14:schemeClr w14:val="tx1"/>
            </w14:solidFill>
          </w14:textFill>
        </w:rPr>
        <w:t>不少于50份</w:t>
      </w:r>
      <w:r>
        <w:rPr>
          <w:rFonts w:hint="eastAsia" w:ascii="仿宋" w:hAnsi="仿宋" w:eastAsia="仿宋" w:cs="Times New Roman"/>
          <w:color w:val="000000" w:themeColor="text1"/>
          <w:sz w:val="28"/>
          <w:szCs w:val="28"/>
          <w:highlight w:val="none"/>
          <w14:textFill>
            <w14:solidFill>
              <w14:schemeClr w14:val="tx1"/>
            </w14:solidFill>
          </w14:textFill>
        </w:rPr>
        <w:t>。</w:t>
      </w:r>
    </w:p>
    <w:p>
      <w:pPr>
        <w:pStyle w:val="14"/>
        <w:widowControl/>
        <w:numPr>
          <w:ilvl w:val="0"/>
          <w:numId w:val="1"/>
        </w:numPr>
        <w:spacing w:line="500" w:lineRule="exact"/>
        <w:ind w:firstLine="560" w:firstLineChars="200"/>
        <w:rPr>
          <w:rFonts w:ascii="仿宋" w:hAnsi="仿宋" w:eastAsia="仿宋" w:cs="Times New Roman"/>
          <w:color w:val="000000" w:themeColor="text1"/>
          <w:sz w:val="28"/>
          <w:szCs w:val="28"/>
          <w:highlight w:val="none"/>
          <w14:textFill>
            <w14:solidFill>
              <w14:schemeClr w14:val="tx1"/>
            </w14:solidFill>
          </w14:textFill>
        </w:rPr>
      </w:pPr>
      <w:r>
        <w:rPr>
          <w:rFonts w:hint="eastAsia" w:ascii="仿宋" w:hAnsi="仿宋" w:eastAsia="仿宋" w:cs="Times New Roman"/>
          <w:color w:val="000000" w:themeColor="text1"/>
          <w:sz w:val="28"/>
          <w:szCs w:val="28"/>
          <w:highlight w:val="none"/>
          <w14:textFill>
            <w14:solidFill>
              <w14:schemeClr w14:val="tx1"/>
            </w14:solidFill>
          </w14:textFill>
        </w:rPr>
        <w:t>出具2024-2025年度全市公平竞争审查制度实施情况评估报告</w:t>
      </w:r>
      <w:r>
        <w:rPr>
          <w:rFonts w:ascii="仿宋" w:hAnsi="仿宋" w:eastAsia="仿宋" w:cs="Times New Roman"/>
          <w:color w:val="000000" w:themeColor="text1"/>
          <w:sz w:val="28"/>
          <w:szCs w:val="28"/>
          <w:highlight w:val="none"/>
          <w14:textFill>
            <w14:solidFill>
              <w14:schemeClr w14:val="tx1"/>
            </w14:solidFill>
          </w14:textFill>
        </w:rPr>
        <w:t>1份</w:t>
      </w:r>
      <w:r>
        <w:rPr>
          <w:rFonts w:hint="eastAsia" w:ascii="仿宋" w:hAnsi="仿宋" w:eastAsia="仿宋" w:cs="Times New Roman"/>
          <w:color w:val="000000" w:themeColor="text1"/>
          <w:sz w:val="28"/>
          <w:szCs w:val="28"/>
          <w:highlight w:val="none"/>
          <w14:textFill>
            <w14:solidFill>
              <w14:schemeClr w14:val="tx1"/>
            </w14:solidFill>
          </w14:textFill>
        </w:rPr>
        <w:t>。</w:t>
      </w:r>
    </w:p>
    <w:p>
      <w:pPr>
        <w:pStyle w:val="14"/>
        <w:widowControl/>
        <w:numPr>
          <w:ilvl w:val="0"/>
          <w:numId w:val="1"/>
        </w:numPr>
        <w:spacing w:line="500" w:lineRule="exact"/>
        <w:ind w:firstLine="560" w:firstLineChars="200"/>
        <w:rPr>
          <w:rFonts w:ascii="仿宋" w:hAnsi="仿宋" w:eastAsia="仿宋" w:cs="Times New Roman"/>
          <w:color w:val="000000" w:themeColor="text1"/>
          <w:sz w:val="28"/>
          <w:szCs w:val="28"/>
          <w:highlight w:val="none"/>
          <w14:textFill>
            <w14:solidFill>
              <w14:schemeClr w14:val="tx1"/>
            </w14:solidFill>
          </w14:textFill>
        </w:rPr>
      </w:pPr>
      <w:r>
        <w:rPr>
          <w:rFonts w:hint="eastAsia" w:ascii="仿宋" w:hAnsi="仿宋" w:eastAsia="仿宋" w:cs="Times New Roman"/>
          <w:color w:val="000000" w:themeColor="text1"/>
          <w:sz w:val="28"/>
          <w:szCs w:val="28"/>
          <w:highlight w:val="none"/>
          <w14:textFill>
            <w14:solidFill>
              <w14:schemeClr w14:val="tx1"/>
            </w14:solidFill>
          </w14:textFill>
        </w:rPr>
        <w:t>协助开展公平竞争审查重点领域核查、疑难问题会审、上级部门抽查并出具公平竞争审查意见</w:t>
      </w:r>
      <w:r>
        <w:rPr>
          <w:rFonts w:ascii="仿宋" w:hAnsi="仿宋" w:eastAsia="仿宋" w:cs="Times New Roman"/>
          <w:color w:val="000000" w:themeColor="text1"/>
          <w:sz w:val="28"/>
          <w:szCs w:val="28"/>
          <w:highlight w:val="none"/>
          <w14:textFill>
            <w14:solidFill>
              <w14:schemeClr w14:val="tx1"/>
            </w14:solidFill>
          </w14:textFill>
        </w:rPr>
        <w:t>不少于10份</w:t>
      </w:r>
      <w:r>
        <w:rPr>
          <w:rFonts w:hint="eastAsia" w:ascii="仿宋" w:hAnsi="仿宋" w:eastAsia="仿宋" w:cs="Times New Roman"/>
          <w:color w:val="000000" w:themeColor="text1"/>
          <w:sz w:val="28"/>
          <w:szCs w:val="28"/>
          <w:highlight w:val="none"/>
          <w14:textFill>
            <w14:solidFill>
              <w14:schemeClr w14:val="tx1"/>
            </w14:solidFill>
          </w14:textFill>
        </w:rPr>
        <w:t>。</w:t>
      </w:r>
    </w:p>
    <w:p>
      <w:pPr>
        <w:pStyle w:val="14"/>
        <w:widowControl/>
        <w:numPr>
          <w:ilvl w:val="0"/>
          <w:numId w:val="1"/>
        </w:numPr>
        <w:spacing w:line="500" w:lineRule="exact"/>
        <w:ind w:firstLine="560" w:firstLineChars="200"/>
        <w:rPr>
          <w:rFonts w:ascii="仿宋" w:hAnsi="仿宋" w:eastAsia="仿宋" w:cs="Times New Roman"/>
          <w:color w:val="000000" w:themeColor="text1"/>
          <w:sz w:val="28"/>
          <w:szCs w:val="28"/>
          <w:highlight w:val="none"/>
          <w14:textFill>
            <w14:solidFill>
              <w14:schemeClr w14:val="tx1"/>
            </w14:solidFill>
          </w14:textFill>
        </w:rPr>
      </w:pPr>
      <w:r>
        <w:rPr>
          <w:rFonts w:hint="eastAsia" w:ascii="仿宋" w:hAnsi="仿宋" w:eastAsia="仿宋" w:cs="Times New Roman"/>
          <w:color w:val="000000" w:themeColor="text1"/>
          <w:sz w:val="28"/>
          <w:szCs w:val="28"/>
          <w:highlight w:val="none"/>
          <w14:textFill>
            <w14:solidFill>
              <w14:schemeClr w14:val="tx1"/>
            </w14:solidFill>
          </w14:textFill>
        </w:rPr>
        <w:t>对重大政策措施会审提供会审意见</w:t>
      </w:r>
      <w:r>
        <w:rPr>
          <w:rFonts w:hint="eastAsia" w:ascii="仿宋" w:hAnsi="仿宋" w:eastAsia="仿宋" w:cs="Times New Roman"/>
          <w:color w:val="000000" w:themeColor="text1"/>
          <w:sz w:val="28"/>
          <w:szCs w:val="28"/>
          <w:highlight w:val="none"/>
          <w:lang w:eastAsia="zh-CN"/>
          <w14:textFill>
            <w14:solidFill>
              <w14:schemeClr w14:val="tx1"/>
            </w14:solidFill>
          </w14:textFill>
        </w:rPr>
        <w:t>（以实际份数为准，总价不超过</w:t>
      </w:r>
      <w:r>
        <w:rPr>
          <w:rFonts w:hint="eastAsia" w:ascii="仿宋" w:hAnsi="仿宋" w:eastAsia="仿宋" w:cs="Times New Roman"/>
          <w:color w:val="000000" w:themeColor="text1"/>
          <w:sz w:val="28"/>
          <w:szCs w:val="28"/>
          <w:highlight w:val="none"/>
          <w:lang w:val="en-US" w:eastAsia="zh-CN"/>
          <w14:textFill>
            <w14:solidFill>
              <w14:schemeClr w14:val="tx1"/>
            </w14:solidFill>
          </w14:textFill>
        </w:rPr>
        <w:t>20000元</w:t>
      </w:r>
      <w:r>
        <w:rPr>
          <w:rFonts w:hint="eastAsia" w:ascii="仿宋" w:hAnsi="仿宋" w:eastAsia="仿宋" w:cs="Times New Roman"/>
          <w:color w:val="000000" w:themeColor="text1"/>
          <w:sz w:val="28"/>
          <w:szCs w:val="28"/>
          <w:highlight w:val="none"/>
          <w:lang w:eastAsia="zh-CN"/>
          <w14:textFill>
            <w14:solidFill>
              <w14:schemeClr w14:val="tx1"/>
            </w14:solidFill>
          </w14:textFill>
        </w:rPr>
        <w:t>）</w:t>
      </w:r>
      <w:r>
        <w:rPr>
          <w:rFonts w:hint="eastAsia" w:ascii="仿宋" w:hAnsi="仿宋" w:eastAsia="仿宋" w:cs="Times New Roman"/>
          <w:color w:val="000000" w:themeColor="text1"/>
          <w:sz w:val="28"/>
          <w:szCs w:val="28"/>
          <w:highlight w:val="none"/>
          <w14:textFill>
            <w14:solidFill>
              <w14:schemeClr w14:val="tx1"/>
            </w14:solidFill>
          </w14:textFill>
        </w:rPr>
        <w:t>。</w:t>
      </w:r>
    </w:p>
    <w:p>
      <w:pPr>
        <w:spacing w:line="480" w:lineRule="exact"/>
        <w:rPr>
          <w:rFonts w:ascii="仿宋" w:hAnsi="仿宋" w:eastAsia="仿宋" w:cs="仿宋"/>
          <w:b/>
          <w:bCs/>
          <w:color w:val="000000" w:themeColor="text1"/>
          <w:sz w:val="28"/>
          <w:szCs w:val="28"/>
          <w:highlight w:val="none"/>
          <w14:textFill>
            <w14:solidFill>
              <w14:schemeClr w14:val="tx1"/>
            </w14:solidFill>
          </w14:textFill>
        </w:rPr>
      </w:pPr>
      <w:r>
        <w:rPr>
          <w:rFonts w:hint="eastAsia" w:ascii="仿宋" w:hAnsi="仿宋" w:eastAsia="仿宋" w:cs="仿宋"/>
          <w:b/>
          <w:bCs/>
          <w:color w:val="000000" w:themeColor="text1"/>
          <w:sz w:val="28"/>
          <w:szCs w:val="28"/>
          <w:highlight w:val="none"/>
          <w14:textFill>
            <w14:solidFill>
              <w14:schemeClr w14:val="tx1"/>
            </w14:solidFill>
          </w14:textFill>
        </w:rPr>
        <w:t>第二条  合同期限、项目费用及支付方式</w:t>
      </w:r>
    </w:p>
    <w:p>
      <w:pPr>
        <w:numPr>
          <w:ilvl w:val="0"/>
          <w:numId w:val="2"/>
        </w:numPr>
        <w:spacing w:line="480" w:lineRule="exact"/>
        <w:rPr>
          <w:rFonts w:ascii="仿宋" w:hAnsi="仿宋" w:eastAsia="仿宋" w:cs="仿宋"/>
          <w:bCs/>
          <w:color w:val="000000" w:themeColor="text1"/>
          <w:sz w:val="28"/>
          <w:szCs w:val="28"/>
          <w:highlight w:val="none"/>
          <w14:textFill>
            <w14:solidFill>
              <w14:schemeClr w14:val="tx1"/>
            </w14:solidFill>
          </w14:textFill>
        </w:rPr>
      </w:pPr>
      <w:r>
        <w:rPr>
          <w:rFonts w:hint="eastAsia" w:ascii="仿宋" w:hAnsi="仿宋" w:eastAsia="仿宋" w:cs="仿宋"/>
          <w:color w:val="000000"/>
          <w:sz w:val="28"/>
          <w:szCs w:val="28"/>
          <w:highlight w:val="none"/>
        </w:rPr>
        <w:t>乙方向甲方提供服务的合同期限为</w:t>
      </w:r>
      <w:r>
        <w:rPr>
          <w:rFonts w:hint="eastAsia" w:ascii="仿宋" w:hAnsi="仿宋" w:eastAsia="仿宋" w:cs="仿宋"/>
          <w:color w:val="000000"/>
          <w:sz w:val="28"/>
          <w:szCs w:val="28"/>
          <w:highlight w:val="none"/>
          <w:u w:val="single"/>
        </w:rPr>
        <w:t>自本合同签订生效之日起</w:t>
      </w:r>
      <w:r>
        <w:rPr>
          <w:rFonts w:ascii="仿宋" w:hAnsi="仿宋" w:eastAsia="仿宋" w:cs="仿宋"/>
          <w:color w:val="000000"/>
          <w:sz w:val="28"/>
          <w:szCs w:val="28"/>
          <w:highlight w:val="none"/>
          <w:u w:val="single"/>
        </w:rPr>
        <w:t>至202</w:t>
      </w:r>
      <w:r>
        <w:rPr>
          <w:rFonts w:hint="eastAsia" w:ascii="仿宋" w:hAnsi="仿宋" w:eastAsia="仿宋" w:cs="仿宋"/>
          <w:color w:val="000000"/>
          <w:sz w:val="28"/>
          <w:szCs w:val="28"/>
          <w:highlight w:val="none"/>
          <w:u w:val="single"/>
        </w:rPr>
        <w:t>5</w:t>
      </w:r>
      <w:r>
        <w:rPr>
          <w:rFonts w:ascii="仿宋" w:hAnsi="仿宋" w:eastAsia="仿宋" w:cs="仿宋"/>
          <w:color w:val="000000"/>
          <w:sz w:val="28"/>
          <w:szCs w:val="28"/>
          <w:highlight w:val="none"/>
          <w:u w:val="single"/>
        </w:rPr>
        <w:t>年12月31日</w:t>
      </w:r>
      <w:r>
        <w:rPr>
          <w:rFonts w:hint="eastAsia" w:ascii="仿宋" w:hAnsi="仿宋" w:eastAsia="仿宋" w:cs="仿宋"/>
          <w:color w:val="000000"/>
          <w:sz w:val="28"/>
          <w:szCs w:val="28"/>
          <w:highlight w:val="none"/>
          <w:u w:val="single"/>
        </w:rPr>
        <w:t>。</w:t>
      </w:r>
    </w:p>
    <w:p>
      <w:pPr>
        <w:numPr>
          <w:ilvl w:val="0"/>
          <w:numId w:val="2"/>
        </w:numPr>
        <w:spacing w:line="480" w:lineRule="exact"/>
        <w:rPr>
          <w:rFonts w:ascii="仿宋" w:hAnsi="仿宋" w:eastAsia="仿宋" w:cs="仿宋"/>
          <w:bCs/>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乙方向甲方提供服务可获得的项目技术服</w:t>
      </w:r>
      <w:r>
        <w:rPr>
          <w:rFonts w:hint="eastAsia" w:ascii="仿宋" w:hAnsi="仿宋" w:eastAsia="仿宋" w:cs="仿宋"/>
          <w:color w:val="000000"/>
          <w:sz w:val="28"/>
          <w:szCs w:val="28"/>
          <w:highlight w:val="none"/>
        </w:rPr>
        <w:t>务总费用（即项目总费用、含税价）为</w:t>
      </w:r>
      <w:r>
        <w:rPr>
          <w:rFonts w:hint="eastAsia" w:ascii="仿宋" w:hAnsi="仿宋" w:eastAsia="仿宋" w:cs="仿宋"/>
          <w:bCs/>
          <w:color w:val="000000" w:themeColor="text1"/>
          <w:sz w:val="28"/>
          <w:szCs w:val="28"/>
          <w:highlight w:val="none"/>
          <w:u w:val="single"/>
          <w14:textFill>
            <w14:solidFill>
              <w14:schemeClr w14:val="tx1"/>
            </w14:solidFill>
          </w14:textFill>
        </w:rPr>
        <w:t>人民币捌万元整（¥ 8</w:t>
      </w:r>
      <w:r>
        <w:rPr>
          <w:rFonts w:ascii="仿宋" w:hAnsi="仿宋" w:eastAsia="仿宋" w:cs="仿宋"/>
          <w:bCs/>
          <w:color w:val="000000" w:themeColor="text1"/>
          <w:sz w:val="28"/>
          <w:szCs w:val="28"/>
          <w:highlight w:val="none"/>
          <w:u w:val="single"/>
          <w14:textFill>
            <w14:solidFill>
              <w14:schemeClr w14:val="tx1"/>
            </w14:solidFill>
          </w14:textFill>
        </w:rPr>
        <w:t>0，0</w:t>
      </w:r>
      <w:r>
        <w:rPr>
          <w:rFonts w:hint="eastAsia" w:ascii="仿宋" w:hAnsi="仿宋" w:eastAsia="仿宋" w:cs="仿宋"/>
          <w:bCs/>
          <w:color w:val="000000" w:themeColor="text1"/>
          <w:sz w:val="28"/>
          <w:szCs w:val="28"/>
          <w:highlight w:val="none"/>
          <w:u w:val="single"/>
          <w14:textFill>
            <w14:solidFill>
              <w14:schemeClr w14:val="tx1"/>
            </w14:solidFill>
          </w14:textFill>
        </w:rPr>
        <w:t>00.00元）</w:t>
      </w:r>
      <w:r>
        <w:rPr>
          <w:rFonts w:hint="eastAsia" w:ascii="仿宋" w:hAnsi="仿宋" w:eastAsia="仿宋" w:cs="仿宋"/>
          <w:bCs/>
          <w:color w:val="666666"/>
          <w:sz w:val="28"/>
          <w:szCs w:val="28"/>
          <w:highlight w:val="none"/>
          <w:shd w:val="clear" w:color="auto" w:fill="FFFFFF"/>
        </w:rPr>
        <w:t>。</w:t>
      </w:r>
    </w:p>
    <w:p>
      <w:pPr>
        <w:numPr>
          <w:ilvl w:val="0"/>
          <w:numId w:val="2"/>
        </w:numPr>
        <w:spacing w:line="480" w:lineRule="exact"/>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sz w:val="28"/>
          <w:szCs w:val="28"/>
          <w:highlight w:val="none"/>
        </w:rPr>
        <w:t>付款时间、方式</w:t>
      </w:r>
      <w:r>
        <w:rPr>
          <w:rFonts w:hint="eastAsia" w:ascii="仿宋" w:hAnsi="仿宋" w:eastAsia="仿宋" w:cs="仿宋"/>
          <w:color w:val="000000" w:themeColor="text1"/>
          <w:sz w:val="28"/>
          <w:szCs w:val="28"/>
          <w:highlight w:val="none"/>
          <w14:textFill>
            <w14:solidFill>
              <w14:schemeClr w14:val="tx1"/>
            </w14:solidFill>
          </w14:textFill>
        </w:rPr>
        <w:t>。</w:t>
      </w:r>
    </w:p>
    <w:p>
      <w:pPr>
        <w:spacing w:line="480" w:lineRule="exact"/>
        <w:ind w:firstLine="560" w:firstLineChars="200"/>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双方签署合同后，甲方分两期支付相应的款项给乙方：</w:t>
      </w:r>
    </w:p>
    <w:p>
      <w:pPr>
        <w:numPr>
          <w:ilvl w:val="0"/>
          <w:numId w:val="3"/>
        </w:numPr>
        <w:spacing w:line="480" w:lineRule="exact"/>
        <w:ind w:firstLine="560" w:firstLineChars="200"/>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第一期：甲、乙双方签订本合同后，甲方收到乙方开具的相对应金额发票之日起30个工作日内，向乙方支付项目总费用的</w:t>
      </w:r>
      <w:r>
        <w:rPr>
          <w:rFonts w:ascii="仿宋" w:hAnsi="仿宋" w:eastAsia="仿宋" w:cs="仿宋"/>
          <w:color w:val="000000" w:themeColor="text1"/>
          <w:sz w:val="28"/>
          <w:szCs w:val="28"/>
          <w:highlight w:val="none"/>
          <w14:textFill>
            <w14:solidFill>
              <w14:schemeClr w14:val="tx1"/>
            </w14:solidFill>
          </w14:textFill>
        </w:rPr>
        <w:t>5</w:t>
      </w:r>
      <w:r>
        <w:rPr>
          <w:rFonts w:hint="eastAsia" w:ascii="仿宋" w:hAnsi="仿宋" w:eastAsia="仿宋" w:cs="仿宋"/>
          <w:color w:val="000000" w:themeColor="text1"/>
          <w:sz w:val="28"/>
          <w:szCs w:val="28"/>
          <w:highlight w:val="none"/>
          <w14:textFill>
            <w14:solidFill>
              <w14:schemeClr w14:val="tx1"/>
            </w14:solidFill>
          </w14:textFill>
        </w:rPr>
        <w:t>0%，即</w:t>
      </w:r>
      <w:r>
        <w:rPr>
          <w:rFonts w:hint="eastAsia" w:ascii="仿宋" w:hAnsi="仿宋" w:eastAsia="仿宋" w:cs="仿宋"/>
          <w:color w:val="000000" w:themeColor="text1"/>
          <w:sz w:val="28"/>
          <w:szCs w:val="28"/>
          <w:highlight w:val="none"/>
          <w:u w:val="single"/>
          <w14:textFill>
            <w14:solidFill>
              <w14:schemeClr w14:val="tx1"/>
            </w14:solidFill>
          </w14:textFill>
        </w:rPr>
        <w:t>人民币肆</w:t>
      </w:r>
      <w:r>
        <w:rPr>
          <w:rFonts w:ascii="仿宋" w:hAnsi="仿宋" w:eastAsia="仿宋" w:cs="仿宋"/>
          <w:color w:val="000000" w:themeColor="text1"/>
          <w:sz w:val="28"/>
          <w:szCs w:val="28"/>
          <w:highlight w:val="none"/>
          <w:u w:val="single"/>
          <w14:textFill>
            <w14:solidFill>
              <w14:schemeClr w14:val="tx1"/>
            </w14:solidFill>
          </w14:textFill>
        </w:rPr>
        <w:t>万</w:t>
      </w:r>
      <w:r>
        <w:rPr>
          <w:rFonts w:hint="eastAsia" w:ascii="仿宋" w:hAnsi="仿宋" w:eastAsia="仿宋" w:cs="仿宋"/>
          <w:color w:val="000000" w:themeColor="text1"/>
          <w:sz w:val="28"/>
          <w:szCs w:val="28"/>
          <w:highlight w:val="none"/>
          <w:u w:val="single"/>
          <w14:textFill>
            <w14:solidFill>
              <w14:schemeClr w14:val="tx1"/>
            </w14:solidFill>
          </w14:textFill>
        </w:rPr>
        <w:t>元整（</w:t>
      </w:r>
      <w:r>
        <w:rPr>
          <w:rFonts w:hint="eastAsia" w:ascii="仿宋" w:hAnsi="仿宋" w:eastAsia="仿宋" w:cs="仿宋"/>
          <w:bCs/>
          <w:color w:val="000000" w:themeColor="text1"/>
          <w:sz w:val="28"/>
          <w:szCs w:val="28"/>
          <w:highlight w:val="none"/>
          <w:u w:val="single"/>
          <w14:textFill>
            <w14:solidFill>
              <w14:schemeClr w14:val="tx1"/>
            </w14:solidFill>
          </w14:textFill>
        </w:rPr>
        <w:t>¥4</w:t>
      </w:r>
      <w:r>
        <w:rPr>
          <w:rFonts w:ascii="仿宋" w:hAnsi="仿宋" w:eastAsia="仿宋" w:cs="仿宋"/>
          <w:bCs/>
          <w:color w:val="000000" w:themeColor="text1"/>
          <w:sz w:val="28"/>
          <w:szCs w:val="28"/>
          <w:highlight w:val="none"/>
          <w:u w:val="single"/>
          <w14:textFill>
            <w14:solidFill>
              <w14:schemeClr w14:val="tx1"/>
            </w14:solidFill>
          </w14:textFill>
        </w:rPr>
        <w:t>0</w:t>
      </w:r>
      <w:r>
        <w:rPr>
          <w:rFonts w:hint="eastAsia" w:ascii="仿宋" w:hAnsi="仿宋" w:eastAsia="仿宋" w:cs="仿宋"/>
          <w:bCs/>
          <w:color w:val="000000" w:themeColor="text1"/>
          <w:sz w:val="28"/>
          <w:szCs w:val="28"/>
          <w:highlight w:val="none"/>
          <w:u w:val="single"/>
          <w14:textFill>
            <w14:solidFill>
              <w14:schemeClr w14:val="tx1"/>
            </w14:solidFill>
          </w14:textFill>
        </w:rPr>
        <w:t>,</w:t>
      </w:r>
      <w:r>
        <w:rPr>
          <w:rFonts w:ascii="仿宋" w:hAnsi="仿宋" w:eastAsia="仿宋" w:cs="仿宋"/>
          <w:bCs/>
          <w:color w:val="000000" w:themeColor="text1"/>
          <w:sz w:val="28"/>
          <w:szCs w:val="28"/>
          <w:highlight w:val="none"/>
          <w:u w:val="single"/>
          <w14:textFill>
            <w14:solidFill>
              <w14:schemeClr w14:val="tx1"/>
            </w14:solidFill>
          </w14:textFill>
        </w:rPr>
        <w:t>0</w:t>
      </w:r>
      <w:r>
        <w:rPr>
          <w:rFonts w:hint="eastAsia" w:ascii="仿宋" w:hAnsi="仿宋" w:eastAsia="仿宋" w:cs="仿宋"/>
          <w:bCs/>
          <w:color w:val="000000" w:themeColor="text1"/>
          <w:sz w:val="28"/>
          <w:szCs w:val="28"/>
          <w:highlight w:val="none"/>
          <w:u w:val="single"/>
          <w14:textFill>
            <w14:solidFill>
              <w14:schemeClr w14:val="tx1"/>
            </w14:solidFill>
          </w14:textFill>
        </w:rPr>
        <w:t>0</w:t>
      </w:r>
      <w:r>
        <w:rPr>
          <w:rFonts w:ascii="仿宋" w:hAnsi="仿宋" w:eastAsia="仿宋" w:cs="仿宋"/>
          <w:bCs/>
          <w:color w:val="000000" w:themeColor="text1"/>
          <w:sz w:val="28"/>
          <w:szCs w:val="28"/>
          <w:highlight w:val="none"/>
          <w:u w:val="single"/>
          <w14:textFill>
            <w14:solidFill>
              <w14:schemeClr w14:val="tx1"/>
            </w14:solidFill>
          </w14:textFill>
        </w:rPr>
        <w:t>0</w:t>
      </w:r>
      <w:r>
        <w:rPr>
          <w:rFonts w:hint="eastAsia" w:ascii="仿宋" w:hAnsi="仿宋" w:eastAsia="仿宋" w:cs="仿宋"/>
          <w:bCs/>
          <w:color w:val="000000" w:themeColor="text1"/>
          <w:sz w:val="28"/>
          <w:szCs w:val="28"/>
          <w:highlight w:val="none"/>
          <w:u w:val="single"/>
          <w14:textFill>
            <w14:solidFill>
              <w14:schemeClr w14:val="tx1"/>
            </w14:solidFill>
          </w14:textFill>
        </w:rPr>
        <w:t>.00元</w:t>
      </w:r>
      <w:r>
        <w:rPr>
          <w:rFonts w:hint="eastAsia" w:ascii="仿宋" w:hAnsi="仿宋" w:eastAsia="仿宋" w:cs="仿宋"/>
          <w:color w:val="000000" w:themeColor="text1"/>
          <w:sz w:val="28"/>
          <w:szCs w:val="28"/>
          <w:highlight w:val="none"/>
          <w:u w:val="single"/>
          <w14:textFill>
            <w14:solidFill>
              <w14:schemeClr w14:val="tx1"/>
            </w14:solidFill>
          </w14:textFill>
        </w:rPr>
        <w:t>）</w:t>
      </w:r>
      <w:r>
        <w:rPr>
          <w:rFonts w:hint="eastAsia" w:ascii="仿宋" w:hAnsi="仿宋" w:eastAsia="仿宋" w:cs="仿宋"/>
          <w:color w:val="000000" w:themeColor="text1"/>
          <w:sz w:val="28"/>
          <w:szCs w:val="28"/>
          <w:highlight w:val="none"/>
          <w14:textFill>
            <w14:solidFill>
              <w14:schemeClr w14:val="tx1"/>
            </w14:solidFill>
          </w14:textFill>
        </w:rPr>
        <w:t>；</w:t>
      </w:r>
    </w:p>
    <w:p>
      <w:pPr>
        <w:numPr>
          <w:ilvl w:val="0"/>
          <w:numId w:val="3"/>
        </w:numPr>
        <w:spacing w:line="480" w:lineRule="exact"/>
        <w:ind w:firstLine="560" w:firstLineChars="200"/>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第二期：待项目经甲方验收合格后，甲方再次凭收到乙方开具等额有效的发票之日起30个工作日内支付剩余项目费用给乙方，即</w:t>
      </w:r>
      <w:r>
        <w:rPr>
          <w:rFonts w:hint="eastAsia" w:ascii="仿宋" w:hAnsi="仿宋" w:eastAsia="仿宋" w:cs="仿宋"/>
          <w:color w:val="000000" w:themeColor="text1"/>
          <w:sz w:val="28"/>
          <w:szCs w:val="28"/>
          <w:highlight w:val="none"/>
          <w:u w:val="single"/>
          <w14:textFill>
            <w14:solidFill>
              <w14:schemeClr w14:val="tx1"/>
            </w14:solidFill>
          </w14:textFill>
        </w:rPr>
        <w:t>人民币肆</w:t>
      </w:r>
      <w:r>
        <w:rPr>
          <w:rFonts w:ascii="仿宋" w:hAnsi="仿宋" w:eastAsia="仿宋" w:cs="仿宋"/>
          <w:color w:val="000000" w:themeColor="text1"/>
          <w:sz w:val="28"/>
          <w:szCs w:val="28"/>
          <w:highlight w:val="none"/>
          <w:u w:val="single"/>
          <w14:textFill>
            <w14:solidFill>
              <w14:schemeClr w14:val="tx1"/>
            </w14:solidFill>
          </w14:textFill>
        </w:rPr>
        <w:t>万</w:t>
      </w:r>
      <w:r>
        <w:rPr>
          <w:rFonts w:hint="eastAsia" w:ascii="仿宋" w:hAnsi="仿宋" w:eastAsia="仿宋" w:cs="仿宋"/>
          <w:color w:val="000000" w:themeColor="text1"/>
          <w:sz w:val="28"/>
          <w:szCs w:val="28"/>
          <w:highlight w:val="none"/>
          <w:u w:val="single"/>
          <w14:textFill>
            <w14:solidFill>
              <w14:schemeClr w14:val="tx1"/>
            </w14:solidFill>
          </w14:textFill>
        </w:rPr>
        <w:t>元整（</w:t>
      </w:r>
      <w:r>
        <w:rPr>
          <w:rFonts w:hint="eastAsia" w:ascii="仿宋" w:hAnsi="仿宋" w:eastAsia="仿宋" w:cs="仿宋"/>
          <w:bCs/>
          <w:color w:val="000000" w:themeColor="text1"/>
          <w:sz w:val="28"/>
          <w:szCs w:val="28"/>
          <w:highlight w:val="none"/>
          <w:u w:val="single"/>
          <w14:textFill>
            <w14:solidFill>
              <w14:schemeClr w14:val="tx1"/>
            </w14:solidFill>
          </w14:textFill>
        </w:rPr>
        <w:t>¥4</w:t>
      </w:r>
      <w:r>
        <w:rPr>
          <w:rFonts w:ascii="仿宋" w:hAnsi="仿宋" w:eastAsia="仿宋" w:cs="仿宋"/>
          <w:bCs/>
          <w:color w:val="000000" w:themeColor="text1"/>
          <w:sz w:val="28"/>
          <w:szCs w:val="28"/>
          <w:highlight w:val="none"/>
          <w:u w:val="single"/>
          <w14:textFill>
            <w14:solidFill>
              <w14:schemeClr w14:val="tx1"/>
            </w14:solidFill>
          </w14:textFill>
        </w:rPr>
        <w:t>0</w:t>
      </w:r>
      <w:r>
        <w:rPr>
          <w:rFonts w:hint="eastAsia" w:ascii="仿宋" w:hAnsi="仿宋" w:eastAsia="仿宋" w:cs="仿宋"/>
          <w:bCs/>
          <w:color w:val="000000" w:themeColor="text1"/>
          <w:sz w:val="28"/>
          <w:szCs w:val="28"/>
          <w:highlight w:val="none"/>
          <w:u w:val="single"/>
          <w14:textFill>
            <w14:solidFill>
              <w14:schemeClr w14:val="tx1"/>
            </w14:solidFill>
          </w14:textFill>
        </w:rPr>
        <w:t>,</w:t>
      </w:r>
      <w:r>
        <w:rPr>
          <w:rFonts w:ascii="仿宋" w:hAnsi="仿宋" w:eastAsia="仿宋" w:cs="仿宋"/>
          <w:bCs/>
          <w:color w:val="000000" w:themeColor="text1"/>
          <w:sz w:val="28"/>
          <w:szCs w:val="28"/>
          <w:highlight w:val="none"/>
          <w:u w:val="single"/>
          <w14:textFill>
            <w14:solidFill>
              <w14:schemeClr w14:val="tx1"/>
            </w14:solidFill>
          </w14:textFill>
        </w:rPr>
        <w:t>0</w:t>
      </w:r>
      <w:r>
        <w:rPr>
          <w:rFonts w:hint="eastAsia" w:ascii="仿宋" w:hAnsi="仿宋" w:eastAsia="仿宋" w:cs="仿宋"/>
          <w:bCs/>
          <w:color w:val="000000" w:themeColor="text1"/>
          <w:sz w:val="28"/>
          <w:szCs w:val="28"/>
          <w:highlight w:val="none"/>
          <w:u w:val="single"/>
          <w14:textFill>
            <w14:solidFill>
              <w14:schemeClr w14:val="tx1"/>
            </w14:solidFill>
          </w14:textFill>
        </w:rPr>
        <w:t>0</w:t>
      </w:r>
      <w:r>
        <w:rPr>
          <w:rFonts w:ascii="仿宋" w:hAnsi="仿宋" w:eastAsia="仿宋" w:cs="仿宋"/>
          <w:bCs/>
          <w:color w:val="000000" w:themeColor="text1"/>
          <w:sz w:val="28"/>
          <w:szCs w:val="28"/>
          <w:highlight w:val="none"/>
          <w:u w:val="single"/>
          <w14:textFill>
            <w14:solidFill>
              <w14:schemeClr w14:val="tx1"/>
            </w14:solidFill>
          </w14:textFill>
        </w:rPr>
        <w:t>0</w:t>
      </w:r>
      <w:r>
        <w:rPr>
          <w:rFonts w:hint="eastAsia" w:ascii="仿宋" w:hAnsi="仿宋" w:eastAsia="仿宋" w:cs="仿宋"/>
          <w:bCs/>
          <w:color w:val="000000" w:themeColor="text1"/>
          <w:sz w:val="28"/>
          <w:szCs w:val="28"/>
          <w:highlight w:val="none"/>
          <w:u w:val="single"/>
          <w14:textFill>
            <w14:solidFill>
              <w14:schemeClr w14:val="tx1"/>
            </w14:solidFill>
          </w14:textFill>
        </w:rPr>
        <w:t>.00元</w:t>
      </w:r>
      <w:r>
        <w:rPr>
          <w:rFonts w:hint="eastAsia" w:ascii="仿宋" w:hAnsi="仿宋" w:eastAsia="仿宋" w:cs="仿宋"/>
          <w:color w:val="000000" w:themeColor="text1"/>
          <w:sz w:val="28"/>
          <w:szCs w:val="28"/>
          <w:highlight w:val="none"/>
          <w:u w:val="single"/>
          <w14:textFill>
            <w14:solidFill>
              <w14:schemeClr w14:val="tx1"/>
            </w14:solidFill>
          </w14:textFill>
        </w:rPr>
        <w:t>）</w:t>
      </w:r>
      <w:r>
        <w:rPr>
          <w:rFonts w:hint="eastAsia" w:ascii="仿宋" w:hAnsi="仿宋" w:eastAsia="仿宋" w:cs="仿宋"/>
          <w:color w:val="000000" w:themeColor="text1"/>
          <w:sz w:val="28"/>
          <w:szCs w:val="28"/>
          <w:highlight w:val="none"/>
          <w14:textFill>
            <w14:solidFill>
              <w14:schemeClr w14:val="tx1"/>
            </w14:solidFill>
          </w14:textFill>
        </w:rPr>
        <w:t>。</w:t>
      </w:r>
    </w:p>
    <w:p>
      <w:pPr>
        <w:numPr>
          <w:ilvl w:val="0"/>
          <w:numId w:val="3"/>
        </w:numPr>
        <w:spacing w:line="480" w:lineRule="exact"/>
        <w:ind w:firstLine="560" w:firstLineChars="200"/>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宋体"/>
          <w:color w:val="000000"/>
          <w:kern w:val="0"/>
          <w:sz w:val="28"/>
          <w:szCs w:val="28"/>
          <w:highlight w:val="none"/>
        </w:rPr>
        <w:t>乙方确认：因甲方使用的是财政资金，本条约定甲方付款时间为甲方向政府财政支付部门提交办理财政支付申请手续的时间（不含政府财政支付部门审核的时间）；甲方在前款约定的时间内提交支付申请手续后即视为甲方已经按期支付。如因财政资金的下达、拨付问题导致付款延迟的，不视为甲方违约，乙方不能据此追究甲方逾期付款的违约责任。</w:t>
      </w:r>
    </w:p>
    <w:p>
      <w:pPr>
        <w:numPr>
          <w:ilvl w:val="0"/>
          <w:numId w:val="2"/>
        </w:numPr>
        <w:spacing w:line="480" w:lineRule="exact"/>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乙方账户信息如下：</w:t>
      </w:r>
    </w:p>
    <w:p>
      <w:pPr>
        <w:spacing w:line="480" w:lineRule="exact"/>
        <w:ind w:firstLine="560" w:firstLineChars="200"/>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开户名：</w:t>
      </w:r>
      <w:r>
        <w:rPr>
          <w:rFonts w:ascii="仿宋" w:hAnsi="仿宋" w:eastAsia="仿宋" w:cs="仿宋"/>
          <w:color w:val="000000" w:themeColor="text1"/>
          <w:sz w:val="28"/>
          <w:szCs w:val="28"/>
          <w:highlight w:val="none"/>
          <w:u w:val="single"/>
          <w14:textFill>
            <w14:solidFill>
              <w14:schemeClr w14:val="tx1"/>
            </w14:solidFill>
          </w14:textFill>
        </w:rPr>
        <w:t xml:space="preserve">                        </w:t>
      </w:r>
    </w:p>
    <w:p>
      <w:pPr>
        <w:spacing w:line="480" w:lineRule="exact"/>
        <w:ind w:firstLine="560" w:firstLineChars="200"/>
        <w:rPr>
          <w:rFonts w:ascii="仿宋" w:hAnsi="仿宋" w:eastAsia="仿宋" w:cs="仿宋"/>
          <w:color w:val="000000" w:themeColor="text1"/>
          <w:sz w:val="28"/>
          <w:szCs w:val="28"/>
          <w:highlight w:val="none"/>
          <w:u w:val="singl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开户行：</w:t>
      </w:r>
      <w:r>
        <w:rPr>
          <w:rFonts w:ascii="仿宋" w:hAnsi="仿宋" w:eastAsia="仿宋" w:cs="仿宋"/>
          <w:color w:val="000000" w:themeColor="text1"/>
          <w:sz w:val="28"/>
          <w:szCs w:val="28"/>
          <w:highlight w:val="none"/>
          <w:u w:val="single"/>
          <w14:textFill>
            <w14:solidFill>
              <w14:schemeClr w14:val="tx1"/>
            </w14:solidFill>
          </w14:textFill>
        </w:rPr>
        <w:t xml:space="preserve">                        </w:t>
      </w:r>
    </w:p>
    <w:p>
      <w:pPr>
        <w:spacing w:line="480" w:lineRule="exact"/>
        <w:ind w:firstLine="560" w:firstLineChars="200"/>
        <w:rPr>
          <w:rFonts w:ascii="仿宋" w:hAnsi="仿宋" w:eastAsia="仿宋" w:cs="仿宋"/>
          <w:color w:val="000000" w:themeColor="text1"/>
          <w:sz w:val="28"/>
          <w:szCs w:val="28"/>
          <w:highlight w:val="none"/>
          <w:u w:val="singl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账  号：</w:t>
      </w:r>
      <w:r>
        <w:rPr>
          <w:rFonts w:ascii="仿宋" w:hAnsi="仿宋" w:eastAsia="仿宋" w:cs="仿宋"/>
          <w:color w:val="000000" w:themeColor="text1"/>
          <w:sz w:val="28"/>
          <w:szCs w:val="28"/>
          <w:highlight w:val="none"/>
          <w:u w:val="single"/>
          <w14:textFill>
            <w14:solidFill>
              <w14:schemeClr w14:val="tx1"/>
            </w14:solidFill>
          </w14:textFill>
        </w:rPr>
        <w:t xml:space="preserve">                        </w:t>
      </w:r>
    </w:p>
    <w:p>
      <w:pPr>
        <w:pStyle w:val="9"/>
        <w:numPr>
          <w:ilvl w:val="0"/>
          <w:numId w:val="2"/>
        </w:numPr>
        <w:spacing w:line="480" w:lineRule="exact"/>
        <w:ind w:firstLine="560" w:firstLineChars="200"/>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甲方开票信息如下：</w:t>
      </w:r>
    </w:p>
    <w:p>
      <w:pPr>
        <w:pStyle w:val="9"/>
        <w:spacing w:line="480" w:lineRule="exact"/>
        <w:ind w:firstLine="560" w:firstLineChars="200"/>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bidi="ar"/>
          <w14:textFill>
            <w14:solidFill>
              <w14:schemeClr w14:val="tx1"/>
            </w14:solidFill>
          </w14:textFill>
        </w:rPr>
        <w:t>单位名称：江门市市场监督管理局</w:t>
      </w:r>
    </w:p>
    <w:p>
      <w:pPr>
        <w:pStyle w:val="9"/>
        <w:spacing w:line="480" w:lineRule="exact"/>
        <w:ind w:firstLine="560" w:firstLineChars="200"/>
        <w:rPr>
          <w:rFonts w:ascii="仿宋" w:hAnsi="仿宋" w:eastAsia="仿宋" w:cs="仿宋"/>
          <w:color w:val="000000" w:themeColor="text1"/>
          <w:sz w:val="28"/>
          <w:szCs w:val="28"/>
          <w:highlight w:val="none"/>
          <w:lang w:bidi="ar"/>
          <w14:textFill>
            <w14:solidFill>
              <w14:schemeClr w14:val="tx1"/>
            </w14:solidFill>
          </w14:textFill>
        </w:rPr>
      </w:pPr>
      <w:r>
        <w:rPr>
          <w:rFonts w:hint="eastAsia" w:ascii="仿宋" w:hAnsi="仿宋" w:eastAsia="仿宋" w:cs="仿宋"/>
          <w:color w:val="000000" w:themeColor="text1"/>
          <w:sz w:val="28"/>
          <w:szCs w:val="28"/>
          <w:highlight w:val="none"/>
          <w:lang w:bidi="ar"/>
          <w14:textFill>
            <w14:solidFill>
              <w14:schemeClr w14:val="tx1"/>
            </w14:solidFill>
          </w14:textFill>
        </w:rPr>
        <w:t>统一</w:t>
      </w:r>
      <w:r>
        <w:rPr>
          <w:rFonts w:hint="eastAsia" w:ascii="仿宋" w:hAnsi="仿宋" w:eastAsia="仿宋" w:cs="仿宋"/>
          <w:color w:val="000000" w:themeColor="text1"/>
          <w:sz w:val="28"/>
          <w:szCs w:val="28"/>
          <w:highlight w:val="none"/>
          <w:lang w:eastAsia="zh-CN" w:bidi="ar"/>
          <w14:textFill>
            <w14:solidFill>
              <w14:schemeClr w14:val="tx1"/>
            </w14:solidFill>
          </w14:textFill>
        </w:rPr>
        <w:t>社会</w:t>
      </w:r>
      <w:bookmarkStart w:id="0" w:name="_GoBack"/>
      <w:bookmarkEnd w:id="0"/>
      <w:r>
        <w:rPr>
          <w:rFonts w:hint="eastAsia" w:ascii="仿宋" w:hAnsi="仿宋" w:eastAsia="仿宋" w:cs="仿宋"/>
          <w:color w:val="000000" w:themeColor="text1"/>
          <w:sz w:val="28"/>
          <w:szCs w:val="28"/>
          <w:highlight w:val="none"/>
          <w:lang w:bidi="ar"/>
          <w14:textFill>
            <w14:solidFill>
              <w14:schemeClr w14:val="tx1"/>
            </w14:solidFill>
          </w14:textFill>
        </w:rPr>
        <w:t>信用代码：11440700MB2C90725T</w:t>
      </w:r>
    </w:p>
    <w:p>
      <w:pPr>
        <w:spacing w:line="480" w:lineRule="exact"/>
        <w:rPr>
          <w:rFonts w:ascii="仿宋" w:hAnsi="仿宋" w:eastAsia="仿宋" w:cs="仿宋"/>
          <w:color w:val="666666"/>
          <w:sz w:val="28"/>
          <w:szCs w:val="28"/>
          <w:highlight w:val="none"/>
          <w:shd w:val="clear" w:color="auto" w:fill="FFFFFF"/>
        </w:rPr>
      </w:pPr>
      <w:r>
        <w:rPr>
          <w:rFonts w:hint="eastAsia" w:ascii="仿宋" w:hAnsi="仿宋" w:eastAsia="仿宋" w:cs="仿宋"/>
          <w:b/>
          <w:bCs/>
          <w:color w:val="000000" w:themeColor="text1"/>
          <w:sz w:val="28"/>
          <w:szCs w:val="28"/>
          <w:highlight w:val="none"/>
          <w14:textFill>
            <w14:solidFill>
              <w14:schemeClr w14:val="tx1"/>
            </w14:solidFill>
          </w14:textFill>
        </w:rPr>
        <w:t>第三条  验收方式</w:t>
      </w:r>
      <w:r>
        <w:rPr>
          <w:rFonts w:hint="eastAsia" w:ascii="仿宋" w:hAnsi="仿宋" w:eastAsia="仿宋" w:cs="仿宋"/>
          <w:color w:val="666666"/>
          <w:sz w:val="28"/>
          <w:szCs w:val="28"/>
          <w:highlight w:val="none"/>
          <w:shd w:val="clear" w:color="auto" w:fill="FFFFFF"/>
        </w:rPr>
        <w:t xml:space="preserve"> </w:t>
      </w:r>
    </w:p>
    <w:p>
      <w:pPr>
        <w:numPr>
          <w:ilvl w:val="0"/>
          <w:numId w:val="4"/>
        </w:numPr>
        <w:spacing w:line="480" w:lineRule="exact"/>
        <w:ind w:firstLine="560" w:firstLineChars="200"/>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验收时间：本项目结束之日起</w:t>
      </w:r>
      <w:r>
        <w:rPr>
          <w:rFonts w:hint="eastAsia" w:ascii="仿宋" w:hAnsi="仿宋" w:eastAsia="仿宋" w:cs="仿宋"/>
          <w:color w:val="000000" w:themeColor="text1"/>
          <w:sz w:val="28"/>
          <w:szCs w:val="28"/>
          <w:highlight w:val="none"/>
          <w:u w:val="single"/>
          <w14:textFill>
            <w14:solidFill>
              <w14:schemeClr w14:val="tx1"/>
            </w14:solidFill>
          </w14:textFill>
        </w:rPr>
        <w:t xml:space="preserve">   </w:t>
      </w:r>
      <w:r>
        <w:rPr>
          <w:rFonts w:hint="eastAsia" w:ascii="仿宋" w:hAnsi="仿宋" w:eastAsia="仿宋" w:cs="仿宋"/>
          <w:color w:val="000000" w:themeColor="text1"/>
          <w:sz w:val="28"/>
          <w:szCs w:val="28"/>
          <w:highlight w:val="none"/>
          <w14:textFill>
            <w14:solidFill>
              <w14:schemeClr w14:val="tx1"/>
            </w14:solidFill>
          </w14:textFill>
        </w:rPr>
        <w:t>个工作日内，乙方应按采购公告及甲方要求提交项目相关的文件、资料等成果性资料给甲方进行验收，甲方在收到乙方提交的上述成果性资料之日起20个工作日内完成验收工作；但因乙方自身原因导致甲方无法在上述期限内完成验收的，由此产生的费用、损失由乙方自行承担；若损失难以计算的，则以本合同项下的费用作为损失计算依据。</w:t>
      </w:r>
    </w:p>
    <w:p>
      <w:pPr>
        <w:numPr>
          <w:ilvl w:val="0"/>
          <w:numId w:val="4"/>
        </w:numPr>
        <w:spacing w:line="480" w:lineRule="exact"/>
        <w:ind w:firstLine="560" w:firstLineChars="200"/>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验收标准：由甲方依据国家、省、市制定的法律法规政策、</w:t>
      </w:r>
      <w:r>
        <w:rPr>
          <w:rFonts w:hint="eastAsia" w:ascii="仿宋" w:hAnsi="仿宋" w:eastAsia="仿宋" w:cs="仿宋"/>
          <w:bCs/>
          <w:color w:val="000000" w:themeColor="text1"/>
          <w:sz w:val="28"/>
          <w:szCs w:val="28"/>
          <w:highlight w:val="none"/>
          <w14:textFill>
            <w14:solidFill>
              <w14:schemeClr w14:val="tx1"/>
            </w14:solidFill>
          </w14:textFill>
        </w:rPr>
        <w:t>行业规范或标准以及招标公告、本合同约定的技术、服务标准进行验收。</w:t>
      </w:r>
    </w:p>
    <w:p>
      <w:pPr>
        <w:numPr>
          <w:ilvl w:val="0"/>
          <w:numId w:val="4"/>
        </w:numPr>
        <w:spacing w:line="480" w:lineRule="exact"/>
        <w:ind w:firstLine="560" w:firstLineChars="200"/>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bCs/>
          <w:color w:val="000000" w:themeColor="text1"/>
          <w:sz w:val="28"/>
          <w:szCs w:val="28"/>
          <w:highlight w:val="none"/>
          <w14:textFill>
            <w14:solidFill>
              <w14:schemeClr w14:val="tx1"/>
            </w14:solidFill>
          </w14:textFill>
        </w:rPr>
        <w:t>经甲方验收不</w:t>
      </w:r>
      <w:r>
        <w:rPr>
          <w:rFonts w:hint="eastAsia" w:ascii="仿宋" w:hAnsi="仿宋" w:eastAsia="仿宋" w:cs="仿宋"/>
          <w:color w:val="000000" w:themeColor="text1"/>
          <w:sz w:val="28"/>
          <w:szCs w:val="28"/>
          <w:highlight w:val="none"/>
          <w14:textFill>
            <w14:solidFill>
              <w14:schemeClr w14:val="tx1"/>
            </w14:solidFill>
          </w14:textFill>
        </w:rPr>
        <w:t>合格</w:t>
      </w:r>
      <w:r>
        <w:rPr>
          <w:rFonts w:hint="eastAsia" w:ascii="仿宋" w:hAnsi="仿宋" w:eastAsia="仿宋" w:cs="仿宋"/>
          <w:bCs/>
          <w:color w:val="000000" w:themeColor="text1"/>
          <w:sz w:val="28"/>
          <w:szCs w:val="28"/>
          <w:highlight w:val="none"/>
          <w14:textFill>
            <w14:solidFill>
              <w14:schemeClr w14:val="tx1"/>
            </w14:solidFill>
          </w14:textFill>
        </w:rPr>
        <w:t>的，乙方应在甲方指定期限内采取弥补措施并再次提交给甲方验收；验收合格后由甲方和乙方共同签字确认并作为结算及甲方支付第二期款项的依据。</w:t>
      </w:r>
    </w:p>
    <w:p>
      <w:pPr>
        <w:spacing w:line="480" w:lineRule="exact"/>
        <w:rPr>
          <w:rFonts w:ascii="仿宋" w:hAnsi="仿宋" w:eastAsia="仿宋" w:cs="仿宋"/>
          <w:b/>
          <w:bCs/>
          <w:color w:val="000000" w:themeColor="text1"/>
          <w:sz w:val="28"/>
          <w:szCs w:val="28"/>
          <w:highlight w:val="none"/>
          <w14:textFill>
            <w14:solidFill>
              <w14:schemeClr w14:val="tx1"/>
            </w14:solidFill>
          </w14:textFill>
        </w:rPr>
      </w:pPr>
      <w:r>
        <w:rPr>
          <w:rFonts w:hint="eastAsia" w:ascii="仿宋" w:hAnsi="仿宋" w:eastAsia="仿宋" w:cs="仿宋"/>
          <w:b/>
          <w:bCs/>
          <w:color w:val="000000" w:themeColor="text1"/>
          <w:sz w:val="28"/>
          <w:szCs w:val="28"/>
          <w:highlight w:val="none"/>
          <w14:textFill>
            <w14:solidFill>
              <w14:schemeClr w14:val="tx1"/>
            </w14:solidFill>
          </w14:textFill>
        </w:rPr>
        <w:t>第四条  甲方的权利和义务</w:t>
      </w:r>
    </w:p>
    <w:p>
      <w:pPr>
        <w:numPr>
          <w:ilvl w:val="0"/>
          <w:numId w:val="5"/>
        </w:numPr>
        <w:spacing w:line="480" w:lineRule="exact"/>
        <w:ind w:firstLine="560" w:firstLineChars="200"/>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甲方为乙方提供项目实施中所需的相关协助；</w:t>
      </w:r>
    </w:p>
    <w:p>
      <w:pPr>
        <w:numPr>
          <w:ilvl w:val="0"/>
          <w:numId w:val="5"/>
        </w:numPr>
        <w:spacing w:line="480" w:lineRule="exact"/>
        <w:ind w:firstLine="560" w:firstLineChars="200"/>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项目实施期间，甲方有权向乙方提出建议或具体要求；</w:t>
      </w:r>
    </w:p>
    <w:p>
      <w:pPr>
        <w:numPr>
          <w:ilvl w:val="0"/>
          <w:numId w:val="5"/>
        </w:numPr>
        <w:spacing w:line="480" w:lineRule="exact"/>
        <w:ind w:firstLine="560" w:firstLineChars="200"/>
        <w:rPr>
          <w:rFonts w:ascii="仿宋" w:hAnsi="仿宋" w:eastAsia="仿宋" w:cs="仿宋"/>
          <w:color w:val="000000"/>
          <w:sz w:val="28"/>
          <w:szCs w:val="28"/>
          <w:highlight w:val="none"/>
        </w:rPr>
      </w:pPr>
      <w:r>
        <w:rPr>
          <w:rFonts w:hint="eastAsia" w:ascii="仿宋" w:hAnsi="仿宋" w:eastAsia="仿宋" w:cs="仿宋"/>
          <w:color w:val="000000" w:themeColor="text1"/>
          <w:sz w:val="28"/>
          <w:szCs w:val="28"/>
          <w:highlight w:val="none"/>
          <w14:textFill>
            <w14:solidFill>
              <w14:schemeClr w14:val="tx1"/>
            </w14:solidFill>
          </w14:textFill>
        </w:rPr>
        <w:t>根据甲、乙双方确定的项目计划，甲方有权督促乙方的实施情况，了解</w:t>
      </w:r>
      <w:r>
        <w:rPr>
          <w:rFonts w:hint="eastAsia" w:ascii="仿宋" w:hAnsi="仿宋" w:eastAsia="仿宋" w:cs="仿宋"/>
          <w:color w:val="000000"/>
          <w:sz w:val="28"/>
          <w:szCs w:val="28"/>
          <w:highlight w:val="none"/>
        </w:rPr>
        <w:t>工作进度及开展情况。</w:t>
      </w:r>
    </w:p>
    <w:p>
      <w:pPr>
        <w:numPr>
          <w:ilvl w:val="0"/>
          <w:numId w:val="5"/>
        </w:numPr>
        <w:spacing w:line="480" w:lineRule="exact"/>
        <w:ind w:firstLine="560" w:firstLineChars="200"/>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若甲方发现有问题，乙方应当在接到甲方的质疑之日2日内提供相关说明；若甲方</w:t>
      </w:r>
      <w:r>
        <w:rPr>
          <w:rFonts w:ascii="仿宋" w:hAnsi="仿宋" w:eastAsia="仿宋" w:cs="仿宋"/>
          <w:color w:val="000000" w:themeColor="text1"/>
          <w:sz w:val="28"/>
          <w:szCs w:val="28"/>
          <w:highlight w:val="none"/>
          <w14:textFill>
            <w14:solidFill>
              <w14:schemeClr w14:val="tx1"/>
            </w14:solidFill>
          </w14:textFill>
        </w:rPr>
        <w:t>认为</w:t>
      </w:r>
      <w:r>
        <w:rPr>
          <w:rFonts w:hint="eastAsia" w:ascii="仿宋" w:hAnsi="仿宋" w:eastAsia="仿宋" w:cs="仿宋"/>
          <w:color w:val="000000" w:themeColor="text1"/>
          <w:sz w:val="28"/>
          <w:szCs w:val="28"/>
          <w:highlight w:val="none"/>
          <w14:textFill>
            <w14:solidFill>
              <w14:schemeClr w14:val="tx1"/>
            </w14:solidFill>
          </w14:textFill>
        </w:rPr>
        <w:t>需要</w:t>
      </w:r>
      <w:r>
        <w:rPr>
          <w:rFonts w:ascii="仿宋" w:hAnsi="仿宋" w:eastAsia="仿宋" w:cs="仿宋"/>
          <w:color w:val="000000" w:themeColor="text1"/>
          <w:sz w:val="28"/>
          <w:szCs w:val="28"/>
          <w:highlight w:val="none"/>
          <w14:textFill>
            <w14:solidFill>
              <w14:schemeClr w14:val="tx1"/>
            </w14:solidFill>
          </w14:textFill>
        </w:rPr>
        <w:t>整改的</w:t>
      </w:r>
      <w:r>
        <w:rPr>
          <w:rFonts w:hint="eastAsia" w:ascii="仿宋" w:hAnsi="仿宋" w:eastAsia="仿宋" w:cs="仿宋"/>
          <w:color w:val="000000" w:themeColor="text1"/>
          <w:sz w:val="28"/>
          <w:szCs w:val="28"/>
          <w:highlight w:val="none"/>
          <w14:textFill>
            <w14:solidFill>
              <w14:schemeClr w14:val="tx1"/>
            </w14:solidFill>
          </w14:textFill>
        </w:rPr>
        <w:t>，乙方应当</w:t>
      </w:r>
      <w:r>
        <w:rPr>
          <w:rFonts w:ascii="仿宋" w:hAnsi="仿宋" w:eastAsia="仿宋" w:cs="仿宋"/>
          <w:color w:val="000000" w:themeColor="text1"/>
          <w:sz w:val="28"/>
          <w:szCs w:val="28"/>
          <w:highlight w:val="none"/>
          <w14:textFill>
            <w14:solidFill>
              <w14:schemeClr w14:val="tx1"/>
            </w14:solidFill>
          </w14:textFill>
        </w:rPr>
        <w:t>根据</w:t>
      </w:r>
      <w:r>
        <w:rPr>
          <w:rFonts w:hint="eastAsia" w:ascii="仿宋" w:hAnsi="仿宋" w:eastAsia="仿宋" w:cs="仿宋"/>
          <w:color w:val="000000" w:themeColor="text1"/>
          <w:sz w:val="28"/>
          <w:szCs w:val="28"/>
          <w:highlight w:val="none"/>
          <w14:textFill>
            <w14:solidFill>
              <w14:schemeClr w14:val="tx1"/>
            </w14:solidFill>
          </w14:textFill>
        </w:rPr>
        <w:t>甲方</w:t>
      </w:r>
      <w:r>
        <w:rPr>
          <w:rFonts w:ascii="仿宋" w:hAnsi="仿宋" w:eastAsia="仿宋" w:cs="仿宋"/>
          <w:color w:val="000000" w:themeColor="text1"/>
          <w:sz w:val="28"/>
          <w:szCs w:val="28"/>
          <w:highlight w:val="none"/>
          <w14:textFill>
            <w14:solidFill>
              <w14:schemeClr w14:val="tx1"/>
            </w14:solidFill>
          </w14:textFill>
        </w:rPr>
        <w:t>要求整改至甲方认为合格为止；若乙方拒绝整改，则视为乙方违约</w:t>
      </w:r>
      <w:r>
        <w:rPr>
          <w:rFonts w:hint="eastAsia" w:ascii="仿宋" w:hAnsi="仿宋" w:eastAsia="仿宋" w:cs="仿宋"/>
          <w:color w:val="000000" w:themeColor="text1"/>
          <w:sz w:val="28"/>
          <w:szCs w:val="28"/>
          <w:highlight w:val="none"/>
          <w14:textFill>
            <w14:solidFill>
              <w14:schemeClr w14:val="tx1"/>
            </w14:solidFill>
          </w14:textFill>
        </w:rPr>
        <w:t>。</w:t>
      </w:r>
    </w:p>
    <w:p>
      <w:pPr>
        <w:numPr>
          <w:ilvl w:val="0"/>
          <w:numId w:val="5"/>
        </w:numPr>
        <w:spacing w:line="480" w:lineRule="exact"/>
        <w:ind w:firstLine="560" w:firstLineChars="200"/>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甲方按本合同约定向乙方支付项目费用。</w:t>
      </w:r>
    </w:p>
    <w:p>
      <w:pPr>
        <w:numPr>
          <w:ilvl w:val="0"/>
          <w:numId w:val="5"/>
        </w:numPr>
        <w:spacing w:line="480" w:lineRule="exact"/>
        <w:ind w:firstLine="560" w:firstLineChars="200"/>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甲方应及时进行验收以及按约定配合乙方的其他工作。</w:t>
      </w:r>
    </w:p>
    <w:p>
      <w:pPr>
        <w:spacing w:line="480" w:lineRule="exact"/>
        <w:rPr>
          <w:rFonts w:ascii="仿宋" w:hAnsi="仿宋" w:eastAsia="仿宋" w:cs="仿宋"/>
          <w:b/>
          <w:bCs/>
          <w:color w:val="000000" w:themeColor="text1"/>
          <w:sz w:val="28"/>
          <w:szCs w:val="28"/>
          <w:highlight w:val="none"/>
          <w14:textFill>
            <w14:solidFill>
              <w14:schemeClr w14:val="tx1"/>
            </w14:solidFill>
          </w14:textFill>
        </w:rPr>
      </w:pPr>
      <w:r>
        <w:rPr>
          <w:rFonts w:hint="eastAsia" w:ascii="仿宋" w:hAnsi="仿宋" w:eastAsia="仿宋" w:cs="仿宋"/>
          <w:b/>
          <w:bCs/>
          <w:color w:val="000000" w:themeColor="text1"/>
          <w:sz w:val="28"/>
          <w:szCs w:val="28"/>
          <w:highlight w:val="none"/>
          <w14:textFill>
            <w14:solidFill>
              <w14:schemeClr w14:val="tx1"/>
            </w14:solidFill>
          </w14:textFill>
        </w:rPr>
        <w:t>第五条  乙方的权利和义务</w:t>
      </w:r>
    </w:p>
    <w:p>
      <w:pPr>
        <w:numPr>
          <w:ilvl w:val="0"/>
          <w:numId w:val="6"/>
        </w:numPr>
        <w:adjustRightInd w:val="0"/>
        <w:snapToGrid w:val="0"/>
        <w:spacing w:line="480" w:lineRule="exact"/>
        <w:ind w:firstLine="560" w:firstLineChars="200"/>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bidi="ar"/>
          <w14:textFill>
            <w14:solidFill>
              <w14:schemeClr w14:val="tx1"/>
            </w14:solidFill>
          </w14:textFill>
        </w:rPr>
        <w:t>根据甲方要求做出工作实施方案，并完成项目内容以及确保提供服务期间的人身安全、公私财产安全、交通安全等各项安全事宜及承担责任，若因乙方原因导致出现安全事故、安全责任等情况发生的，由乙方承担全部的赔偿责任</w:t>
      </w:r>
      <w:r>
        <w:rPr>
          <w:rFonts w:hint="eastAsia" w:ascii="仿宋" w:hAnsi="仿宋" w:eastAsia="仿宋" w:cs="仿宋"/>
          <w:color w:val="000000" w:themeColor="text1"/>
          <w:sz w:val="28"/>
          <w:szCs w:val="28"/>
          <w:highlight w:val="none"/>
          <w14:textFill>
            <w14:solidFill>
              <w14:schemeClr w14:val="tx1"/>
            </w14:solidFill>
          </w14:textFill>
        </w:rPr>
        <w:t>。</w:t>
      </w:r>
    </w:p>
    <w:p>
      <w:pPr>
        <w:numPr>
          <w:ilvl w:val="0"/>
          <w:numId w:val="6"/>
        </w:numPr>
        <w:adjustRightInd w:val="0"/>
        <w:snapToGrid w:val="0"/>
        <w:spacing w:line="480" w:lineRule="exact"/>
        <w:ind w:firstLine="560" w:firstLineChars="200"/>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bidi="ar"/>
          <w14:textFill>
            <w14:solidFill>
              <w14:schemeClr w14:val="tx1"/>
            </w14:solidFill>
          </w14:textFill>
        </w:rPr>
        <w:t>项目在本合同履行过程中，非因乙方原因有可能致使合同履行失败或者部分失败的，乙方应在知晓该等事项之日起1个工作日内通知甲方，同时采取措施减少损失</w:t>
      </w:r>
      <w:r>
        <w:rPr>
          <w:rFonts w:hint="eastAsia" w:ascii="仿宋" w:hAnsi="仿宋" w:eastAsia="仿宋" w:cs="仿宋"/>
          <w:color w:val="000000" w:themeColor="text1"/>
          <w:sz w:val="28"/>
          <w:szCs w:val="28"/>
          <w:highlight w:val="none"/>
          <w14:textFill>
            <w14:solidFill>
              <w14:schemeClr w14:val="tx1"/>
            </w14:solidFill>
          </w14:textFill>
        </w:rPr>
        <w:t>。</w:t>
      </w:r>
    </w:p>
    <w:p>
      <w:pPr>
        <w:numPr>
          <w:ilvl w:val="0"/>
          <w:numId w:val="6"/>
        </w:numPr>
        <w:adjustRightInd w:val="0"/>
        <w:snapToGrid w:val="0"/>
        <w:spacing w:line="480" w:lineRule="exact"/>
        <w:ind w:firstLine="560" w:firstLineChars="200"/>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bidi="ar"/>
          <w14:textFill>
            <w14:solidFill>
              <w14:schemeClr w14:val="tx1"/>
            </w14:solidFill>
          </w14:textFill>
        </w:rPr>
        <w:t>因乙方原因致使合同全部或者部分不能履行的，乙方承担合同不能履行的全部风险及责任，甲方不予支付未履行部分的合同价款给乙方</w:t>
      </w:r>
      <w:r>
        <w:rPr>
          <w:rFonts w:hint="eastAsia" w:ascii="仿宋" w:hAnsi="仿宋" w:eastAsia="仿宋" w:cs="仿宋"/>
          <w:color w:val="000000" w:themeColor="text1"/>
          <w:sz w:val="28"/>
          <w:szCs w:val="28"/>
          <w:highlight w:val="none"/>
          <w14:textFill>
            <w14:solidFill>
              <w14:schemeClr w14:val="tx1"/>
            </w14:solidFill>
          </w14:textFill>
        </w:rPr>
        <w:t>。</w:t>
      </w:r>
    </w:p>
    <w:p>
      <w:pPr>
        <w:spacing w:line="480" w:lineRule="exact"/>
        <w:rPr>
          <w:rFonts w:ascii="仿宋" w:hAnsi="仿宋" w:eastAsia="仿宋" w:cs="仿宋"/>
          <w:b/>
          <w:bCs/>
          <w:color w:val="000000" w:themeColor="text1"/>
          <w:sz w:val="28"/>
          <w:szCs w:val="28"/>
          <w:highlight w:val="none"/>
          <w14:textFill>
            <w14:solidFill>
              <w14:schemeClr w14:val="tx1"/>
            </w14:solidFill>
          </w14:textFill>
        </w:rPr>
      </w:pPr>
      <w:r>
        <w:rPr>
          <w:rFonts w:hint="eastAsia" w:ascii="仿宋" w:hAnsi="仿宋" w:eastAsia="仿宋" w:cs="仿宋"/>
          <w:b/>
          <w:bCs/>
          <w:color w:val="000000" w:themeColor="text1"/>
          <w:sz w:val="28"/>
          <w:szCs w:val="28"/>
          <w:highlight w:val="none"/>
          <w14:textFill>
            <w14:solidFill>
              <w14:schemeClr w14:val="tx1"/>
            </w14:solidFill>
          </w14:textFill>
        </w:rPr>
        <w:t>第六条  保密条款</w:t>
      </w:r>
    </w:p>
    <w:p>
      <w:pPr>
        <w:spacing w:line="480" w:lineRule="exact"/>
        <w:ind w:firstLine="560" w:firstLineChars="200"/>
        <w:rPr>
          <w:rFonts w:ascii="仿宋" w:hAnsi="仿宋" w:eastAsia="仿宋" w:cs="仿宋"/>
          <w:color w:val="000000" w:themeColor="text1"/>
          <w:sz w:val="28"/>
          <w:szCs w:val="28"/>
          <w:highlight w:val="none"/>
          <w:lang w:val="zh-CN"/>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乙方必须对本项目实施过程中接触的甲方信息及资料（包括但不限于文件、图片、数据（含电子数据）、影音影像等）积极采取全面保密措施。乙方不得将上述保密内容提供给与任何第三方，不得将其用于履行本合同之外的其它用途，即使向与履行本合同有关的人员提供，乙方也应注意保密并限于履行合同所必需的范围。</w:t>
      </w:r>
      <w:r>
        <w:rPr>
          <w:rFonts w:hint="eastAsia" w:ascii="仿宋_GB2312" w:hAnsi="仿宋_GB2312" w:cs="仿宋_GB2312"/>
          <w:color w:val="000000"/>
          <w:sz w:val="28"/>
          <w:szCs w:val="28"/>
          <w:highlight w:val="none"/>
        </w:rPr>
        <w:t>否则，乙方应当依法承担相应的法律责任</w:t>
      </w:r>
      <w:r>
        <w:rPr>
          <w:rFonts w:hint="eastAsia" w:ascii="仿宋" w:hAnsi="仿宋" w:eastAsia="仿宋" w:cs="仿宋"/>
          <w:color w:val="000000" w:themeColor="text1"/>
          <w:sz w:val="28"/>
          <w:szCs w:val="28"/>
          <w:highlight w:val="none"/>
          <w:lang w:bidi="ar"/>
          <w14:textFill>
            <w14:solidFill>
              <w14:schemeClr w14:val="tx1"/>
            </w14:solidFill>
          </w14:textFill>
        </w:rPr>
        <w:t>包括但不限于律师费、诉讼费、赔偿款、交通费、调查费等</w:t>
      </w:r>
      <w:r>
        <w:rPr>
          <w:rFonts w:hint="eastAsia" w:ascii="仿宋" w:hAnsi="仿宋" w:eastAsia="仿宋" w:cs="仿宋"/>
          <w:color w:val="000000" w:themeColor="text1"/>
          <w:sz w:val="28"/>
          <w:szCs w:val="28"/>
          <w:highlight w:val="none"/>
          <w14:textFill>
            <w14:solidFill>
              <w14:schemeClr w14:val="tx1"/>
            </w14:solidFill>
          </w14:textFill>
        </w:rPr>
        <w:t>。前述信息资料</w:t>
      </w:r>
      <w:r>
        <w:rPr>
          <w:rFonts w:hint="eastAsia" w:ascii="仿宋" w:hAnsi="仿宋" w:eastAsia="仿宋" w:cs="仿宋"/>
          <w:color w:val="000000" w:themeColor="text1"/>
          <w:sz w:val="28"/>
          <w:szCs w:val="28"/>
          <w:highlight w:val="none"/>
          <w:lang w:val="zh-CN"/>
          <w14:textFill>
            <w14:solidFill>
              <w14:schemeClr w14:val="tx1"/>
            </w14:solidFill>
          </w14:textFill>
        </w:rPr>
        <w:t>均属于永久保密期限范围，均对乙方有约束力，不因合同的变更、解除、终止而终止。</w:t>
      </w:r>
    </w:p>
    <w:p>
      <w:pPr>
        <w:spacing w:line="480" w:lineRule="exact"/>
        <w:rPr>
          <w:rFonts w:ascii="仿宋" w:hAnsi="仿宋" w:eastAsia="仿宋" w:cs="仿宋"/>
          <w:b/>
          <w:bCs/>
          <w:color w:val="000000" w:themeColor="text1"/>
          <w:sz w:val="28"/>
          <w:szCs w:val="28"/>
          <w:highlight w:val="none"/>
          <w14:textFill>
            <w14:solidFill>
              <w14:schemeClr w14:val="tx1"/>
            </w14:solidFill>
          </w14:textFill>
        </w:rPr>
      </w:pPr>
      <w:r>
        <w:rPr>
          <w:rFonts w:hint="eastAsia" w:ascii="仿宋" w:hAnsi="仿宋" w:eastAsia="仿宋" w:cs="仿宋"/>
          <w:b/>
          <w:bCs/>
          <w:color w:val="000000" w:themeColor="text1"/>
          <w:sz w:val="28"/>
          <w:szCs w:val="28"/>
          <w:highlight w:val="none"/>
          <w14:textFill>
            <w14:solidFill>
              <w14:schemeClr w14:val="tx1"/>
            </w14:solidFill>
          </w14:textFill>
        </w:rPr>
        <w:t>第七条  不可抗力</w:t>
      </w:r>
    </w:p>
    <w:p>
      <w:pPr>
        <w:numPr>
          <w:ilvl w:val="0"/>
          <w:numId w:val="7"/>
        </w:numPr>
        <w:spacing w:line="480" w:lineRule="exact"/>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甲、乙双方任何一方由于不可抗力原因（指任何不可预见、不可避免并且不能克服的客观情况，包括但不限于自然灾害、爆炸、火灾、水灾、战争、暴动、暴乱和流行病以及行政措施和命令）不能履行合同时，应及时通报另一方不能履行或不能完全履行的理由，以减轻可能给各方造成的损失，在取得有关机构证明后，允许延期履行、部分履行或不履行合同，并根据情况可部分或全部免予承担违约责任。</w:t>
      </w:r>
    </w:p>
    <w:p>
      <w:pPr>
        <w:numPr>
          <w:ilvl w:val="0"/>
          <w:numId w:val="7"/>
        </w:numPr>
        <w:spacing w:line="480" w:lineRule="exact"/>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受到不可抗力影响的一方，应尽可能地采取合理的行为和适当的措施减轻不可抗力对本合同的履行所造成的影响。没有采取适当措施致使损失扩大的，该方不得就扩大损失的部分要求免责或赔偿。</w:t>
      </w:r>
    </w:p>
    <w:p>
      <w:pPr>
        <w:numPr>
          <w:ilvl w:val="0"/>
          <w:numId w:val="7"/>
        </w:numPr>
        <w:spacing w:line="480" w:lineRule="exact"/>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一旦不可抗力已经停止，受影响的一方应及时通知另一方，且应恢复履行本合同项下的义务。但如不可抗力事件持续超过30天，另一方有权终止合同，双方在不可抗力影响的范围内均无须承担任何法律责任（清付应缴未缴的款项的责任除外）。</w:t>
      </w:r>
    </w:p>
    <w:p>
      <w:pPr>
        <w:spacing w:line="480" w:lineRule="exact"/>
        <w:rPr>
          <w:rFonts w:ascii="仿宋" w:hAnsi="仿宋" w:eastAsia="仿宋" w:cs="仿宋"/>
          <w:b/>
          <w:bCs/>
          <w:color w:val="000000" w:themeColor="text1"/>
          <w:sz w:val="28"/>
          <w:szCs w:val="28"/>
          <w:highlight w:val="none"/>
          <w14:textFill>
            <w14:solidFill>
              <w14:schemeClr w14:val="tx1"/>
            </w14:solidFill>
          </w14:textFill>
        </w:rPr>
      </w:pPr>
      <w:r>
        <w:rPr>
          <w:rFonts w:hint="eastAsia" w:ascii="仿宋" w:hAnsi="仿宋" w:eastAsia="仿宋" w:cs="仿宋"/>
          <w:b/>
          <w:bCs/>
          <w:color w:val="000000" w:themeColor="text1"/>
          <w:sz w:val="28"/>
          <w:szCs w:val="28"/>
          <w:highlight w:val="none"/>
          <w14:textFill>
            <w14:solidFill>
              <w14:schemeClr w14:val="tx1"/>
            </w14:solidFill>
          </w14:textFill>
        </w:rPr>
        <w:t>第八条  违约责任</w:t>
      </w:r>
    </w:p>
    <w:p>
      <w:pPr>
        <w:numPr>
          <w:ilvl w:val="0"/>
          <w:numId w:val="8"/>
        </w:numPr>
        <w:spacing w:line="480" w:lineRule="exact"/>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甲方的违约责任：</w:t>
      </w:r>
    </w:p>
    <w:p>
      <w:pPr>
        <w:numPr>
          <w:ilvl w:val="0"/>
          <w:numId w:val="0"/>
        </w:numPr>
        <w:spacing w:line="480" w:lineRule="exact"/>
        <w:ind w:firstLine="560" w:firstLineChars="200"/>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甲方未按本合同约定向乙方支付款项的，乙方有权要求甲方按照逾期支付款项的日万分之一向乙方支付违约金，但因乙方自身原因造成的除外。</w:t>
      </w:r>
    </w:p>
    <w:p>
      <w:pPr>
        <w:numPr>
          <w:ilvl w:val="0"/>
          <w:numId w:val="8"/>
        </w:numPr>
        <w:spacing w:line="480" w:lineRule="exact"/>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乙方的违约责任：</w:t>
      </w:r>
    </w:p>
    <w:p>
      <w:pPr>
        <w:spacing w:line="480" w:lineRule="exact"/>
        <w:ind w:firstLine="560" w:firstLineChars="200"/>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1.乙方未按照合同约定及时提交项目成果性文件或逾期完成项目工作的，从逾期之日起，甲方有权要求乙方按本项目总费用的日千分之一向甲方支付违约金直到乙方提交或者完成之日止。</w:t>
      </w:r>
    </w:p>
    <w:p>
      <w:pPr>
        <w:spacing w:line="480" w:lineRule="exact"/>
        <w:ind w:firstLine="560" w:firstLineChars="200"/>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2.乙方发生以下情况的，甲方有权单方解除本合同、另行委托第三方提供服务或协助乙方，因此产生的费用由乙方全部承担，解除的通知自到达乙方之日起即生效；另，甲方有权扣减掉“甲方认为乙方提供符合要求的服务费用”后要求乙方在合同解除之日起三个工作日内将已收取款项剩余部分金额给甲方（乙方已经开具发票所产生的税费损失由乙方自行承担），也有权要求乙方支付本项目总费用20％的违约金给甲方：</w:t>
      </w:r>
    </w:p>
    <w:p>
      <w:pPr>
        <w:spacing w:line="480" w:lineRule="exact"/>
        <w:ind w:firstLine="560" w:firstLineChars="200"/>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（1）乙方逾期提交项目成果性文件或者逾期完成项目工作超过15日以上的；</w:t>
      </w:r>
    </w:p>
    <w:p>
      <w:pPr>
        <w:spacing w:line="480" w:lineRule="exact"/>
        <w:ind w:firstLine="560" w:firstLineChars="200"/>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（2）乙方因自身原因不能提供服务（不包括本条第1点的情形）或提供的服务质量不符合本合同约定以及相关法律法规规定的；</w:t>
      </w:r>
    </w:p>
    <w:p>
      <w:pPr>
        <w:spacing w:line="480" w:lineRule="exact"/>
        <w:ind w:firstLine="560" w:firstLineChars="200"/>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（3）未经甲方同意，乙方将本合同项目部分或全部技术服务工作转让第三人负责的。</w:t>
      </w:r>
    </w:p>
    <w:p>
      <w:pPr>
        <w:spacing w:line="480" w:lineRule="exact"/>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b/>
          <w:bCs/>
          <w:color w:val="000000" w:themeColor="text1"/>
          <w:sz w:val="28"/>
          <w:szCs w:val="28"/>
          <w:highlight w:val="none"/>
          <w14:textFill>
            <w14:solidFill>
              <w14:schemeClr w14:val="tx1"/>
            </w14:solidFill>
          </w14:textFill>
        </w:rPr>
        <w:t>第九条  双方确定，出现下列情形，致使本合同的履行成为不必要或不能的，可以解除本合同：</w:t>
      </w:r>
    </w:p>
    <w:p>
      <w:pPr>
        <w:numPr>
          <w:ilvl w:val="0"/>
          <w:numId w:val="9"/>
        </w:numPr>
        <w:spacing w:line="480" w:lineRule="exact"/>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发生不可抗力。</w:t>
      </w:r>
    </w:p>
    <w:p>
      <w:pPr>
        <w:numPr>
          <w:ilvl w:val="0"/>
          <w:numId w:val="9"/>
        </w:numPr>
        <w:spacing w:line="480" w:lineRule="exact"/>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因一方违约使合同不能继续履行或没有必要继续履行。</w:t>
      </w:r>
    </w:p>
    <w:p>
      <w:pPr>
        <w:numPr>
          <w:ilvl w:val="0"/>
          <w:numId w:val="9"/>
        </w:numPr>
        <w:spacing w:line="480" w:lineRule="exact"/>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出现法律法规或国家政策规定等特定情形导致合同不能继续履行。</w:t>
      </w:r>
    </w:p>
    <w:p>
      <w:pPr>
        <w:spacing w:line="480" w:lineRule="exact"/>
        <w:rPr>
          <w:rFonts w:ascii="仿宋" w:hAnsi="仿宋" w:eastAsia="仿宋" w:cs="仿宋"/>
          <w:b/>
          <w:bCs/>
          <w:color w:val="000000" w:themeColor="text1"/>
          <w:sz w:val="28"/>
          <w:szCs w:val="28"/>
          <w:highlight w:val="none"/>
          <w14:textFill>
            <w14:solidFill>
              <w14:schemeClr w14:val="tx1"/>
            </w14:solidFill>
          </w14:textFill>
        </w:rPr>
      </w:pPr>
      <w:r>
        <w:rPr>
          <w:rFonts w:hint="eastAsia" w:ascii="仿宋" w:hAnsi="仿宋" w:eastAsia="仿宋" w:cs="仿宋"/>
          <w:b/>
          <w:bCs/>
          <w:color w:val="000000" w:themeColor="text1"/>
          <w:sz w:val="28"/>
          <w:szCs w:val="28"/>
          <w:highlight w:val="none"/>
          <w14:textFill>
            <w14:solidFill>
              <w14:schemeClr w14:val="tx1"/>
            </w14:solidFill>
          </w14:textFill>
        </w:rPr>
        <w:t>第十条  争议的解决办法</w:t>
      </w:r>
    </w:p>
    <w:p>
      <w:pPr>
        <w:numPr>
          <w:ilvl w:val="255"/>
          <w:numId w:val="0"/>
        </w:numPr>
        <w:spacing w:line="480" w:lineRule="exact"/>
        <w:ind w:firstLine="560" w:firstLineChars="200"/>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本合同在履行过程中发生的争议，由当事人双方协商解决。协商不成的，合同双方任意一方均可向甲方所在地有管辖权的人民法院提起诉讼处理。</w:t>
      </w:r>
    </w:p>
    <w:p>
      <w:pPr>
        <w:spacing w:line="480" w:lineRule="exact"/>
        <w:jc w:val="left"/>
        <w:rPr>
          <w:rFonts w:ascii="仿宋" w:hAnsi="仿宋" w:eastAsia="仿宋" w:cs="仿宋"/>
          <w:b/>
          <w:bCs/>
          <w:color w:val="000000" w:themeColor="text1"/>
          <w:sz w:val="28"/>
          <w:szCs w:val="28"/>
          <w:highlight w:val="none"/>
          <w14:textFill>
            <w14:solidFill>
              <w14:schemeClr w14:val="tx1"/>
            </w14:solidFill>
          </w14:textFill>
        </w:rPr>
      </w:pPr>
      <w:r>
        <w:rPr>
          <w:rFonts w:hint="eastAsia" w:ascii="仿宋" w:hAnsi="仿宋" w:eastAsia="仿宋" w:cs="仿宋"/>
          <w:b/>
          <w:bCs/>
          <w:color w:val="000000" w:themeColor="text1"/>
          <w:sz w:val="28"/>
          <w:szCs w:val="28"/>
          <w:highlight w:val="none"/>
          <w14:textFill>
            <w14:solidFill>
              <w14:schemeClr w14:val="tx1"/>
            </w14:solidFill>
          </w14:textFill>
        </w:rPr>
        <w:t>第十一条 其他</w:t>
      </w:r>
    </w:p>
    <w:p>
      <w:pPr>
        <w:numPr>
          <w:ilvl w:val="0"/>
          <w:numId w:val="10"/>
        </w:numPr>
        <w:spacing w:line="480" w:lineRule="exact"/>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合同如有未尽事宜，可以经甲、乙双方另行协商形成书面补充协议，书面补充协议经双方签字、盖章后生效。</w:t>
      </w:r>
    </w:p>
    <w:p>
      <w:pPr>
        <w:numPr>
          <w:ilvl w:val="0"/>
          <w:numId w:val="10"/>
        </w:numPr>
        <w:spacing w:line="480" w:lineRule="exact"/>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bidi="ar"/>
          <w14:textFill>
            <w14:solidFill>
              <w14:schemeClr w14:val="tx1"/>
            </w14:solidFill>
          </w14:textFill>
        </w:rPr>
        <w:t>甲、乙双方在本协议履行过程中提供给对方的任一地址（包括但不限于注册经营地址、身份证户籍地址、实际经营地址、居住地址等）和联系方式（包括但不限于甲、乙双方指定的联系人手机号码、微信号、电子邮件等）为合同对方或者司法机关等文件有效的送达地址，文件一经到达或退回或拒收即视为送达。一方如有变更，应在变更前3个工作日内通知对方，否则，视为未变更</w:t>
      </w:r>
      <w:r>
        <w:rPr>
          <w:rFonts w:hint="eastAsia" w:ascii="仿宋" w:hAnsi="仿宋" w:eastAsia="仿宋" w:cs="仿宋"/>
          <w:color w:val="000000" w:themeColor="text1"/>
          <w:sz w:val="28"/>
          <w:szCs w:val="28"/>
          <w:highlight w:val="none"/>
          <w14:textFill>
            <w14:solidFill>
              <w14:schemeClr w14:val="tx1"/>
            </w14:solidFill>
          </w14:textFill>
        </w:rPr>
        <w:t>。</w:t>
      </w:r>
    </w:p>
    <w:p>
      <w:pPr>
        <w:numPr>
          <w:ilvl w:val="0"/>
          <w:numId w:val="10"/>
        </w:numPr>
        <w:spacing w:line="480" w:lineRule="exact"/>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本合同一式肆份，自甲、乙双方签字和盖章后生效。甲方执叁份、乙方执壹份，具有同等法律效力。</w:t>
      </w:r>
    </w:p>
    <w:p>
      <w:pPr>
        <w:pStyle w:val="10"/>
        <w:numPr>
          <w:ilvl w:val="0"/>
          <w:numId w:val="10"/>
        </w:numPr>
        <w:ind w:firstLineChars="0"/>
        <w:rPr>
          <w:rFonts w:ascii="仿宋" w:hAnsi="仿宋" w:eastAsia="仿宋" w:cs="仿宋"/>
          <w:color w:val="000000" w:themeColor="text1"/>
          <w:szCs w:val="28"/>
          <w:highlight w:val="none"/>
          <w14:textFill>
            <w14:solidFill>
              <w14:schemeClr w14:val="tx1"/>
            </w14:solidFill>
          </w14:textFill>
        </w:rPr>
      </w:pPr>
      <w:r>
        <w:rPr>
          <w:rFonts w:hint="eastAsia" w:ascii="仿宋" w:hAnsi="仿宋" w:eastAsia="仿宋" w:cs="仿宋"/>
          <w:color w:val="000000" w:themeColor="text1"/>
          <w:szCs w:val="28"/>
          <w:highlight w:val="none"/>
          <w14:textFill>
            <w14:solidFill>
              <w14:schemeClr w14:val="tx1"/>
            </w14:solidFill>
          </w14:textFill>
        </w:rPr>
        <w:t>以下为本合同附件，与本合同具有同等效力：</w:t>
      </w:r>
    </w:p>
    <w:p>
      <w:pPr>
        <w:pStyle w:val="10"/>
        <w:numPr>
          <w:ilvl w:val="0"/>
          <w:numId w:val="11"/>
        </w:numPr>
        <w:ind w:left="0" w:firstLine="608"/>
        <w:rPr>
          <w:rFonts w:ascii="仿宋" w:hAnsi="仿宋" w:eastAsia="仿宋" w:cs="仿宋"/>
          <w:color w:val="000000" w:themeColor="text1"/>
          <w:szCs w:val="28"/>
          <w:highlight w:val="none"/>
          <w14:textFill>
            <w14:solidFill>
              <w14:schemeClr w14:val="tx1"/>
            </w14:solidFill>
          </w14:textFill>
        </w:rPr>
      </w:pPr>
      <w:r>
        <w:rPr>
          <w:rFonts w:hint="eastAsia" w:ascii="仿宋" w:hAnsi="仿宋" w:eastAsia="仿宋" w:cs="仿宋"/>
          <w:color w:val="000000" w:themeColor="text1"/>
          <w:szCs w:val="28"/>
          <w:highlight w:val="none"/>
          <w14:textFill>
            <w14:solidFill>
              <w14:schemeClr w14:val="tx1"/>
            </w14:solidFill>
          </w14:textFill>
        </w:rPr>
        <w:t>2025年度</w:t>
      </w:r>
      <w:r>
        <w:rPr>
          <w:rFonts w:ascii="仿宋" w:hAnsi="仿宋" w:eastAsia="仿宋" w:cs="仿宋"/>
          <w:color w:val="000000" w:themeColor="text1"/>
          <w:szCs w:val="28"/>
          <w:highlight w:val="none"/>
          <w14:textFill>
            <w14:solidFill>
              <w14:schemeClr w14:val="tx1"/>
            </w14:solidFill>
          </w14:textFill>
        </w:rPr>
        <w:t>江门市市场监督管理局</w:t>
      </w:r>
      <w:r>
        <w:rPr>
          <w:rFonts w:hint="eastAsia" w:ascii="仿宋" w:hAnsi="仿宋" w:eastAsia="仿宋" w:cs="仿宋"/>
          <w:color w:val="000000" w:themeColor="text1"/>
          <w:szCs w:val="28"/>
          <w:highlight w:val="none"/>
          <w14:textFill>
            <w14:solidFill>
              <w14:schemeClr w14:val="tx1"/>
            </w14:solidFill>
          </w14:textFill>
        </w:rPr>
        <w:t>公平竞争审查第三方评估服务项目采购公告；</w:t>
      </w:r>
    </w:p>
    <w:p>
      <w:pPr>
        <w:pStyle w:val="10"/>
        <w:numPr>
          <w:ilvl w:val="0"/>
          <w:numId w:val="11"/>
        </w:numPr>
        <w:ind w:firstLine="608"/>
        <w:rPr>
          <w:rFonts w:ascii="仿宋" w:hAnsi="仿宋" w:eastAsia="仿宋" w:cs="仿宋"/>
          <w:color w:val="000000" w:themeColor="text1"/>
          <w:szCs w:val="28"/>
          <w:highlight w:val="none"/>
          <w14:textFill>
            <w14:solidFill>
              <w14:schemeClr w14:val="tx1"/>
            </w14:solidFill>
          </w14:textFill>
        </w:rPr>
      </w:pPr>
      <w:r>
        <w:rPr>
          <w:rFonts w:hint="eastAsia" w:ascii="仿宋" w:hAnsi="仿宋" w:eastAsia="仿宋" w:cs="仿宋"/>
          <w:color w:val="000000" w:themeColor="text1"/>
          <w:szCs w:val="28"/>
          <w:highlight w:val="none"/>
          <w14:textFill>
            <w14:solidFill>
              <w14:schemeClr w14:val="tx1"/>
            </w14:solidFill>
          </w14:textFill>
        </w:rPr>
        <w:t>江门市市场监督管理局相关项目采购结果公告；</w:t>
      </w:r>
    </w:p>
    <w:p>
      <w:pPr>
        <w:pStyle w:val="10"/>
        <w:numPr>
          <w:ilvl w:val="0"/>
          <w:numId w:val="11"/>
        </w:numPr>
        <w:ind w:firstLine="608"/>
        <w:rPr>
          <w:rFonts w:ascii="仿宋" w:hAnsi="仿宋" w:eastAsia="仿宋" w:cs="仿宋"/>
          <w:color w:val="000000" w:themeColor="text1"/>
          <w:szCs w:val="28"/>
          <w:highlight w:val="none"/>
          <w14:textFill>
            <w14:solidFill>
              <w14:schemeClr w14:val="tx1"/>
            </w14:solidFill>
          </w14:textFill>
        </w:rPr>
      </w:pPr>
      <w:r>
        <w:rPr>
          <w:rFonts w:hint="eastAsia" w:ascii="仿宋" w:hAnsi="仿宋" w:eastAsia="仿宋" w:cs="仿宋"/>
          <w:color w:val="000000" w:themeColor="text1"/>
          <w:szCs w:val="28"/>
          <w:highlight w:val="none"/>
          <w14:textFill>
            <w14:solidFill>
              <w14:schemeClr w14:val="tx1"/>
            </w14:solidFill>
          </w14:textFill>
        </w:rPr>
        <w:t>其他附件及补充协议等资料。</w:t>
      </w:r>
    </w:p>
    <w:p>
      <w:pPr>
        <w:spacing w:before="156" w:beforeLines="50" w:line="480" w:lineRule="exact"/>
        <w:ind w:firstLine="560" w:firstLineChars="200"/>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（以下无正文）</w:t>
      </w:r>
    </w:p>
    <w:p>
      <w:pPr>
        <w:spacing w:line="480" w:lineRule="exact"/>
        <w:rPr>
          <w:rFonts w:ascii="仿宋" w:hAnsi="仿宋" w:eastAsia="仿宋" w:cs="仿宋"/>
          <w:color w:val="000000" w:themeColor="text1"/>
          <w:sz w:val="28"/>
          <w:szCs w:val="28"/>
          <w:highlight w:val="none"/>
          <w14:textFill>
            <w14:solidFill>
              <w14:schemeClr w14:val="tx1"/>
            </w14:solidFill>
          </w14:textFill>
        </w:rPr>
      </w:pPr>
    </w:p>
    <w:p>
      <w:pPr>
        <w:pStyle w:val="10"/>
        <w:ind w:firstLine="608"/>
        <w:rPr>
          <w:rFonts w:ascii="仿宋" w:hAnsi="仿宋" w:eastAsia="仿宋" w:cs="仿宋"/>
          <w:color w:val="000000" w:themeColor="text1"/>
          <w:szCs w:val="28"/>
          <w:highlight w:val="none"/>
          <w14:textFill>
            <w14:solidFill>
              <w14:schemeClr w14:val="tx1"/>
            </w14:solidFill>
          </w14:textFill>
        </w:rPr>
      </w:pPr>
    </w:p>
    <w:p>
      <w:pPr>
        <w:spacing w:line="480" w:lineRule="exact"/>
        <w:ind w:firstLine="562" w:firstLineChars="200"/>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b/>
          <w:bCs/>
          <w:color w:val="000000" w:themeColor="text1"/>
          <w:sz w:val="28"/>
          <w:szCs w:val="28"/>
          <w:highlight w:val="none"/>
          <w14:textFill>
            <w14:solidFill>
              <w14:schemeClr w14:val="tx1"/>
            </w14:solidFill>
          </w14:textFill>
        </w:rPr>
        <w:t>甲方</w:t>
      </w:r>
      <w:r>
        <w:rPr>
          <w:rFonts w:hint="eastAsia" w:ascii="仿宋" w:hAnsi="仿宋" w:eastAsia="仿宋" w:cs="仿宋"/>
          <w:color w:val="000000" w:themeColor="text1"/>
          <w:sz w:val="28"/>
          <w:szCs w:val="28"/>
          <w:highlight w:val="none"/>
          <w14:textFill>
            <w14:solidFill>
              <w14:schemeClr w14:val="tx1"/>
            </w14:solidFill>
          </w14:textFill>
        </w:rPr>
        <w:t xml:space="preserve">：江门市市场监督管理局  </w:t>
      </w:r>
    </w:p>
    <w:p>
      <w:pPr>
        <w:spacing w:line="480" w:lineRule="exact"/>
        <w:ind w:firstLine="2240" w:firstLineChars="800"/>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（盖章）</w:t>
      </w:r>
    </w:p>
    <w:p>
      <w:pPr>
        <w:spacing w:line="480" w:lineRule="exact"/>
        <w:ind w:firstLine="560" w:firstLineChars="200"/>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 xml:space="preserve">法定代表人或授权委托人：（签字）    </w:t>
      </w:r>
    </w:p>
    <w:p>
      <w:pPr>
        <w:spacing w:line="480" w:lineRule="exact"/>
        <w:ind w:firstLine="1960" w:firstLineChars="700"/>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年    月    日</w:t>
      </w:r>
    </w:p>
    <w:p>
      <w:pPr>
        <w:spacing w:line="480" w:lineRule="exact"/>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 xml:space="preserve"> </w:t>
      </w:r>
    </w:p>
    <w:p>
      <w:pPr>
        <w:spacing w:line="480" w:lineRule="exact"/>
        <w:ind w:firstLine="560"/>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b/>
          <w:bCs/>
          <w:color w:val="000000" w:themeColor="text1"/>
          <w:sz w:val="28"/>
          <w:szCs w:val="28"/>
          <w:highlight w:val="none"/>
          <w14:textFill>
            <w14:solidFill>
              <w14:schemeClr w14:val="tx1"/>
            </w14:solidFill>
          </w14:textFill>
        </w:rPr>
        <w:t>乙方</w:t>
      </w:r>
      <w:r>
        <w:rPr>
          <w:rFonts w:hint="eastAsia" w:ascii="仿宋" w:hAnsi="仿宋" w:eastAsia="仿宋" w:cs="仿宋"/>
          <w:color w:val="000000" w:themeColor="text1"/>
          <w:sz w:val="28"/>
          <w:szCs w:val="28"/>
          <w:highlight w:val="none"/>
          <w14:textFill>
            <w14:solidFill>
              <w14:schemeClr w14:val="tx1"/>
            </w14:solidFill>
          </w14:textFill>
        </w:rPr>
        <w:t>：</w:t>
      </w:r>
    </w:p>
    <w:p>
      <w:pPr>
        <w:spacing w:line="480" w:lineRule="exact"/>
        <w:ind w:firstLine="2419" w:firstLineChars="864"/>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（盖章）</w:t>
      </w:r>
    </w:p>
    <w:p>
      <w:pPr>
        <w:spacing w:line="480" w:lineRule="exact"/>
        <w:ind w:firstLine="560" w:firstLineChars="200"/>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法定代表人或授权委托人：（签字）</w:t>
      </w:r>
    </w:p>
    <w:p>
      <w:pPr>
        <w:spacing w:line="480" w:lineRule="exact"/>
        <w:ind w:firstLine="1960" w:firstLineChars="700"/>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年    月    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MS Sans Serif">
    <w:altName w:val="DejaVu Math TeX Gyre"/>
    <w:panose1 w:val="00000000000000000000"/>
    <w:charset w:val="00"/>
    <w:family w:val="swiss"/>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7</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FAAAAAgAh07iQIoUZjzRAAAAlAEAAAsAAAAAAAAAAQAgAAAA&#10;rwMAAF9yZWxzLy5yZWxzUEsBAhQACgAAAAAAh07iQAAAAAAAAAAAAAAAAAYAAAAAAAAAAAAQAAAA&#10;iwMAAF9yZWxzL1BLAQIUAAoAAAAAAIdO4kAAAAAAAAAAAAAAAAAEAAAAAAAAAAAAEAAAABYAAABk&#10;cnMvUEsBAhQAFAAAAAgAh07iQIzXDnwqAgAAVQQAAA4AAAAAAAAAAQAgAAAANQEAAGRycy9lMm9E&#10;b2MueG1sUEsBAhQAFAAAAAgAh07iQLNJWO7QAAAABQEAAA8AAAAAAAAAAQAgAAAAOAAAAGRycy9k&#10;b3ducmV2LnhtbFBLBQYAAAAABgAGAFkBAADRBQAAAAA=&#10;">
              <v:fill on="f" focussize="0,0"/>
              <v:stroke on="f" weight="0.5pt"/>
              <v:imagedata o:title=""/>
              <o:lock v:ext="edit" aspectratio="f"/>
              <v:textbox inset="0mm,0mm,0mm,0mm" style="mso-fit-shape-to-text:t;">
                <w:txbxContent>
                  <w:p>
                    <w:pPr>
                      <w:pStyle w:val="7"/>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7</w:t>
                    </w:r>
                    <w:r>
                      <w:fldChar w:fldCharType="end"/>
                    </w:r>
                    <w:r>
                      <w:rPr>
                        <w:rFonts w:hint="eastAsia"/>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C593E5"/>
    <w:multiLevelType w:val="singleLevel"/>
    <w:tmpl w:val="92C593E5"/>
    <w:lvl w:ilvl="0" w:tentative="0">
      <w:start w:val="1"/>
      <w:numFmt w:val="decimal"/>
      <w:suff w:val="nothing"/>
      <w:lvlText w:val="%1．"/>
      <w:lvlJc w:val="left"/>
      <w:pPr>
        <w:ind w:left="0" w:firstLine="400"/>
      </w:pPr>
      <w:rPr>
        <w:rFonts w:hint="default"/>
      </w:rPr>
    </w:lvl>
  </w:abstractNum>
  <w:abstractNum w:abstractNumId="1">
    <w:nsid w:val="C8787804"/>
    <w:multiLevelType w:val="singleLevel"/>
    <w:tmpl w:val="C8787804"/>
    <w:lvl w:ilvl="0" w:tentative="0">
      <w:start w:val="1"/>
      <w:numFmt w:val="chineseCounting"/>
      <w:suff w:val="nothing"/>
      <w:lvlText w:val="（%1）"/>
      <w:lvlJc w:val="left"/>
      <w:pPr>
        <w:ind w:left="0" w:firstLine="420"/>
      </w:pPr>
      <w:rPr>
        <w:rFonts w:hint="eastAsia"/>
      </w:rPr>
    </w:lvl>
  </w:abstractNum>
  <w:abstractNum w:abstractNumId="2">
    <w:nsid w:val="DF7A1F48"/>
    <w:multiLevelType w:val="singleLevel"/>
    <w:tmpl w:val="DF7A1F48"/>
    <w:lvl w:ilvl="0" w:tentative="0">
      <w:start w:val="1"/>
      <w:numFmt w:val="chineseCounting"/>
      <w:suff w:val="nothing"/>
      <w:lvlText w:val="（%1）"/>
      <w:lvlJc w:val="left"/>
      <w:rPr>
        <w:rFonts w:hint="eastAsia"/>
      </w:rPr>
    </w:lvl>
  </w:abstractNum>
  <w:abstractNum w:abstractNumId="3">
    <w:nsid w:val="E5249ECB"/>
    <w:multiLevelType w:val="singleLevel"/>
    <w:tmpl w:val="E5249ECB"/>
    <w:lvl w:ilvl="0" w:tentative="0">
      <w:start w:val="1"/>
      <w:numFmt w:val="chineseCounting"/>
      <w:suff w:val="nothing"/>
      <w:lvlText w:val="（%1）"/>
      <w:lvlJc w:val="left"/>
      <w:pPr>
        <w:ind w:left="0" w:firstLine="420"/>
      </w:pPr>
      <w:rPr>
        <w:rFonts w:hint="eastAsia"/>
      </w:rPr>
    </w:lvl>
  </w:abstractNum>
  <w:abstractNum w:abstractNumId="4">
    <w:nsid w:val="0712E9D1"/>
    <w:multiLevelType w:val="singleLevel"/>
    <w:tmpl w:val="0712E9D1"/>
    <w:lvl w:ilvl="0" w:tentative="0">
      <w:start w:val="1"/>
      <w:numFmt w:val="chineseCounting"/>
      <w:suff w:val="nothing"/>
      <w:lvlText w:val="（%1）"/>
      <w:lvlJc w:val="left"/>
      <w:pPr>
        <w:ind w:left="0" w:firstLine="420"/>
      </w:pPr>
      <w:rPr>
        <w:rFonts w:hint="eastAsia"/>
      </w:rPr>
    </w:lvl>
  </w:abstractNum>
  <w:abstractNum w:abstractNumId="5">
    <w:nsid w:val="4E7A14A5"/>
    <w:multiLevelType w:val="singleLevel"/>
    <w:tmpl w:val="4E7A14A5"/>
    <w:lvl w:ilvl="0" w:tentative="0">
      <w:start w:val="1"/>
      <w:numFmt w:val="chineseCounting"/>
      <w:suff w:val="nothing"/>
      <w:lvlText w:val="（%1）"/>
      <w:lvlJc w:val="left"/>
      <w:pPr>
        <w:ind w:left="0" w:firstLine="420"/>
      </w:pPr>
      <w:rPr>
        <w:rFonts w:hint="eastAsia"/>
      </w:rPr>
    </w:lvl>
  </w:abstractNum>
  <w:abstractNum w:abstractNumId="6">
    <w:nsid w:val="5060F6FF"/>
    <w:multiLevelType w:val="singleLevel"/>
    <w:tmpl w:val="5060F6FF"/>
    <w:lvl w:ilvl="0" w:tentative="0">
      <w:start w:val="1"/>
      <w:numFmt w:val="chineseCounting"/>
      <w:suff w:val="nothing"/>
      <w:lvlText w:val="（%1）"/>
      <w:lvlJc w:val="left"/>
      <w:pPr>
        <w:ind w:left="0" w:firstLine="420"/>
      </w:pPr>
      <w:rPr>
        <w:rFonts w:hint="eastAsia"/>
      </w:rPr>
    </w:lvl>
  </w:abstractNum>
  <w:abstractNum w:abstractNumId="7">
    <w:nsid w:val="50C685E3"/>
    <w:multiLevelType w:val="singleLevel"/>
    <w:tmpl w:val="50C685E3"/>
    <w:lvl w:ilvl="0" w:tentative="0">
      <w:start w:val="1"/>
      <w:numFmt w:val="chineseCounting"/>
      <w:suff w:val="nothing"/>
      <w:lvlText w:val="（%1）"/>
      <w:lvlJc w:val="left"/>
      <w:pPr>
        <w:ind w:left="0" w:firstLine="420"/>
      </w:pPr>
      <w:rPr>
        <w:rFonts w:hint="eastAsia"/>
      </w:rPr>
    </w:lvl>
  </w:abstractNum>
  <w:abstractNum w:abstractNumId="8">
    <w:nsid w:val="60ADB7F8"/>
    <w:multiLevelType w:val="singleLevel"/>
    <w:tmpl w:val="60ADB7F8"/>
    <w:lvl w:ilvl="0" w:tentative="0">
      <w:start w:val="1"/>
      <w:numFmt w:val="decimal"/>
      <w:suff w:val="nothing"/>
      <w:lvlText w:val="%1、"/>
      <w:lvlJc w:val="left"/>
    </w:lvl>
  </w:abstractNum>
  <w:abstractNum w:abstractNumId="9">
    <w:nsid w:val="64B50ADD"/>
    <w:multiLevelType w:val="singleLevel"/>
    <w:tmpl w:val="64B50ADD"/>
    <w:lvl w:ilvl="0" w:tentative="0">
      <w:start w:val="1"/>
      <w:numFmt w:val="chineseCounting"/>
      <w:suff w:val="nothing"/>
      <w:lvlText w:val="（%1）"/>
      <w:lvlJc w:val="left"/>
      <w:pPr>
        <w:ind w:left="0" w:firstLine="420"/>
      </w:pPr>
      <w:rPr>
        <w:rFonts w:hint="eastAsia"/>
      </w:rPr>
    </w:lvl>
  </w:abstractNum>
  <w:abstractNum w:abstractNumId="10">
    <w:nsid w:val="6A04167C"/>
    <w:multiLevelType w:val="singleLevel"/>
    <w:tmpl w:val="6A04167C"/>
    <w:lvl w:ilvl="0" w:tentative="0">
      <w:start w:val="1"/>
      <w:numFmt w:val="chineseCounting"/>
      <w:suff w:val="nothing"/>
      <w:lvlText w:val="（%1）"/>
      <w:lvlJc w:val="left"/>
      <w:pPr>
        <w:ind w:left="0" w:firstLine="420"/>
      </w:pPr>
      <w:rPr>
        <w:rFonts w:hint="eastAsia"/>
      </w:rPr>
    </w:lvl>
  </w:abstractNum>
  <w:num w:numId="1">
    <w:abstractNumId w:val="2"/>
  </w:num>
  <w:num w:numId="2">
    <w:abstractNumId w:val="4"/>
  </w:num>
  <w:num w:numId="3">
    <w:abstractNumId w:val="8"/>
  </w:num>
  <w:num w:numId="4">
    <w:abstractNumId w:val="9"/>
  </w:num>
  <w:num w:numId="5">
    <w:abstractNumId w:val="10"/>
  </w:num>
  <w:num w:numId="6">
    <w:abstractNumId w:val="1"/>
  </w:num>
  <w:num w:numId="7">
    <w:abstractNumId w:val="6"/>
  </w:num>
  <w:num w:numId="8">
    <w:abstractNumId w:val="5"/>
  </w:num>
  <w:num w:numId="9">
    <w:abstractNumId w:val="3"/>
  </w:num>
  <w:num w:numId="10">
    <w:abstractNumId w:val="7"/>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675"/>
    <w:rsid w:val="000F477F"/>
    <w:rsid w:val="00201EA2"/>
    <w:rsid w:val="002526ED"/>
    <w:rsid w:val="00396B5E"/>
    <w:rsid w:val="007C0537"/>
    <w:rsid w:val="009403DA"/>
    <w:rsid w:val="00966675"/>
    <w:rsid w:val="00A53291"/>
    <w:rsid w:val="00AE5953"/>
    <w:rsid w:val="00F669F7"/>
    <w:rsid w:val="09D77ACF"/>
    <w:rsid w:val="09DE0A66"/>
    <w:rsid w:val="0A9FCD40"/>
    <w:rsid w:val="0BEA35C3"/>
    <w:rsid w:val="0DDF3CA5"/>
    <w:rsid w:val="0FB72321"/>
    <w:rsid w:val="10FC4243"/>
    <w:rsid w:val="171724B5"/>
    <w:rsid w:val="1A19383D"/>
    <w:rsid w:val="20075F93"/>
    <w:rsid w:val="24EE444C"/>
    <w:rsid w:val="28F2788A"/>
    <w:rsid w:val="293A0576"/>
    <w:rsid w:val="2D016C87"/>
    <w:rsid w:val="391A5AE0"/>
    <w:rsid w:val="3B19643C"/>
    <w:rsid w:val="3EED22A1"/>
    <w:rsid w:val="3FA76621"/>
    <w:rsid w:val="404A6C17"/>
    <w:rsid w:val="43F43818"/>
    <w:rsid w:val="47C7B3FB"/>
    <w:rsid w:val="4B562BFB"/>
    <w:rsid w:val="4D261BEA"/>
    <w:rsid w:val="4DD70C4E"/>
    <w:rsid w:val="55FB442D"/>
    <w:rsid w:val="5789094D"/>
    <w:rsid w:val="5BB2671C"/>
    <w:rsid w:val="5FFC0F1C"/>
    <w:rsid w:val="690D3BC4"/>
    <w:rsid w:val="693B3F28"/>
    <w:rsid w:val="6B7E7578"/>
    <w:rsid w:val="6C7B1287"/>
    <w:rsid w:val="6F5F4F93"/>
    <w:rsid w:val="6FFBEB74"/>
    <w:rsid w:val="72AF67A9"/>
    <w:rsid w:val="76A81E4D"/>
    <w:rsid w:val="79276609"/>
    <w:rsid w:val="7EFEE140"/>
    <w:rsid w:val="BF260C02"/>
    <w:rsid w:val="D77E3663"/>
    <w:rsid w:val="DE7B6395"/>
    <w:rsid w:val="E7BD81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0"/>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99"/>
    <w:pPr>
      <w:widowControl/>
      <w:ind w:firstLine="420" w:firstLineChars="200"/>
    </w:pPr>
  </w:style>
  <w:style w:type="paragraph" w:styleId="3">
    <w:name w:val="annotation text"/>
    <w:basedOn w:val="1"/>
    <w:qFormat/>
    <w:uiPriority w:val="0"/>
    <w:pPr>
      <w:jc w:val="left"/>
    </w:pPr>
  </w:style>
  <w:style w:type="paragraph" w:styleId="4">
    <w:name w:val="Body Text Indent"/>
    <w:basedOn w:val="1"/>
    <w:qFormat/>
    <w:uiPriority w:val="0"/>
    <w:pPr>
      <w:autoSpaceDE w:val="0"/>
      <w:autoSpaceDN w:val="0"/>
      <w:adjustRightInd w:val="0"/>
      <w:spacing w:line="480" w:lineRule="exact"/>
      <w:ind w:left="850" w:hanging="249"/>
      <w:textAlignment w:val="baseline"/>
    </w:pPr>
    <w:rPr>
      <w:rFonts w:ascii="仿宋_GB2312"/>
      <w:kern w:val="0"/>
      <w:sz w:val="28"/>
    </w:rPr>
  </w:style>
  <w:style w:type="paragraph" w:styleId="5">
    <w:name w:val="Body Text Indent 2"/>
    <w:basedOn w:val="1"/>
    <w:qFormat/>
    <w:uiPriority w:val="0"/>
    <w:pPr>
      <w:spacing w:line="400" w:lineRule="exact"/>
      <w:ind w:firstLine="420" w:firstLineChars="175"/>
    </w:pPr>
    <w:rPr>
      <w:sz w:val="24"/>
    </w:rPr>
  </w:style>
  <w:style w:type="paragraph" w:styleId="6">
    <w:name w:val="Balloon Text"/>
    <w:basedOn w:val="1"/>
    <w:link w:val="13"/>
    <w:qFormat/>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Normal (Web)"/>
    <w:basedOn w:val="1"/>
    <w:qFormat/>
    <w:uiPriority w:val="0"/>
    <w:rPr>
      <w:sz w:val="24"/>
    </w:rPr>
  </w:style>
  <w:style w:type="paragraph" w:styleId="10">
    <w:name w:val="Body Text First Indent 2"/>
    <w:basedOn w:val="4"/>
    <w:qFormat/>
    <w:uiPriority w:val="0"/>
    <w:pPr>
      <w:ind w:firstLine="420" w:firstLineChars="200"/>
    </w:pPr>
    <w:rPr>
      <w:rFonts w:ascii="宋体" w:hAnsi="MS Sans Serif"/>
      <w:spacing w:val="12"/>
    </w:rPr>
  </w:style>
  <w:style w:type="character" w:customStyle="1" w:styleId="13">
    <w:name w:val="批注框文本 Char"/>
    <w:basedOn w:val="12"/>
    <w:link w:val="6"/>
    <w:qFormat/>
    <w:uiPriority w:val="0"/>
    <w:rPr>
      <w:rFonts w:eastAsia="仿宋_GB2312"/>
      <w:kern w:val="2"/>
      <w:sz w:val="18"/>
      <w:szCs w:val="18"/>
    </w:rPr>
  </w:style>
  <w:style w:type="paragraph" w:customStyle="1" w:styleId="14">
    <w:name w:val="普通(网站)1"/>
    <w:basedOn w:val="1"/>
    <w:qFormat/>
    <w:uiPriority w:val="0"/>
    <w:pPr>
      <w:jc w:val="left"/>
    </w:pPr>
    <w:rPr>
      <w:rFonts w:ascii="Calibri" w:hAnsi="Calibri" w:cs="黑体"/>
      <w:kern w:val="0"/>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Chinese ORG</Company>
  <Pages>7</Pages>
  <Words>3514</Words>
  <Characters>1309</Characters>
  <Lines>10</Lines>
  <Paragraphs>9</Paragraphs>
  <TotalTime>20</TotalTime>
  <ScaleCrop>false</ScaleCrop>
  <LinksUpToDate>false</LinksUpToDate>
  <CharactersWithSpaces>4814</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2021-05-28T10:58:00Z</dcterms:created>
  <dc:creator>Administrator</dc:creator>
  <cp:lastModifiedBy>greatwall</cp:lastModifiedBy>
  <cp:lastPrinted>2024-04-05T16:23:00Z</cp:lastPrinted>
  <dcterms:modified xsi:type="dcterms:W3CDTF">2026-04-01T11:14:58Z</dcterms:modified>
  <dc:title>2020年江门市工业产品生产许可证证后</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F89E2487F82949029D8AB9F341EA8070</vt:lpwstr>
  </property>
</Properties>
</file>