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sz w:val="32"/>
          <w:szCs w:val="32"/>
        </w:rPr>
      </w:pPr>
      <w:r>
        <w:rPr>
          <w:sz w:val="32"/>
          <w:szCs w:val="32"/>
        </w:rPr>
        <w:t>附件</w:t>
      </w:r>
      <w:r>
        <w:rPr>
          <w:rFonts w:hint="eastAsia"/>
          <w:sz w:val="32"/>
          <w:szCs w:val="32"/>
        </w:rPr>
        <w:t>3</w:t>
      </w:r>
      <w:r>
        <w:rPr>
          <w:sz w:val="32"/>
          <w:szCs w:val="32"/>
        </w:rPr>
        <w:t xml:space="preserve"> </w:t>
      </w:r>
    </w:p>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p>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江门市市场监督管理局2025年江门市药械化科普宣传项目合同（模板）</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48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江门市东华二路7号</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联系人：</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电话：  </w:t>
      </w:r>
    </w:p>
    <w:p>
      <w:pPr>
        <w:spacing w:line="480" w:lineRule="exact"/>
        <w:rPr>
          <w:rFonts w:ascii="仿宋" w:hAnsi="仿宋" w:eastAsia="仿宋" w:cs="仿宋"/>
          <w:b/>
          <w:sz w:val="28"/>
          <w:szCs w:val="28"/>
          <w:highlight w:val="yellow"/>
          <w:u w:val="single"/>
        </w:rPr>
      </w:pPr>
      <w:r>
        <w:rPr>
          <w:rFonts w:hint="eastAsia" w:ascii="仿宋" w:hAnsi="仿宋" w:eastAsia="仿宋" w:cs="仿宋"/>
          <w:b/>
          <w:bCs/>
          <w:color w:val="000000"/>
          <w:sz w:val="28"/>
          <w:szCs w:val="28"/>
          <w:highlight w:val="yellow"/>
        </w:rPr>
        <w:t>乙方</w:t>
      </w:r>
      <w:r>
        <w:rPr>
          <w:rFonts w:hint="eastAsia" w:ascii="仿宋" w:hAnsi="仿宋" w:eastAsia="仿宋" w:cs="仿宋"/>
          <w:color w:val="000000"/>
          <w:sz w:val="28"/>
          <w:szCs w:val="28"/>
          <w:highlight w:val="yellow"/>
        </w:rPr>
        <w:t xml:space="preserve">： </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地址： </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联系人：</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电话： </w:t>
      </w:r>
    </w:p>
    <w:p>
      <w:pPr>
        <w:spacing w:line="480" w:lineRule="exact"/>
        <w:rPr>
          <w:rFonts w:ascii="仿宋" w:hAnsi="仿宋" w:eastAsia="仿宋" w:cs="仿宋"/>
          <w:color w:val="666666"/>
          <w:sz w:val="28"/>
          <w:szCs w:val="28"/>
          <w:shd w:val="clear" w:color="auto" w:fill="FFFFFF"/>
        </w:rPr>
      </w:pPr>
    </w:p>
    <w:p>
      <w:pPr>
        <w:widowControl/>
        <w:spacing w:line="480" w:lineRule="exact"/>
        <w:ind w:firstLine="618" w:firstLineChars="221"/>
        <w:rPr>
          <w:rFonts w:ascii="仿宋" w:hAnsi="仿宋" w:eastAsia="仿宋" w:cs="仿宋"/>
          <w:b/>
          <w:bCs/>
          <w:sz w:val="28"/>
          <w:szCs w:val="28"/>
        </w:rPr>
      </w:pPr>
      <w:r>
        <w:rPr>
          <w:rFonts w:hint="eastAsia" w:ascii="仿宋" w:hAnsi="仿宋" w:eastAsia="仿宋" w:cs="仿宋"/>
          <w:sz w:val="28"/>
          <w:szCs w:val="28"/>
        </w:rPr>
        <w:t>甲、乙双方根据“江门市市场监督管理局2025年江门市药械化科普宣传项目”（</w:t>
      </w:r>
      <w:r>
        <w:rPr>
          <w:rFonts w:hint="eastAsia" w:ascii="仿宋" w:hAnsi="仿宋" w:eastAsia="仿宋" w:cs="仿宋"/>
          <w:sz w:val="28"/>
          <w:szCs w:val="28"/>
          <w:highlight w:val="none"/>
        </w:rPr>
        <w:t>项目编号：</w:t>
      </w:r>
      <w:r>
        <w:rPr>
          <w:rFonts w:hint="eastAsia" w:ascii="仿宋" w:hAnsi="仿宋" w:eastAsia="仿宋" w:cs="仿宋"/>
          <w:sz w:val="28"/>
          <w:szCs w:val="28"/>
          <w:highlight w:val="none"/>
          <w:lang w:val="en-US" w:eastAsia="zh-CN"/>
        </w:rPr>
        <w:t>2025010</w:t>
      </w:r>
      <w:r>
        <w:rPr>
          <w:rFonts w:hint="eastAsia" w:ascii="仿宋" w:hAnsi="仿宋" w:eastAsia="仿宋" w:cs="仿宋"/>
          <w:sz w:val="28"/>
          <w:szCs w:val="28"/>
          <w:highlight w:val="none"/>
        </w:rPr>
        <w:t>）</w:t>
      </w:r>
      <w:r>
        <w:rPr>
          <w:rFonts w:hint="eastAsia" w:ascii="仿宋" w:hAnsi="仿宋" w:eastAsia="仿宋" w:cs="仿宋"/>
          <w:sz w:val="28"/>
          <w:szCs w:val="28"/>
        </w:rPr>
        <w:t>（以下简称项目）的采购公告、项目采购结果公告的要求，按照《中华人民共和国民法典》《中华人民共和国政府采购法》等相关法律法规的规定，经双方协商，本着平等、自愿、公平和诚实信用的原则，一致同意签订本合同如下</w:t>
      </w:r>
      <w:r>
        <w:rPr>
          <w:rFonts w:hint="eastAsia"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甲方委托乙方就2025年江门市市场监督管理局药品、医疗器械、化妆品科普宣传项目提供技术服务工作，按甲方要求及标准（详见附件：采购公告）在约定期限内，向甲方提供服务，并提交相关工作成果：</w:t>
      </w:r>
    </w:p>
    <w:p>
      <w:pPr>
        <w:pStyle w:val="15"/>
        <w:widowControl/>
        <w:tabs>
          <w:tab w:val="center" w:pos="4153"/>
        </w:tabs>
        <w:spacing w:line="480" w:lineRule="exact"/>
        <w:ind w:firstLine="640"/>
        <w:rPr>
          <w:rFonts w:ascii="仿宋" w:hAnsi="仿宋" w:eastAsia="仿宋" w:cs="仿宋"/>
          <w:kern w:val="2"/>
          <w:sz w:val="28"/>
          <w:szCs w:val="28"/>
        </w:rPr>
      </w:pPr>
      <w:bookmarkStart w:id="0" w:name="_Toc1235704707"/>
      <w:bookmarkStart w:id="1" w:name="_Toc132327162"/>
      <w:r>
        <w:rPr>
          <w:rFonts w:hint="eastAsia" w:ascii="仿宋" w:hAnsi="仿宋" w:eastAsia="仿宋" w:cs="仿宋"/>
          <w:kern w:val="2"/>
          <w:sz w:val="28"/>
          <w:szCs w:val="28"/>
        </w:rPr>
        <w:t>1.开展科普宣传活动</w:t>
      </w:r>
    </w:p>
    <w:p>
      <w:pPr>
        <w:pStyle w:val="15"/>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结合2025年“全国药品安全宣传周”活动要求组织开展江门市全国药品安全宣传周宣传活动启动仪式和2场“两品一械”科普宣传进基层、进社区活动。活动现场设置“两品一械”专题宣传摊位、宣传展板，相关知识宣传品、现场设置有奖问答环节，与市民互动等，每场约60人。</w:t>
      </w:r>
    </w:p>
    <w:p>
      <w:pPr>
        <w:pStyle w:val="15"/>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2.</w:t>
      </w:r>
      <w:r>
        <w:rPr>
          <w:rFonts w:hint="eastAsia" w:ascii="仿宋_GB2312" w:hAnsi="仿宋_GB2312" w:cs="仿宋_GB2312"/>
          <w:sz w:val="28"/>
          <w:szCs w:val="28"/>
          <w:shd w:val="clear" w:color="auto" w:fill="FFFFFF"/>
        </w:rPr>
        <w:t>在市级主流媒体设置科普宣传专栏</w:t>
      </w:r>
    </w:p>
    <w:p>
      <w:pPr>
        <w:spacing w:line="560" w:lineRule="exact"/>
        <w:ind w:firstLine="560" w:firstLineChars="200"/>
        <w:rPr>
          <w:rFonts w:ascii="仿宋_GB2312" w:hAnsi="仿宋_GB2312" w:cs="仿宋_GB2312"/>
          <w:sz w:val="28"/>
          <w:szCs w:val="28"/>
          <w:shd w:val="clear" w:color="auto" w:fill="FFFFFF"/>
        </w:rPr>
      </w:pPr>
      <w:r>
        <w:rPr>
          <w:rFonts w:hint="eastAsia" w:ascii="仿宋_GB2312" w:hAnsi="仿宋_GB2312" w:cs="仿宋_GB2312"/>
          <w:sz w:val="28"/>
          <w:szCs w:val="28"/>
          <w:shd w:val="clear" w:color="auto" w:fill="FFFFFF"/>
        </w:rPr>
        <w:t>在市级以上主流新媒体官方设置科普宣传专栏，服务时长一年。制作专题页面，同步与市场监管局公众号连接，用于药械化“安全用药”“安全用械”“安全用妆”常识传播等系列活动的预告、活动回顾、活动总结；每月至少更新发布科普宣传信息4条以上。并需在市级纸质媒体或市级广播电视媒体配合工作开展3次或以上的新闻播放。</w:t>
      </w:r>
    </w:p>
    <w:p>
      <w:pPr>
        <w:pStyle w:val="15"/>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3.拍摄制作3期科普宣传主题视频</w:t>
      </w:r>
    </w:p>
    <w:p>
      <w:pPr>
        <w:pStyle w:val="15"/>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拍摄制作1期安全用药、1期安全用械、1期安全用妆主题视频。视频形式：根据脚本制定拍摄计划并进行拍摄，最后进入后期制作（包括配音、特效包装等）；制成片规格，视频:分辨率1920 x 1080，帧率25P；音频：采样率48000Hz，比特率24 位；每条视频时间约3分钟。</w:t>
      </w:r>
    </w:p>
    <w:p>
      <w:pPr>
        <w:pStyle w:val="15"/>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4.开展安全用药科普知识网络竞赛</w:t>
      </w:r>
    </w:p>
    <w:p>
      <w:pPr>
        <w:pStyle w:val="15"/>
        <w:widowControl/>
        <w:tabs>
          <w:tab w:val="center" w:pos="4153"/>
        </w:tabs>
        <w:spacing w:line="480" w:lineRule="exact"/>
        <w:ind w:firstLine="640"/>
        <w:rPr>
          <w:rFonts w:ascii="仿宋" w:hAnsi="仿宋" w:eastAsia="仿宋" w:cs="仿宋"/>
          <w:kern w:val="2"/>
          <w:sz w:val="28"/>
          <w:szCs w:val="28"/>
        </w:rPr>
      </w:pPr>
      <w:r>
        <w:rPr>
          <w:rFonts w:hint="eastAsia" w:ascii="仿宋" w:hAnsi="仿宋" w:eastAsia="仿宋" w:cs="仿宋"/>
          <w:kern w:val="2"/>
          <w:sz w:val="28"/>
          <w:szCs w:val="28"/>
        </w:rPr>
        <w:t>搭建安全用药科普知识网络竞赛活动平台，在用药安全科普宣传专栏设置活动链接，公众号微信推文推送3期置顶活动广告，完成奖品发放。</w:t>
      </w:r>
    </w:p>
    <w:bookmarkEnd w:id="0"/>
    <w:bookmarkEnd w:id="1"/>
    <w:p>
      <w:pPr>
        <w:spacing w:line="48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1"/>
        </w:numPr>
        <w:spacing w:line="480" w:lineRule="exact"/>
        <w:rPr>
          <w:rFonts w:ascii="仿宋" w:hAnsi="仿宋" w:eastAsia="仿宋" w:cs="仿宋"/>
          <w:sz w:val="28"/>
          <w:szCs w:val="28"/>
        </w:rPr>
      </w:pPr>
      <w:r>
        <w:rPr>
          <w:rFonts w:hint="eastAsia" w:ascii="仿宋" w:hAnsi="仿宋" w:eastAsia="仿宋" w:cs="仿宋"/>
          <w:color w:val="000000"/>
          <w:sz w:val="28"/>
          <w:szCs w:val="28"/>
        </w:rPr>
        <w:t>乙方向甲方提供服务的合同</w:t>
      </w:r>
      <w:r>
        <w:rPr>
          <w:rFonts w:hint="eastAsia" w:ascii="仿宋" w:hAnsi="仿宋" w:eastAsia="仿宋" w:cs="仿宋"/>
          <w:sz w:val="28"/>
          <w:szCs w:val="28"/>
        </w:rPr>
        <w:t>期限自合同签订生效之日起至双方权利义务履行完毕之日止。</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乙方向甲方提供服务可获得的项目技术服务总费用（即项目总费用、含税价）为人民币壹拾万元整（￥100,000元）。</w:t>
      </w:r>
    </w:p>
    <w:p>
      <w:pPr>
        <w:numPr>
          <w:ilvl w:val="0"/>
          <w:numId w:val="1"/>
        </w:numPr>
        <w:spacing w:line="48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双方签署合同后，甲方分两期支付相应的款项给乙方：</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1、第一期：甲、乙双方签订本合同后，甲方收到乙方开具的相对应金额发票之日起30个工作日内，向乙方支付项目总费用的50%，即</w:t>
      </w:r>
      <w:r>
        <w:rPr>
          <w:rFonts w:hint="eastAsia" w:ascii="仿宋" w:hAnsi="仿宋" w:eastAsia="仿宋" w:cs="仿宋"/>
          <w:sz w:val="28"/>
          <w:szCs w:val="28"/>
          <w:u w:val="single"/>
        </w:rPr>
        <w:t>人民币伍万元整（</w:t>
      </w:r>
      <w:r>
        <w:rPr>
          <w:rFonts w:hint="eastAsia" w:ascii="仿宋" w:hAnsi="仿宋" w:eastAsia="仿宋" w:cs="仿宋"/>
          <w:sz w:val="28"/>
          <w:szCs w:val="28"/>
        </w:rPr>
        <w:t>￥</w:t>
      </w:r>
      <w:r>
        <w:rPr>
          <w:rFonts w:hint="eastAsia" w:ascii="仿宋" w:hAnsi="仿宋" w:eastAsia="仿宋" w:cs="仿宋"/>
          <w:bCs/>
          <w:sz w:val="28"/>
          <w:szCs w:val="28"/>
          <w:u w:val="single"/>
        </w:rPr>
        <w:t>50,000.00元</w:t>
      </w:r>
      <w:r>
        <w:rPr>
          <w:rFonts w:hint="eastAsia" w:ascii="仿宋" w:hAnsi="仿宋" w:eastAsia="仿宋" w:cs="仿宋"/>
          <w:sz w:val="28"/>
          <w:szCs w:val="28"/>
          <w:u w:val="single"/>
        </w:rPr>
        <w:t>）</w:t>
      </w:r>
      <w:r>
        <w:rPr>
          <w:rFonts w:hint="eastAsia" w:ascii="仿宋" w:hAnsi="仿宋" w:eastAsia="仿宋" w:cs="仿宋"/>
          <w:sz w:val="28"/>
          <w:szCs w:val="28"/>
        </w:rPr>
        <w:t>；</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2、第二期：待项目完成超50%之后，甲方再次凭收到乙方开具等额有效的发票之日起30个工作日内支付剩余项目费用给乙方，即</w:t>
      </w:r>
      <w:r>
        <w:rPr>
          <w:rFonts w:hint="eastAsia" w:ascii="仿宋" w:hAnsi="仿宋" w:eastAsia="仿宋" w:cs="仿宋"/>
          <w:sz w:val="28"/>
          <w:szCs w:val="28"/>
          <w:u w:val="single"/>
        </w:rPr>
        <w:t>人民币伍万元整（</w:t>
      </w:r>
      <w:r>
        <w:rPr>
          <w:rFonts w:hint="eastAsia" w:ascii="仿宋" w:hAnsi="仿宋" w:eastAsia="仿宋" w:cs="仿宋"/>
          <w:sz w:val="28"/>
          <w:szCs w:val="28"/>
        </w:rPr>
        <w:t>￥</w:t>
      </w:r>
      <w:r>
        <w:rPr>
          <w:rFonts w:hint="eastAsia" w:ascii="仿宋" w:hAnsi="仿宋" w:eastAsia="仿宋" w:cs="仿宋"/>
          <w:bCs/>
          <w:sz w:val="28"/>
          <w:szCs w:val="28"/>
          <w:u w:val="single"/>
        </w:rPr>
        <w:t>50,000.00元</w:t>
      </w:r>
      <w:r>
        <w:rPr>
          <w:rFonts w:hint="eastAsia" w:ascii="仿宋" w:hAnsi="仿宋" w:eastAsia="仿宋" w:cs="仿宋"/>
          <w:sz w:val="28"/>
          <w:szCs w:val="28"/>
          <w:u w:val="single"/>
        </w:rPr>
        <w:t>）</w:t>
      </w:r>
      <w:r>
        <w:rPr>
          <w:rFonts w:hint="eastAsia" w:ascii="仿宋" w:hAnsi="仿宋" w:eastAsia="仿宋" w:cs="仿宋"/>
          <w:sz w:val="28"/>
          <w:szCs w:val="28"/>
        </w:rPr>
        <w:t>。</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宋体"/>
          <w:color w:val="000000"/>
          <w:kern w:val="0"/>
          <w:sz w:val="28"/>
          <w:szCs w:val="28"/>
        </w:rPr>
        <w:t>3、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乙方对上述操作没有异议。如因财政资金的下达、拨付问题导致付款延迟的，不视为甲方违约，乙方不能据此追究甲方逾期付款的违约责任。</w:t>
      </w:r>
    </w:p>
    <w:p>
      <w:pPr>
        <w:spacing w:line="480" w:lineRule="exact"/>
        <w:ind w:firstLine="560" w:firstLineChars="200"/>
        <w:rPr>
          <w:rFonts w:ascii="仿宋" w:hAnsi="仿宋" w:eastAsia="仿宋" w:cs="宋体"/>
          <w:color w:val="000000"/>
          <w:kern w:val="0"/>
          <w:sz w:val="28"/>
          <w:szCs w:val="28"/>
        </w:rPr>
      </w:pPr>
      <w:r>
        <w:rPr>
          <w:rFonts w:hint="eastAsia" w:ascii="仿宋" w:hAnsi="仿宋" w:eastAsia="仿宋" w:cs="宋体"/>
          <w:color w:val="000000"/>
          <w:kern w:val="0"/>
          <w:sz w:val="28"/>
          <w:szCs w:val="28"/>
        </w:rPr>
        <w:t>4、甲方支付以乙方无违约为前提，若乙方违约，甲方有权在应付款中做相应扣除。</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firstLine="560" w:firstLineChars="200"/>
        <w:rPr>
          <w:rFonts w:ascii="仿宋" w:hAnsi="仿宋" w:eastAsia="仿宋" w:cs="仿宋"/>
          <w:sz w:val="28"/>
          <w:szCs w:val="28"/>
          <w:highlight w:val="yellow"/>
        </w:rPr>
      </w:pPr>
      <w:r>
        <w:rPr>
          <w:rFonts w:hint="eastAsia" w:ascii="仿宋" w:hAnsi="仿宋" w:eastAsia="仿宋" w:cs="仿宋"/>
          <w:sz w:val="28"/>
          <w:szCs w:val="28"/>
          <w:highlight w:val="yellow"/>
        </w:rPr>
        <w:t>开户名：</w:t>
      </w:r>
      <w:r>
        <w:rPr>
          <w:rFonts w:ascii="仿宋" w:hAnsi="仿宋" w:eastAsia="仿宋" w:cs="仿宋"/>
          <w:sz w:val="28"/>
          <w:szCs w:val="28"/>
          <w:highlight w:val="yellow"/>
          <w:u w:val="single"/>
        </w:rPr>
        <w:t xml:space="preserve">                        </w:t>
      </w:r>
    </w:p>
    <w:p>
      <w:pPr>
        <w:spacing w:line="480" w:lineRule="exact"/>
        <w:ind w:firstLine="560" w:firstLineChars="200"/>
        <w:rPr>
          <w:rFonts w:ascii="仿宋" w:hAnsi="仿宋" w:eastAsia="仿宋" w:cs="仿宋"/>
          <w:sz w:val="28"/>
          <w:szCs w:val="28"/>
          <w:highlight w:val="yellow"/>
          <w:u w:val="single"/>
        </w:rPr>
      </w:pPr>
      <w:r>
        <w:rPr>
          <w:rFonts w:hint="eastAsia" w:ascii="仿宋" w:hAnsi="仿宋" w:eastAsia="仿宋" w:cs="仿宋"/>
          <w:sz w:val="28"/>
          <w:szCs w:val="28"/>
          <w:highlight w:val="yellow"/>
        </w:rPr>
        <w:t>开户行：</w:t>
      </w:r>
      <w:r>
        <w:rPr>
          <w:rFonts w:ascii="仿宋" w:hAnsi="仿宋" w:eastAsia="仿宋" w:cs="仿宋"/>
          <w:sz w:val="28"/>
          <w:szCs w:val="28"/>
          <w:highlight w:val="yellow"/>
          <w:u w:val="single"/>
        </w:rPr>
        <w:t xml:space="preserve">                        </w:t>
      </w:r>
    </w:p>
    <w:p>
      <w:pPr>
        <w:spacing w:line="480" w:lineRule="exact"/>
        <w:ind w:firstLine="560" w:firstLineChars="200"/>
        <w:rPr>
          <w:rFonts w:ascii="仿宋" w:hAnsi="仿宋" w:eastAsia="仿宋" w:cs="仿宋"/>
          <w:sz w:val="28"/>
          <w:szCs w:val="28"/>
          <w:highlight w:val="yellow"/>
          <w:u w:val="single"/>
        </w:rPr>
      </w:pPr>
      <w:r>
        <w:rPr>
          <w:rFonts w:hint="eastAsia" w:ascii="仿宋" w:hAnsi="仿宋" w:eastAsia="仿宋" w:cs="仿宋"/>
          <w:sz w:val="28"/>
          <w:szCs w:val="28"/>
          <w:highlight w:val="yellow"/>
        </w:rPr>
        <w:t>账  号：</w:t>
      </w:r>
      <w:r>
        <w:rPr>
          <w:rFonts w:ascii="仿宋" w:hAnsi="仿宋" w:eastAsia="仿宋" w:cs="仿宋"/>
          <w:sz w:val="28"/>
          <w:szCs w:val="28"/>
          <w:highlight w:val="yellow"/>
          <w:u w:val="single"/>
        </w:rPr>
        <w:t xml:space="preserve">                        </w:t>
      </w:r>
    </w:p>
    <w:p>
      <w:pPr>
        <w:pStyle w:val="10"/>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1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10"/>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2" w:name="_GoBack"/>
      <w:bookmarkEnd w:id="2"/>
      <w:r>
        <w:rPr>
          <w:rFonts w:hint="eastAsia" w:ascii="仿宋" w:hAnsi="仿宋" w:eastAsia="仿宋" w:cs="仿宋"/>
          <w:sz w:val="28"/>
          <w:szCs w:val="28"/>
          <w:lang w:bidi="ar"/>
        </w:rPr>
        <w:t>信用代码：11440700MB2C90725T</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时间：乙方完成视频脚本撰写后应提交甲方审核验收，甲方应在收到脚本之日起3个工作日内完成审核，经甲方审核通过后方可制作视频；若甲方认为不合格的，应明确告知乙方具体的修改要求，乙方应当根据甲方的要求及时修改，并再次提交甲方验收。</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本项目结束之日起15个工作日内，乙方应按采购公告、《2025年江门市市场监督管理局药品、医疗器械、化妆品科普宣传项目</w:t>
      </w:r>
      <w:r>
        <w:rPr>
          <w:rFonts w:hint="eastAsia" w:ascii="仿宋" w:hAnsi="仿宋" w:eastAsia="仿宋" w:cs="仿宋"/>
          <w:sz w:val="28"/>
          <w:szCs w:val="28"/>
          <w:lang w:bidi="ar"/>
        </w:rPr>
        <w:t>工作实施方案</w:t>
      </w:r>
      <w:r>
        <w:rPr>
          <w:rFonts w:hint="eastAsia" w:ascii="仿宋" w:hAnsi="仿宋" w:eastAsia="仿宋" w:cs="仿宋"/>
          <w:sz w:val="28"/>
          <w:szCs w:val="28"/>
        </w:rPr>
        <w:t>》、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行业规范或标准以及招标公告、本合同约定的技术、服务标准进行验收。</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w:t>
      </w:r>
    </w:p>
    <w:p>
      <w:pPr>
        <w:numPr>
          <w:ilvl w:val="0"/>
          <w:numId w:val="2"/>
        </w:numPr>
        <w:spacing w:line="480" w:lineRule="exact"/>
        <w:ind w:firstLine="560" w:firstLineChars="200"/>
        <w:rPr>
          <w:rFonts w:ascii="仿宋" w:hAnsi="仿宋" w:eastAsia="仿宋" w:cs="仿宋"/>
          <w:sz w:val="28"/>
          <w:szCs w:val="28"/>
        </w:rPr>
      </w:pPr>
      <w:r>
        <w:rPr>
          <w:rFonts w:ascii="仿宋" w:hAnsi="仿宋" w:eastAsia="仿宋" w:cs="仿宋"/>
          <w:sz w:val="28"/>
          <w:szCs w:val="28"/>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bCs/>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line="48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项目在本合同履行过程中，非因乙方原因有可能致使合同履行失败或者部分失败的，乙方应在知晓该等事项之日起1个工作日内通知甲方，同时采取措施减少损失。</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一切法律责任由乙方承担（包括但不限于律师费、诉讼费、赔偿款、调查费、差旅费等）。</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根据本合同向甲方提供的资料及其所包含的图形、图片、文字等素材以及因本合同产生的作品（包括但不限于任何图案、图像、文字等），其知识产权和其他权益均归甲方所有，未经甲方事先书面许可乙方不得为本合同之外的任何目的、以任何形式自行使用或擅自许可任何第三方使用。</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第六条  保密条款</w:t>
      </w:r>
    </w:p>
    <w:p>
      <w:pPr>
        <w:spacing w:line="480" w:lineRule="exact"/>
        <w:ind w:firstLine="560" w:firstLineChars="200"/>
        <w:outlineLvl w:val="0"/>
        <w:rPr>
          <w:rFonts w:ascii="仿宋" w:hAnsi="仿宋" w:eastAsia="仿宋" w:cs="仿宋"/>
          <w:sz w:val="28"/>
          <w:szCs w:val="28"/>
        </w:rPr>
      </w:pPr>
      <w:r>
        <w:rPr>
          <w:rFonts w:hint="eastAsia" w:ascii="仿宋_GB2312" w:hAnsi="仿宋_GB2312" w:cs="仿宋_GB2312"/>
          <w:color w:val="000000"/>
          <w:sz w:val="28"/>
          <w:szCs w:val="28"/>
        </w:rPr>
        <w:t>乙方承诺严格遵守国家关于保密（包括私隐）方面的所有法律法规，对涉及甲方工作秘密的数据及资料保密。所有工作时间内，可能或必须知道的甲方书面资料或其他拷贝资料，在项目完成并在甲方验收后，不得保留书面或其他形式的拷贝资料，并对已知的数据、资料保密，不得泄露，否则，应当依法承担相应的法律责任</w:t>
      </w:r>
      <w:r>
        <w:rPr>
          <w:rFonts w:hint="eastAsia" w:ascii="仿宋" w:hAnsi="仿宋" w:eastAsia="仿宋" w:cs="仿宋"/>
          <w:sz w:val="28"/>
          <w:szCs w:val="28"/>
          <w:lang w:bidi="ar"/>
        </w:rPr>
        <w:t>包括但不限于律师费、诉讼费、赔偿款、交通费、调查费等</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1.乙方未按照合同约定及时提交项目成果性文件或逾期完成项目工作的，从逾期之日起，甲方有权要求乙方按本项目服务总费用的日千分之一向甲方支付违约金直到乙方提交或者完成之日止。</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spacing w:line="48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合同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rPr>
        <w:t>。</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本合同一式肆份，自甲、乙双方授权代表签字和盖章后生效。甲方执叁份、乙方执壹份，具有同等法律效力。</w:t>
      </w:r>
    </w:p>
    <w:p>
      <w:pPr>
        <w:pStyle w:val="11"/>
        <w:numPr>
          <w:ilvl w:val="0"/>
          <w:numId w:val="8"/>
        </w:numPr>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1"/>
        <w:numPr>
          <w:ilvl w:val="0"/>
          <w:numId w:val="9"/>
        </w:numPr>
        <w:ind w:firstLine="608"/>
        <w:rPr>
          <w:rFonts w:ascii="仿宋" w:hAnsi="仿宋" w:eastAsia="仿宋" w:cs="仿宋"/>
          <w:szCs w:val="28"/>
        </w:rPr>
      </w:pPr>
      <w:r>
        <w:rPr>
          <w:rFonts w:hint="eastAsia" w:ascii="仿宋" w:hAnsi="仿宋" w:eastAsia="仿宋" w:cs="仿宋"/>
          <w:szCs w:val="28"/>
        </w:rPr>
        <w:t>江门市市场监督管理局2025年江门市药械化科普宣传项目采购公告；</w:t>
      </w:r>
    </w:p>
    <w:p>
      <w:pPr>
        <w:pStyle w:val="11"/>
        <w:numPr>
          <w:ilvl w:val="0"/>
          <w:numId w:val="9"/>
        </w:numPr>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11"/>
        <w:numPr>
          <w:ilvl w:val="-1"/>
          <w:numId w:val="0"/>
        </w:numPr>
        <w:ind w:left="600" w:leftChars="200" w:firstLine="0" w:firstLineChars="0"/>
        <w:rPr>
          <w:rFonts w:ascii="仿宋" w:hAnsi="仿宋" w:eastAsia="仿宋" w:cs="仿宋"/>
          <w:szCs w:val="28"/>
        </w:rPr>
      </w:pPr>
      <w:r>
        <w:rPr>
          <w:rFonts w:hint="eastAsia" w:ascii="仿宋" w:hAnsi="仿宋" w:eastAsia="仿宋" w:cs="仿宋"/>
          <w:szCs w:val="28"/>
          <w:lang w:val="en-US" w:eastAsia="zh-CN"/>
        </w:rPr>
        <w:t>3.</w:t>
      </w:r>
      <w:r>
        <w:rPr>
          <w:rFonts w:hint="eastAsia" w:ascii="仿宋" w:hAnsi="仿宋" w:eastAsia="仿宋" w:cs="仿宋"/>
          <w:szCs w:val="28"/>
        </w:rPr>
        <w:t>其他附件及补充</w:t>
      </w:r>
      <w:r>
        <w:rPr>
          <w:rFonts w:hint="eastAsia" w:ascii="仿宋" w:hAnsi="仿宋" w:eastAsia="仿宋" w:cs="仿宋"/>
          <w:szCs w:val="28"/>
          <w:lang w:eastAsia="zh-CN"/>
        </w:rPr>
        <w:t>合同</w:t>
      </w:r>
      <w:r>
        <w:rPr>
          <w:rFonts w:hint="eastAsia" w:ascii="仿宋" w:hAnsi="仿宋" w:eastAsia="仿宋" w:cs="仿宋"/>
          <w:szCs w:val="28"/>
        </w:rPr>
        <w:t>等资料。</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spacing w:line="480" w:lineRule="exact"/>
        <w:rPr>
          <w:rFonts w:ascii="仿宋" w:hAnsi="仿宋" w:eastAsia="仿宋" w:cs="仿宋"/>
          <w:sz w:val="28"/>
          <w:szCs w:val="28"/>
        </w:rPr>
      </w:pPr>
    </w:p>
    <w:p>
      <w:pPr>
        <w:pStyle w:val="11"/>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rPr>
          <w:rFonts w:ascii="仿宋" w:hAnsi="仿宋" w:eastAsia="仿宋" w:cs="仿宋"/>
          <w:sz w:val="28"/>
          <w:szCs w:val="28"/>
        </w:rPr>
      </w:pPr>
      <w:r>
        <w:rPr>
          <w:rFonts w:hint="eastAsia" w:ascii="仿宋" w:hAnsi="仿宋" w:eastAsia="仿宋" w:cs="仿宋"/>
          <w:sz w:val="28"/>
          <w:szCs w:val="28"/>
        </w:rPr>
        <w:t xml:space="preserve"> </w:t>
      </w: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7"/>
  </w:num>
  <w:num w:numId="3">
    <w:abstractNumId w:val="8"/>
  </w:num>
  <w:num w:numId="4">
    <w:abstractNumId w:val="1"/>
  </w:num>
  <w:num w:numId="5">
    <w:abstractNumId w:val="5"/>
  </w:num>
  <w:num w:numId="6">
    <w:abstractNumId w:val="4"/>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20DD5"/>
    <w:rsid w:val="000F477F"/>
    <w:rsid w:val="00201EA2"/>
    <w:rsid w:val="003D2A44"/>
    <w:rsid w:val="005B7C59"/>
    <w:rsid w:val="00784090"/>
    <w:rsid w:val="00966675"/>
    <w:rsid w:val="009A4DBA"/>
    <w:rsid w:val="00AE5953"/>
    <w:rsid w:val="00DB3F27"/>
    <w:rsid w:val="00F573A0"/>
    <w:rsid w:val="00F7797A"/>
    <w:rsid w:val="00F83EB1"/>
    <w:rsid w:val="09D77ACF"/>
    <w:rsid w:val="09DE0A66"/>
    <w:rsid w:val="0BEA35C3"/>
    <w:rsid w:val="0DDF3CA5"/>
    <w:rsid w:val="0FB72321"/>
    <w:rsid w:val="10FC4243"/>
    <w:rsid w:val="171724B5"/>
    <w:rsid w:val="19FDA202"/>
    <w:rsid w:val="1A19383D"/>
    <w:rsid w:val="1FDF0FEF"/>
    <w:rsid w:val="20075F93"/>
    <w:rsid w:val="24EE444C"/>
    <w:rsid w:val="28F2788A"/>
    <w:rsid w:val="293A0576"/>
    <w:rsid w:val="2D016C87"/>
    <w:rsid w:val="35BF09F9"/>
    <w:rsid w:val="3773E753"/>
    <w:rsid w:val="391A5AE0"/>
    <w:rsid w:val="3A7DDB92"/>
    <w:rsid w:val="3B19643C"/>
    <w:rsid w:val="3D96C253"/>
    <w:rsid w:val="3DC33BEA"/>
    <w:rsid w:val="3F3F02A9"/>
    <w:rsid w:val="3FA76621"/>
    <w:rsid w:val="3FE44352"/>
    <w:rsid w:val="404A6C17"/>
    <w:rsid w:val="43F43818"/>
    <w:rsid w:val="47C7B3FB"/>
    <w:rsid w:val="4B562BFB"/>
    <w:rsid w:val="4CE65427"/>
    <w:rsid w:val="4D261BEA"/>
    <w:rsid w:val="4DD70C4E"/>
    <w:rsid w:val="4FFD6049"/>
    <w:rsid w:val="4FFE76D1"/>
    <w:rsid w:val="53BB212A"/>
    <w:rsid w:val="5789094D"/>
    <w:rsid w:val="59BFD042"/>
    <w:rsid w:val="5BB2671C"/>
    <w:rsid w:val="5BFDB08B"/>
    <w:rsid w:val="5DBBAA10"/>
    <w:rsid w:val="5EBFB560"/>
    <w:rsid w:val="5FBFD109"/>
    <w:rsid w:val="66F7D573"/>
    <w:rsid w:val="674B606A"/>
    <w:rsid w:val="67ADD11F"/>
    <w:rsid w:val="67CAD1C3"/>
    <w:rsid w:val="68DF509E"/>
    <w:rsid w:val="690D3BC4"/>
    <w:rsid w:val="693B3F28"/>
    <w:rsid w:val="6B7E7578"/>
    <w:rsid w:val="6C651219"/>
    <w:rsid w:val="6C7B1287"/>
    <w:rsid w:val="6F5F4F93"/>
    <w:rsid w:val="6FF703B5"/>
    <w:rsid w:val="71FF92FA"/>
    <w:rsid w:val="72AF67A9"/>
    <w:rsid w:val="736A24FA"/>
    <w:rsid w:val="76A81E4D"/>
    <w:rsid w:val="77D61E77"/>
    <w:rsid w:val="78FAE21D"/>
    <w:rsid w:val="79276609"/>
    <w:rsid w:val="7ABAD380"/>
    <w:rsid w:val="7B7E5AD3"/>
    <w:rsid w:val="7BFD5241"/>
    <w:rsid w:val="7EFEE140"/>
    <w:rsid w:val="7F7A05EB"/>
    <w:rsid w:val="7FBF0036"/>
    <w:rsid w:val="7FDA17F3"/>
    <w:rsid w:val="7FFBB4BF"/>
    <w:rsid w:val="7FFDC820"/>
    <w:rsid w:val="7FFFC161"/>
    <w:rsid w:val="855F9B6D"/>
    <w:rsid w:val="95F7C4D6"/>
    <w:rsid w:val="9B5E5AB4"/>
    <w:rsid w:val="9FFBB339"/>
    <w:rsid w:val="AFBD408F"/>
    <w:rsid w:val="B57DD0A3"/>
    <w:rsid w:val="BD6F2FD0"/>
    <w:rsid w:val="BF3119E2"/>
    <w:rsid w:val="CFFF0E90"/>
    <w:rsid w:val="D0FF76BD"/>
    <w:rsid w:val="D3FB82B1"/>
    <w:rsid w:val="D6E3F6FE"/>
    <w:rsid w:val="D7D566C1"/>
    <w:rsid w:val="D8FBAC00"/>
    <w:rsid w:val="DBA70116"/>
    <w:rsid w:val="E6F576C6"/>
    <w:rsid w:val="EBFEEDE8"/>
    <w:rsid w:val="EDFFF93D"/>
    <w:rsid w:val="EEBEA368"/>
    <w:rsid w:val="F137789C"/>
    <w:rsid w:val="F63B3A51"/>
    <w:rsid w:val="F69E4C3F"/>
    <w:rsid w:val="F6DA9943"/>
    <w:rsid w:val="F73F04C6"/>
    <w:rsid w:val="F87E81B1"/>
    <w:rsid w:val="FAF3805C"/>
    <w:rsid w:val="FBFED7D7"/>
    <w:rsid w:val="FBFF8709"/>
    <w:rsid w:val="FDFF6184"/>
    <w:rsid w:val="FEF7480E"/>
    <w:rsid w:val="FFB7755C"/>
    <w:rsid w:val="FFEF0FA7"/>
    <w:rsid w:val="FFF696D6"/>
    <w:rsid w:val="FFF8A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paragraph" w:styleId="3">
    <w:name w:val="heading 3"/>
    <w:basedOn w:val="1"/>
    <w:next w:val="1"/>
    <w:qFormat/>
    <w:uiPriority w:val="9"/>
    <w:pPr>
      <w:keepNext/>
      <w:keepLines/>
      <w:spacing w:before="260" w:after="260" w:line="416" w:lineRule="auto"/>
      <w:outlineLvl w:val="2"/>
    </w:pPr>
    <w:rPr>
      <w:rFonts w:ascii="楷体" w:hAnsi="楷体" w:eastAsia="楷体_GB2312"/>
      <w:bCs/>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mbria" w:hAnsi="Cambria" w:eastAsia="宋体"/>
      <w:b/>
      <w:bCs/>
      <w:sz w:val="32"/>
      <w:szCs w:val="32"/>
    </w:rPr>
  </w:style>
  <w:style w:type="paragraph" w:styleId="4">
    <w:name w:val="Normal Indent"/>
    <w:basedOn w:val="1"/>
    <w:qFormat/>
    <w:uiPriority w:val="99"/>
    <w:pPr>
      <w:widowControl/>
      <w:ind w:firstLine="420" w:firstLineChars="200"/>
    </w:pPr>
  </w:style>
  <w:style w:type="paragraph" w:styleId="5">
    <w:name w:val="annotation text"/>
    <w:basedOn w:val="1"/>
    <w:qFormat/>
    <w:uiPriority w:val="0"/>
    <w:pPr>
      <w:jc w:val="left"/>
    </w:pPr>
  </w:style>
  <w:style w:type="paragraph" w:styleId="6">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7">
    <w:name w:val="Balloon Text"/>
    <w:basedOn w:val="1"/>
    <w:link w:val="14"/>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rPr>
      <w:sz w:val="24"/>
    </w:rPr>
  </w:style>
  <w:style w:type="paragraph" w:styleId="11">
    <w:name w:val="Body Text First Indent 2"/>
    <w:basedOn w:val="6"/>
    <w:qFormat/>
    <w:uiPriority w:val="0"/>
    <w:pPr>
      <w:ind w:firstLine="420" w:firstLineChars="200"/>
    </w:pPr>
    <w:rPr>
      <w:rFonts w:ascii="宋体" w:hAnsi="MS Sans Serif"/>
      <w:spacing w:val="12"/>
    </w:rPr>
  </w:style>
  <w:style w:type="character" w:customStyle="1" w:styleId="14">
    <w:name w:val="批注框文本 Char"/>
    <w:basedOn w:val="13"/>
    <w:link w:val="7"/>
    <w:qFormat/>
    <w:uiPriority w:val="0"/>
    <w:rPr>
      <w:rFonts w:eastAsia="仿宋_GB2312"/>
      <w:kern w:val="2"/>
      <w:sz w:val="18"/>
      <w:szCs w:val="18"/>
    </w:rPr>
  </w:style>
  <w:style w:type="paragraph" w:customStyle="1" w:styleId="15">
    <w:name w:val="普通(网站)1"/>
    <w:basedOn w:val="1"/>
    <w:qFormat/>
    <w:uiPriority w:val="0"/>
    <w:pPr>
      <w:jc w:val="left"/>
    </w:pPr>
    <w:rPr>
      <w:rFonts w:ascii="Calibri" w:hAnsi="Calibri" w:cs="黑体"/>
      <w:kern w:val="0"/>
      <w:sz w:val="24"/>
      <w:szCs w:val="24"/>
    </w:r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8</Pages>
  <Words>4421</Words>
  <Characters>283</Characters>
  <Lines>2</Lines>
  <Paragraphs>9</Paragraphs>
  <TotalTime>5</TotalTime>
  <ScaleCrop>false</ScaleCrop>
  <LinksUpToDate>false</LinksUpToDate>
  <CharactersWithSpaces>4695</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2021-06-01T18:58:00Z</dcterms:created>
  <dc:creator>Administrator</dc:creator>
  <cp:lastModifiedBy>greatwall</cp:lastModifiedBy>
  <dcterms:modified xsi:type="dcterms:W3CDTF">2026-04-01T14:46:07Z</dcterms:modified>
  <dc:title>2020年江门市工业产品生产许可证证后</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AE3289EE5F7DD24C3736DA673018F3B2</vt:lpwstr>
  </property>
</Properties>
</file>