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宋体" w:hAnsi="宋体" w:cs="宋体"/>
          <w:b/>
          <w:color w:val="000000"/>
          <w:sz w:val="44"/>
          <w:szCs w:val="44"/>
          <w:shd w:val="clear" w:color="auto" w:fill="FFFFFF"/>
        </w:rPr>
      </w:pPr>
      <w:r>
        <w:rPr>
          <w:rFonts w:hint="eastAsia" w:ascii="宋体" w:hAnsi="宋体" w:cs="宋体"/>
          <w:b/>
          <w:color w:val="000000"/>
          <w:sz w:val="44"/>
          <w:szCs w:val="44"/>
          <w:shd w:val="clear" w:color="auto" w:fill="FFFFFF"/>
        </w:rPr>
        <w:t>“江门市养老服务产业标准体系规划</w:t>
      </w:r>
    </w:p>
    <w:p>
      <w:pPr>
        <w:spacing w:line="480" w:lineRule="exact"/>
        <w:jc w:val="center"/>
        <w:rPr>
          <w:rFonts w:ascii="宋体" w:hAnsi="宋体" w:cs="宋体"/>
          <w:b/>
          <w:color w:val="000000"/>
          <w:sz w:val="44"/>
          <w:szCs w:val="44"/>
          <w:shd w:val="clear" w:color="auto" w:fill="FFFFFF"/>
        </w:rPr>
      </w:pPr>
      <w:r>
        <w:rPr>
          <w:rFonts w:hint="eastAsia" w:ascii="宋体" w:hAnsi="宋体" w:cs="宋体"/>
          <w:b/>
          <w:color w:val="000000"/>
          <w:sz w:val="44"/>
          <w:szCs w:val="44"/>
          <w:shd w:val="clear" w:color="auto" w:fill="FFFFFF"/>
        </w:rPr>
        <w:t>和路线图”项目合同</w:t>
      </w:r>
    </w:p>
    <w:p>
      <w:pPr>
        <w:spacing w:line="480" w:lineRule="exact"/>
        <w:jc w:val="center"/>
        <w:rPr>
          <w:rFonts w:ascii="宋体" w:hAnsi="宋体" w:cs="宋体"/>
          <w:b/>
          <w:color w:val="000000"/>
          <w:sz w:val="32"/>
          <w:szCs w:val="32"/>
          <w:shd w:val="clear" w:color="auto" w:fill="FFFFFF"/>
        </w:rPr>
      </w:pPr>
    </w:p>
    <w:p>
      <w:pPr>
        <w:spacing w:line="48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江门市东华二路7号</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b/>
          <w:sz w:val="28"/>
          <w:szCs w:val="28"/>
          <w:u w:val="single"/>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 xml:space="preserve">：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color w:val="666666"/>
          <w:sz w:val="28"/>
          <w:szCs w:val="28"/>
          <w:shd w:val="clear" w:color="auto" w:fill="FFFFFF"/>
        </w:rPr>
      </w:pPr>
    </w:p>
    <w:p>
      <w:pPr>
        <w:widowControl/>
        <w:spacing w:line="480" w:lineRule="exact"/>
        <w:ind w:firstLine="618" w:firstLineChars="221"/>
        <w:rPr>
          <w:rFonts w:ascii="仿宋" w:hAnsi="仿宋" w:eastAsia="仿宋" w:cs="仿宋"/>
          <w:b/>
          <w:bCs/>
          <w:sz w:val="28"/>
          <w:szCs w:val="28"/>
        </w:rPr>
      </w:pPr>
      <w:r>
        <w:rPr>
          <w:rFonts w:hint="eastAsia" w:ascii="仿宋" w:hAnsi="仿宋" w:eastAsia="仿宋" w:cs="仿宋"/>
          <w:sz w:val="28"/>
          <w:szCs w:val="28"/>
        </w:rPr>
        <w:t>甲、乙双方根据“江门市养老服务产业标准体系规划和路线图”</w:t>
      </w:r>
      <w:r>
        <w:rPr>
          <w:rFonts w:hint="eastAsia" w:ascii="仿宋" w:hAnsi="仿宋" w:eastAsia="仿宋" w:cs="仿宋"/>
          <w:sz w:val="28"/>
          <w:szCs w:val="28"/>
          <w:lang w:eastAsia="zh-CN"/>
        </w:rPr>
        <w:t>项目</w:t>
      </w:r>
      <w:r>
        <w:rPr>
          <w:rFonts w:hint="eastAsia" w:ascii="仿宋" w:hAnsi="仿宋" w:eastAsia="仿宋" w:cs="仿宋"/>
          <w:sz w:val="28"/>
          <w:szCs w:val="28"/>
        </w:rPr>
        <w:t>（项目编号：</w:t>
      </w:r>
      <w:r>
        <w:rPr>
          <w:rFonts w:hint="default" w:ascii="仿宋" w:hAnsi="仿宋" w:eastAsia="仿宋" w:cs="仿宋"/>
          <w:sz w:val="28"/>
          <w:szCs w:val="28"/>
          <w:lang w:val="en"/>
        </w:rPr>
        <w:t>2025062</w:t>
      </w:r>
      <w:r>
        <w:rPr>
          <w:rFonts w:hint="eastAsia" w:ascii="仿宋" w:hAnsi="仿宋" w:eastAsia="仿宋" w:cs="仿宋"/>
          <w:sz w:val="28"/>
          <w:szCs w:val="28"/>
        </w:rPr>
        <w:t>）的采购公告、项目采购结果公告的要求，依据《中华人民共和国民法典》《中华人民共和国政府采购法》《中华人民共和国标准化法》等相关法律法规的规定，经双方协商，本着平等、自愿、公平和诚实信用的原则，一致同意签订本合同如下</w:t>
      </w:r>
      <w:r>
        <w:rPr>
          <w:rFonts w:hint="eastAsia" w:ascii="仿宋" w:hAnsi="仿宋" w:eastAsia="仿宋" w:cs="仿宋"/>
          <w:color w:val="000000"/>
          <w:sz w:val="28"/>
          <w:szCs w:val="28"/>
        </w:rPr>
        <w:t xml:space="preserve">： </w:t>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第一条  项目内容 </w:t>
      </w:r>
    </w:p>
    <w:p>
      <w:pPr>
        <w:pStyle w:val="15"/>
        <w:tabs>
          <w:tab w:val="left" w:pos="300"/>
        </w:tabs>
        <w:spacing w:line="480" w:lineRule="exact"/>
        <w:ind w:firstLine="599" w:firstLineChars="214"/>
        <w:rPr>
          <w:rFonts w:ascii="仿宋" w:hAnsi="仿宋" w:eastAsia="仿宋"/>
          <w:sz w:val="28"/>
          <w:szCs w:val="28"/>
        </w:rPr>
      </w:pPr>
      <w:r>
        <w:rPr>
          <w:rFonts w:hint="eastAsia" w:ascii="仿宋" w:hAnsi="仿宋" w:eastAsia="仿宋"/>
          <w:sz w:val="28"/>
          <w:szCs w:val="28"/>
        </w:rPr>
        <w:t>为全面贯彻习近平新时代中国特色社会主义思想，落实党的二十大和二十届二中、三中全会精神，落实《中共中央 国务院关于深化养老服务改革发展的意见》《民政部 国家标准化管理委员会关于印发《养老服务标准体系建设指南(2025版)》的通知》《广东省人民政府办公厅关于印发《广东省促进银发经济高质量发展增进老年人福祉实施方案》的通知》以及江门市现代服务业高质量发展的部署要求，促进我市健康养老服务高质量发展</w:t>
      </w:r>
      <w:r>
        <w:rPr>
          <w:rFonts w:hint="eastAsia" w:ascii="仿宋" w:hAnsi="仿宋" w:eastAsia="仿宋" w:cs="仿宋"/>
          <w:sz w:val="28"/>
          <w:szCs w:val="28"/>
        </w:rPr>
        <w:t>，甲方委托乙方</w:t>
      </w:r>
      <w:r>
        <w:rPr>
          <w:rFonts w:hint="eastAsia" w:ascii="仿宋" w:hAnsi="仿宋" w:eastAsia="仿宋"/>
          <w:sz w:val="28"/>
          <w:szCs w:val="28"/>
        </w:rPr>
        <w:t>协助开展“江门市养老服务产业标准体系规划和路线图”项目，乙方工作内容如下：</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1）通过第三方机构组织2名专家选取江门市不少于5家代表性养老机构，通过实地走访、深度访谈、资料查阅等方式，梳理机构服务特点、特色模式及先进经验，重点调研养老服务通用要求、服务管理流程、运行保障机制、服务评价体系等核心模块现状，收集标准体系路线图制定所需的基础数据、现实需求及行业瓶颈，形成《江门市养老服务现状调研报告》。</w:t>
      </w:r>
    </w:p>
    <w:p>
      <w:pPr>
        <w:spacing w:line="500" w:lineRule="exact"/>
        <w:ind w:firstLine="560" w:firstLineChars="200"/>
        <w:rPr>
          <w:rFonts w:ascii="仿宋" w:hAnsi="仿宋" w:eastAsia="仿宋"/>
          <w:sz w:val="28"/>
          <w:szCs w:val="28"/>
        </w:rPr>
      </w:pPr>
      <w:r>
        <w:rPr>
          <w:rFonts w:hint="eastAsia" w:ascii="仿宋" w:hAnsi="仿宋" w:eastAsia="仿宋"/>
          <w:sz w:val="28"/>
          <w:szCs w:val="28"/>
        </w:rPr>
        <w:t>（2）通过第三方机构组织2名专家通过剖析江门市养老服务供给侧（机构、服务模式、资源配置）与需求侧（老年人多样化需求）现状，紧跟养老服务发展需要、老年人需求变化、养老服务行业转型升级，分析养老服务标准供给结构，并搜集现行国家、行业以及地方标准，开展标准比对分析，梳理出养老服务发展重点急需、基础通用、转型升级的标准制定范围（过程中需购买养老服务相关现行标准等资料，支撑体系编制）。</w:t>
      </w:r>
    </w:p>
    <w:p>
      <w:pPr>
        <w:spacing w:line="500" w:lineRule="exact"/>
        <w:ind w:firstLine="560" w:firstLineChars="200"/>
      </w:pPr>
      <w:r>
        <w:rPr>
          <w:rFonts w:hint="eastAsia" w:ascii="仿宋" w:hAnsi="仿宋" w:eastAsia="仿宋"/>
          <w:sz w:val="28"/>
          <w:szCs w:val="28"/>
        </w:rPr>
        <w:t>（3）通过第三方机构组织3名专家协助制定优化养老机构管理规范、服务流程、设施设备配置的标准化方案,指导提升养老服务管理人员、一线服务人员的标准化意识。从服务过程质量稳定管理的角度为构建标准体系提供标准化技术支撑，并针对标准体系框架设计、明细表制定过程中的难点问题提供解决方案。</w:t>
      </w:r>
    </w:p>
    <w:p>
      <w:pPr>
        <w:spacing w:line="480" w:lineRule="exact"/>
        <w:ind w:firstLine="560" w:firstLineChars="200"/>
        <w:rPr>
          <w:rFonts w:hint="eastAsia" w:ascii="仿宋" w:hAnsi="仿宋" w:eastAsia="仿宋"/>
          <w:sz w:val="28"/>
          <w:szCs w:val="28"/>
        </w:rPr>
      </w:pPr>
      <w:r>
        <w:rPr>
          <w:rFonts w:hint="eastAsia" w:ascii="仿宋" w:hAnsi="仿宋" w:eastAsia="仿宋"/>
          <w:sz w:val="28"/>
          <w:szCs w:val="28"/>
        </w:rPr>
        <w:t>（4）第三方机构需根据我市养老服务产业实际情况，坚持需求导向，科学研判养老服务标准实施应用场景，构筑多层次、多维度养老服务标准体系，绘制标准体系框架图，编制标准明细表（含现有标准梳理、缺失标准识别、新增标准规划），组织相关单位召开标准体系框架设计、标准明细表核心内容研讨会议，形成标准体系征求意见稿。</w:t>
      </w:r>
    </w:p>
    <w:p>
      <w:pPr>
        <w:pStyle w:val="15"/>
        <w:tabs>
          <w:tab w:val="left" w:pos="300"/>
        </w:tabs>
        <w:spacing w:line="480" w:lineRule="exact"/>
        <w:ind w:firstLine="560" w:firstLineChars="200"/>
        <w:rPr>
          <w:rFonts w:hint="eastAsia" w:ascii="仿宋" w:hAnsi="仿宋" w:eastAsia="仿宋"/>
          <w:sz w:val="28"/>
          <w:szCs w:val="28"/>
        </w:rPr>
      </w:pPr>
      <w:r>
        <w:rPr>
          <w:rFonts w:hint="eastAsia" w:ascii="仿宋" w:hAnsi="仿宋" w:eastAsia="仿宋"/>
          <w:sz w:val="28"/>
          <w:szCs w:val="28"/>
        </w:rPr>
        <w:t>（5）由第三方组织3名专家协助我科对江门市养老服务标准体系和标准化规划路线图的科学性、先进性、适用性、可操作性进行全面评审，提出审查意见，协助完善标准体系内容，并形成专家审查意见报告，为成果定稿提供依据。</w:t>
      </w:r>
    </w:p>
    <w:p>
      <w:pPr>
        <w:pStyle w:val="15"/>
        <w:tabs>
          <w:tab w:val="left" w:pos="300"/>
        </w:tabs>
        <w:spacing w:line="480" w:lineRule="exact"/>
        <w:ind w:firstLine="560" w:firstLineChars="200"/>
        <w:rPr>
          <w:rFonts w:hint="eastAsia" w:ascii="仿宋" w:hAnsi="仿宋" w:eastAsia="仿宋"/>
          <w:sz w:val="28"/>
          <w:szCs w:val="28"/>
        </w:rPr>
      </w:pPr>
      <w:r>
        <w:rPr>
          <w:rFonts w:hint="eastAsia" w:ascii="仿宋" w:hAnsi="仿宋" w:eastAsia="仿宋"/>
          <w:sz w:val="28"/>
          <w:szCs w:val="28"/>
        </w:rPr>
        <w:t>（6）乙方应在合同签订生效后5个工作日内，向甲方提交完整项目团队名单（包括所有参与专家）及成员履历。上述核心成员非经甲方事先书面同意不得更换。乙方对其项目团队所有成员的工作成果、行为及提供的全部服务承担完全责任。乙方确保现场服务队伍人数不少于1名。</w:t>
      </w:r>
    </w:p>
    <w:p>
      <w:pPr>
        <w:pStyle w:val="15"/>
        <w:tabs>
          <w:tab w:val="left" w:pos="300"/>
        </w:tabs>
        <w:spacing w:line="480" w:lineRule="exact"/>
        <w:ind w:firstLine="560" w:firstLineChars="200"/>
        <w:rPr>
          <w:rFonts w:ascii="仿宋" w:hAnsi="仿宋" w:eastAsia="仿宋" w:cs="仿宋"/>
          <w:sz w:val="28"/>
          <w:szCs w:val="28"/>
        </w:rPr>
      </w:pPr>
      <w:r>
        <w:rPr>
          <w:rFonts w:hint="eastAsia" w:ascii="仿宋" w:hAnsi="仿宋" w:eastAsia="仿宋"/>
          <w:sz w:val="28"/>
          <w:szCs w:val="28"/>
        </w:rPr>
        <w:t>（7）一旦发生不可预见的紧急情况，应当在15分钟内响应甲方工作需求，30分钟内到达甲方指定地点提供协助</w:t>
      </w:r>
      <w:r>
        <w:rPr>
          <w:rFonts w:hint="eastAsia" w:ascii="仿宋" w:hAnsi="仿宋" w:eastAsia="仿宋" w:cs="仿宋"/>
          <w:sz w:val="28"/>
          <w:szCs w:val="28"/>
        </w:rPr>
        <w:t>。</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numPr>
          <w:ilvl w:val="0"/>
          <w:numId w:val="1"/>
        </w:numPr>
        <w:spacing w:line="480" w:lineRule="exact"/>
        <w:rPr>
          <w:rFonts w:ascii="仿宋" w:hAnsi="仿宋" w:eastAsia="仿宋" w:cs="仿宋"/>
          <w:bCs/>
          <w:sz w:val="28"/>
          <w:szCs w:val="28"/>
        </w:rPr>
      </w:pPr>
      <w:r>
        <w:rPr>
          <w:rFonts w:hint="eastAsia" w:ascii="仿宋" w:hAnsi="仿宋" w:eastAsia="仿宋" w:cs="仿宋"/>
          <w:color w:val="000000"/>
          <w:sz w:val="28"/>
          <w:szCs w:val="28"/>
        </w:rPr>
        <w:t>乙方向甲方提供服务的合同期限为</w:t>
      </w:r>
      <w:r>
        <w:rPr>
          <w:rFonts w:hint="eastAsia" w:ascii="仿宋" w:hAnsi="仿宋" w:eastAsia="仿宋" w:cs="仿宋"/>
          <w:color w:val="000000"/>
          <w:sz w:val="28"/>
          <w:szCs w:val="28"/>
          <w:u w:val="single"/>
        </w:rPr>
        <w:t>自本合同签订生效之日起算至2026年11月30日。</w:t>
      </w:r>
    </w:p>
    <w:p>
      <w:pPr>
        <w:numPr>
          <w:ilvl w:val="0"/>
          <w:numId w:val="1"/>
        </w:numPr>
        <w:spacing w:line="480" w:lineRule="exact"/>
        <w:rPr>
          <w:rFonts w:hint="eastAsia" w:ascii="仿宋" w:hAnsi="仿宋" w:eastAsia="仿宋" w:cs="仿宋"/>
          <w:color w:val="000000"/>
          <w:sz w:val="28"/>
          <w:szCs w:val="28"/>
        </w:rPr>
      </w:pPr>
      <w:r>
        <w:rPr>
          <w:rFonts w:hint="eastAsia" w:ascii="仿宋" w:hAnsi="仿宋" w:eastAsia="仿宋" w:cs="仿宋"/>
          <w:sz w:val="28"/>
          <w:szCs w:val="28"/>
        </w:rPr>
        <w:t>乙方向甲方提供服务可获得的项目技术服</w:t>
      </w:r>
      <w:r>
        <w:rPr>
          <w:rFonts w:hint="eastAsia" w:ascii="仿宋" w:hAnsi="仿宋" w:eastAsia="仿宋" w:cs="仿宋"/>
          <w:color w:val="000000"/>
          <w:sz w:val="28"/>
          <w:szCs w:val="28"/>
        </w:rPr>
        <w:t>务总费用（即项目总费用）为</w:t>
      </w:r>
      <w:r>
        <w:rPr>
          <w:rFonts w:hint="eastAsia" w:ascii="仿宋" w:hAnsi="仿宋" w:eastAsia="仿宋" w:cs="仿宋"/>
          <w:bCs/>
          <w:sz w:val="28"/>
          <w:szCs w:val="28"/>
          <w:u w:val="single"/>
        </w:rPr>
        <w:t>人民币玖万玖仟捌佰元整(大写)(¥9.98万元)</w:t>
      </w:r>
      <w:r>
        <w:rPr>
          <w:rFonts w:hint="eastAsia" w:ascii="仿宋" w:hAnsi="仿宋" w:eastAsia="仿宋" w:cs="仿宋"/>
          <w:bCs/>
          <w:color w:val="666666"/>
          <w:sz w:val="28"/>
          <w:szCs w:val="28"/>
          <w:shd w:val="clear" w:color="auto" w:fill="FFFFFF"/>
        </w:rPr>
        <w:t>。</w:t>
      </w:r>
      <w:r>
        <w:rPr>
          <w:rFonts w:hint="eastAsia" w:ascii="仿宋" w:hAnsi="仿宋" w:eastAsia="仿宋" w:cs="仿宋"/>
          <w:color w:val="000000"/>
          <w:sz w:val="28"/>
          <w:szCs w:val="28"/>
        </w:rPr>
        <w:t>项目总费用为含税价，且已包含甲方应付所有费用。</w:t>
      </w:r>
    </w:p>
    <w:p>
      <w:pPr>
        <w:numPr>
          <w:ilvl w:val="0"/>
          <w:numId w:val="1"/>
        </w:numPr>
        <w:spacing w:line="480" w:lineRule="exact"/>
        <w:rPr>
          <w:rFonts w:ascii="仿宋" w:hAnsi="仿宋" w:eastAsia="仿宋" w:cs="仿宋"/>
          <w:sz w:val="28"/>
          <w:szCs w:val="28"/>
        </w:rPr>
      </w:pPr>
      <w:r>
        <w:rPr>
          <w:rFonts w:hint="eastAsia" w:ascii="仿宋" w:hAnsi="仿宋" w:eastAsia="仿宋" w:cs="仿宋"/>
          <w:color w:val="000000"/>
          <w:sz w:val="28"/>
          <w:szCs w:val="28"/>
        </w:rPr>
        <w:t>付款时间、方式</w:t>
      </w:r>
      <w:r>
        <w:rPr>
          <w:rFonts w:hint="eastAsia" w:ascii="仿宋" w:hAnsi="仿宋" w:eastAsia="仿宋" w:cs="仿宋"/>
          <w:sz w:val="28"/>
          <w:szCs w:val="28"/>
        </w:rPr>
        <w:t>。</w:t>
      </w:r>
    </w:p>
    <w:p>
      <w:pPr>
        <w:pStyle w:val="2"/>
        <w:numPr>
          <w:ilvl w:val="0"/>
          <w:numId w:val="2"/>
        </w:numPr>
        <w:spacing w:line="480" w:lineRule="exact"/>
        <w:ind w:firstLine="560"/>
        <w:rPr>
          <w:rFonts w:ascii="仿宋" w:hAnsi="仿宋" w:eastAsia="仿宋" w:cs="仿宋"/>
          <w:sz w:val="28"/>
          <w:szCs w:val="28"/>
        </w:rPr>
      </w:pPr>
      <w:r>
        <w:rPr>
          <w:rFonts w:hint="eastAsia" w:ascii="仿宋" w:hAnsi="仿宋" w:eastAsia="仿宋" w:cs="仿宋"/>
          <w:sz w:val="28"/>
          <w:szCs w:val="28"/>
        </w:rPr>
        <w:t>双方签署合同后，甲方分两期支付相应的款项给乙方：</w:t>
      </w:r>
    </w:p>
    <w:p>
      <w:pPr>
        <w:pStyle w:val="2"/>
        <w:spacing w:line="480" w:lineRule="exact"/>
        <w:ind w:firstLine="560"/>
        <w:rPr>
          <w:rFonts w:hint="eastAsia" w:ascii="仿宋" w:hAnsi="仿宋" w:eastAsia="仿宋" w:cs="仿宋"/>
          <w:sz w:val="28"/>
          <w:szCs w:val="28"/>
        </w:rPr>
      </w:pPr>
      <w:r>
        <w:rPr>
          <w:rFonts w:hint="eastAsia" w:ascii="仿宋" w:hAnsi="仿宋" w:eastAsia="仿宋" w:cs="仿宋"/>
          <w:sz w:val="28"/>
          <w:szCs w:val="28"/>
        </w:rPr>
        <w:t>第一期：甲、乙双方签订本合同后，甲方收到乙方开具的相对应金额发票之日起30个工作日内，向乙方支付项目费用人民币伍万元整（小写：¥50,000.00元）;</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第二期：本项目经甲方验收合格后，甲方收到乙方开具的相对应金额发票之日起30个工作日内支付项目费用人民币</w:t>
      </w:r>
      <w:r>
        <w:rPr>
          <w:rFonts w:hint="eastAsia" w:ascii="仿宋" w:hAnsi="仿宋" w:eastAsia="仿宋" w:cs="仿宋"/>
          <w:bCs/>
          <w:sz w:val="28"/>
          <w:szCs w:val="28"/>
          <w:u w:val="single"/>
        </w:rPr>
        <w:t>肆万玖仟捌佰元整（¥49,800.00元）</w:t>
      </w:r>
      <w:r>
        <w:rPr>
          <w:rFonts w:hint="eastAsia" w:ascii="仿宋" w:hAnsi="仿宋" w:eastAsia="仿宋" w:cs="仿宋"/>
          <w:sz w:val="28"/>
          <w:szCs w:val="28"/>
        </w:rPr>
        <w:t>。</w:t>
      </w:r>
    </w:p>
    <w:p>
      <w:pPr>
        <w:pStyle w:val="2"/>
        <w:spacing w:line="480" w:lineRule="exact"/>
        <w:ind w:firstLine="562"/>
        <w:rPr>
          <w:rFonts w:ascii="仿宋" w:hAnsi="仿宋" w:eastAsia="仿宋" w:cs="仿宋"/>
          <w:b/>
          <w:sz w:val="28"/>
          <w:szCs w:val="28"/>
        </w:rPr>
      </w:pPr>
      <w:r>
        <w:rPr>
          <w:rFonts w:hint="eastAsia" w:ascii="仿宋" w:hAnsi="仿宋" w:eastAsia="仿宋" w:cs="仿宋"/>
          <w:b/>
          <w:sz w:val="28"/>
          <w:szCs w:val="28"/>
        </w:rPr>
        <w:t>2、乙方确认：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如因财政资金的下达、拨付问题导致付款延迟的，不视为甲方违约，乙方不能据此追究甲方逾期付款的违约责任，也不得以财政支付延迟为由中止、延迟履行本合同项下的任何义务。</w:t>
      </w:r>
    </w:p>
    <w:p>
      <w:pPr>
        <w:pStyle w:val="2"/>
        <w:spacing w:line="480" w:lineRule="exact"/>
        <w:ind w:firstLine="562"/>
        <w:rPr>
          <w:b/>
        </w:rPr>
      </w:pPr>
      <w:r>
        <w:rPr>
          <w:rFonts w:hint="eastAsia" w:ascii="仿宋" w:hAnsi="仿宋" w:eastAsia="仿宋" w:cs="仿宋"/>
          <w:b/>
          <w:sz w:val="28"/>
          <w:szCs w:val="28"/>
        </w:rPr>
        <w:t>3、甲方支付以乙方无违约为前提，若乙方违约，甲方有权在应付款中做相应扣除。乙方未按约定开具合规发票或提交的发票有误，导致甲方支付延迟的，甲方不承担违约责任。</w:t>
      </w:r>
    </w:p>
    <w:p>
      <w:pPr>
        <w:numPr>
          <w:ilvl w:val="0"/>
          <w:numId w:val="1"/>
        </w:numPr>
        <w:spacing w:line="480" w:lineRule="exact"/>
        <w:rPr>
          <w:rFonts w:ascii="仿宋" w:hAnsi="仿宋" w:eastAsia="仿宋" w:cs="仿宋"/>
          <w:sz w:val="28"/>
          <w:szCs w:val="28"/>
        </w:rPr>
      </w:pPr>
      <w:r>
        <w:rPr>
          <w:rFonts w:hint="eastAsia" w:ascii="仿宋" w:hAnsi="仿宋" w:eastAsia="仿宋" w:cs="仿宋"/>
          <w:sz w:val="28"/>
          <w:szCs w:val="28"/>
        </w:rPr>
        <w:t>乙方账户信息如下：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1.开户名：</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2.开户行：</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3.账  号：</w:t>
      </w:r>
      <w:r>
        <w:rPr>
          <w:rFonts w:ascii="仿宋" w:hAnsi="仿宋" w:eastAsia="仿宋" w:cs="仿宋"/>
          <w:sz w:val="28"/>
          <w:szCs w:val="28"/>
          <w:u w:val="single"/>
        </w:rPr>
        <w:t xml:space="preserve">                        </w:t>
      </w:r>
    </w:p>
    <w:p>
      <w:pPr>
        <w:pStyle w:val="8"/>
        <w:numPr>
          <w:ilvl w:val="0"/>
          <w:numId w:val="1"/>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甲方开票信息如下：</w:t>
      </w:r>
    </w:p>
    <w:p>
      <w:pPr>
        <w:pStyle w:val="8"/>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1.单位名称：江门市市场监督管理局</w:t>
      </w:r>
    </w:p>
    <w:p>
      <w:pPr>
        <w:pStyle w:val="8"/>
        <w:spacing w:line="48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2.统一</w:t>
      </w:r>
      <w:r>
        <w:rPr>
          <w:rFonts w:hint="eastAsia" w:ascii="仿宋" w:hAnsi="仿宋" w:eastAsia="仿宋" w:cs="仿宋"/>
          <w:sz w:val="28"/>
          <w:szCs w:val="28"/>
          <w:lang w:eastAsia="zh-CN" w:bidi="ar"/>
        </w:rPr>
        <w:t>社会</w:t>
      </w:r>
      <w:bookmarkStart w:id="0" w:name="_GoBack"/>
      <w:bookmarkEnd w:id="0"/>
      <w:r>
        <w:rPr>
          <w:rFonts w:hint="eastAsia" w:ascii="仿宋" w:hAnsi="仿宋" w:eastAsia="仿宋" w:cs="仿宋"/>
          <w:sz w:val="28"/>
          <w:szCs w:val="28"/>
          <w:lang w:bidi="ar"/>
        </w:rPr>
        <w:t>信用代码：11440700MB2C90725T</w:t>
      </w:r>
    </w:p>
    <w:p>
      <w:pPr>
        <w:spacing w:line="480" w:lineRule="exact"/>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  验收方式</w:t>
      </w:r>
      <w:r>
        <w:rPr>
          <w:rFonts w:hint="eastAsia" w:ascii="仿宋" w:hAnsi="仿宋" w:eastAsia="仿宋" w:cs="仿宋"/>
          <w:color w:val="666666"/>
          <w:sz w:val="28"/>
          <w:szCs w:val="28"/>
          <w:shd w:val="clear" w:color="auto" w:fill="FFFFFF"/>
        </w:rPr>
        <w:t xml:space="preserve"> </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验收时间：</w:t>
      </w:r>
      <w:r>
        <w:rPr>
          <w:rFonts w:hint="eastAsia" w:ascii="仿宋" w:hAnsi="仿宋" w:eastAsia="仿宋"/>
          <w:sz w:val="28"/>
          <w:szCs w:val="28"/>
        </w:rPr>
        <w:t>2026年11月15日前</w:t>
      </w:r>
      <w:r>
        <w:rPr>
          <w:rFonts w:hint="eastAsia" w:ascii="仿宋" w:hAnsi="仿宋" w:eastAsia="仿宋" w:cs="仿宋"/>
          <w:sz w:val="28"/>
          <w:szCs w:val="28"/>
        </w:rPr>
        <w:t>，乙方应按采购公告及甲方要求提交本项目相关的专题调研报告、服务效果评价、文件、资料等成果性资料给甲方进行验收，甲方在收到乙方提交的上述成果性资料之日起20个工作日内完成验收工作；但因乙方自身原因导致甲方无法在上述期限内完成验收的，由此产生的费用、损失由乙方自行承担；若损失难以计算的，则以本合同项下的费用作为损失计算依据。</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行业规范或标准以及《采购公告》、本合同约定的技术、服务标准进行验收。</w:t>
      </w:r>
    </w:p>
    <w:p>
      <w:pPr>
        <w:numPr>
          <w:ilvl w:val="0"/>
          <w:numId w:val="3"/>
        </w:numPr>
        <w:spacing w:line="480" w:lineRule="exact"/>
        <w:rPr>
          <w:rFonts w:ascii="仿宋" w:hAnsi="仿宋" w:eastAsia="仿宋" w:cs="仿宋"/>
          <w:sz w:val="28"/>
          <w:szCs w:val="28"/>
        </w:rPr>
      </w:pPr>
      <w:r>
        <w:rPr>
          <w:rFonts w:hint="eastAsia" w:ascii="仿宋" w:hAnsi="仿宋" w:eastAsia="仿宋" w:cs="仿宋"/>
          <w:bCs/>
          <w:sz w:val="28"/>
          <w:szCs w:val="28"/>
        </w:rPr>
        <w:t>经甲方验收不</w:t>
      </w:r>
      <w:r>
        <w:rPr>
          <w:rFonts w:hint="eastAsia" w:ascii="仿宋" w:hAnsi="仿宋" w:eastAsia="仿宋" w:cs="仿宋"/>
          <w:sz w:val="28"/>
          <w:szCs w:val="28"/>
        </w:rPr>
        <w:t>合格</w:t>
      </w:r>
      <w:r>
        <w:rPr>
          <w:rFonts w:hint="eastAsia" w:ascii="仿宋" w:hAnsi="仿宋" w:eastAsia="仿宋" w:cs="仿宋"/>
          <w:bCs/>
          <w:sz w:val="28"/>
          <w:szCs w:val="28"/>
        </w:rPr>
        <w:t>的，乙方应在甲方指定期限内采取弥补措施并再次提交给甲方验收。</w:t>
      </w:r>
      <w:r>
        <w:rPr>
          <w:rFonts w:hint="eastAsia" w:ascii="仿宋" w:hAnsi="仿宋" w:eastAsia="仿宋" w:cs="仿宋"/>
          <w:sz w:val="28"/>
          <w:szCs w:val="28"/>
        </w:rPr>
        <w:t>若经甲方再次验收未通过的，且甲方已经支付项目费用的，甲方有权在乙方已收取款项中扣减掉“甲方认为乙方提供符合要求的服务费用”后要求乙方在收到通知后10个工作日内将剩余金额退回给甲方（乙方已经开具发票所产生的税费损失由乙方自行承担，也即不能要求甲方予以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第四条  甲方的权利和义务</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甲方为乙方提供本项目实施中所需的相关协助；</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本项目实施期间，甲方有权向乙方提出建议或具体要求；</w:t>
      </w:r>
    </w:p>
    <w:p>
      <w:pPr>
        <w:numPr>
          <w:ilvl w:val="0"/>
          <w:numId w:val="4"/>
        </w:numPr>
        <w:spacing w:line="48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若甲方发现有问题，乙方应当在接到甲方的质疑之日2日内提供相关书面说明；若甲方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，由此造成的损失，乙方负责。</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pStyle w:val="2"/>
        <w:spacing w:line="480" w:lineRule="exact"/>
        <w:ind w:firstLine="560"/>
        <w:rPr>
          <w:rFonts w:ascii="仿宋" w:hAnsi="仿宋" w:eastAsia="仿宋" w:cs="仿宋"/>
          <w:sz w:val="28"/>
          <w:szCs w:val="28"/>
        </w:rPr>
      </w:pPr>
      <w:r>
        <w:rPr>
          <w:rFonts w:hint="eastAsia" w:ascii="仿宋" w:hAnsi="仿宋" w:eastAsia="仿宋" w:cs="仿宋"/>
          <w:sz w:val="28"/>
          <w:szCs w:val="28"/>
        </w:rPr>
        <w:t>（七）乙方按照《采购公告》以及本合同要求完成的工作所产生的专题调研报告、服务效果评价等文件、资料所有权归于甲方所有，乙方应当按照甲方的要求将前述相应的资料作为成果性文件的原始数据提供给甲方。</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第五条  乙方的权利和义务</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方要求做出工作实施方案，并完成项目内容以及确保完成任务期间的食品安全、人身安全、公私财产安全、交通安全等各项安全事宜及承担责任，若因乙方原因导致出现安全事故、安全责任等情况发生的，由乙方承担全部的赔偿责任。</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项目在本合同履行过程中，非因乙方原因有可能致使合同全部不能履行或者部分不能履行的，乙方应在知晓该等事项之日起1个工作日内通知甲方，同时采取措施减少损失。</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因乙方原因，致使合同全部或者部分不能履行的，乙方承担合同不能履行的全部风险及责任，甲方不予支付未履行部分的合同价款给乙方</w:t>
      </w:r>
      <w:r>
        <w:rPr>
          <w:rFonts w:hint="eastAsia" w:ascii="仿宋" w:hAnsi="仿宋" w:eastAsia="仿宋" w:cs="仿宋"/>
          <w:sz w:val="28"/>
          <w:szCs w:val="28"/>
        </w:rPr>
        <w:t>。</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第六条  保密条款</w:t>
      </w:r>
    </w:p>
    <w:p>
      <w:pPr>
        <w:adjustRightInd w:val="0"/>
        <w:snapToGrid w:val="0"/>
        <w:spacing w:line="480" w:lineRule="exact"/>
        <w:ind w:firstLine="560" w:firstLineChars="200"/>
        <w:rPr>
          <w:rFonts w:hint="eastAsia" w:ascii="仿宋" w:hAnsi="仿宋" w:eastAsia="仿宋" w:cs="仿宋"/>
          <w:sz w:val="28"/>
          <w:szCs w:val="28"/>
          <w:lang w:bidi="ar"/>
        </w:rPr>
      </w:pPr>
      <w:r>
        <w:rPr>
          <w:rFonts w:hint="eastAsia" w:ascii="仿宋" w:hAnsi="仿宋" w:eastAsia="仿宋" w:cs="仿宋"/>
          <w:sz w:val="28"/>
          <w:szCs w:val="28"/>
          <w:lang w:bidi="ar"/>
        </w:rPr>
        <w:t>乙方承诺严格遵守国家关于保密方面的所有法律法规，对甲方及试点企业的数据及资料保密。所有工作时间内，可能或必须知道的甲方及试点企业书面资料或其他拷贝资料，在项目完成并在甲方验收后，不得保留书面或其他形式的拷贝资料，并对已知的数据、资料保密，不得泄露，否则，应当依法承担相应的法律责任包括但不限于律师费、诉讼费、赔偿款、交通费、调查费等。前述信息资料均属于永久保密期限范围，均对乙方有约束力，不因合同的变更、解除、终止而终止。</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第七条  知识产权</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乙方在项目实施过程中不得侵犯第三人知识产权以及其他权益，且保证其交付给甲方的所有成果不侵犯任何第三方的知识产权。需要使用第三人知识产权的，乙方应取得权利人许可或者授权并由乙方承担费用。如因乙方成果侵犯第三方知识产权而导致任何纠纷或索赔，由乙方承担全部法律责任并赔偿甲方因此遭受的一切损失。</w:t>
      </w:r>
    </w:p>
    <w:p>
      <w:pPr>
        <w:numPr>
          <w:ilvl w:val="0"/>
          <w:numId w:val="6"/>
        </w:numPr>
        <w:spacing w:line="480" w:lineRule="exact"/>
        <w:rPr>
          <w:rFonts w:ascii="仿宋" w:hAnsi="仿宋" w:eastAsia="仿宋" w:cs="仿宋"/>
          <w:b/>
          <w:bCs/>
          <w:sz w:val="28"/>
          <w:szCs w:val="28"/>
        </w:rPr>
      </w:pPr>
      <w:r>
        <w:rPr>
          <w:rFonts w:hint="eastAsia" w:ascii="仿宋" w:hAnsi="仿宋" w:eastAsia="仿宋" w:cs="仿宋"/>
          <w:sz w:val="28"/>
          <w:szCs w:val="28"/>
        </w:rPr>
        <w:t>除第三人依法享有知识产权的除外，乙方实施本项目所形成成果的知识产权归甲方所有，未经甲方事先书面许可乙方不得为本合同之外的任何目的、以任何形式自行使用或擅自许可任何第三方使用。</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第八条  人员派驻</w:t>
      </w:r>
    </w:p>
    <w:p>
      <w:pPr>
        <w:pStyle w:val="2"/>
        <w:numPr>
          <w:ilvl w:val="0"/>
          <w:numId w:val="7"/>
        </w:numPr>
        <w:spacing w:line="480" w:lineRule="exact"/>
        <w:ind w:firstLineChars="0"/>
        <w:textAlignment w:val="baseline"/>
        <w:rPr>
          <w:rFonts w:ascii="仿宋" w:hAnsi="仿宋" w:eastAsia="仿宋" w:cs="仿宋"/>
          <w:sz w:val="28"/>
          <w:szCs w:val="28"/>
        </w:rPr>
      </w:pPr>
      <w:r>
        <w:rPr>
          <w:rFonts w:hint="eastAsia" w:ascii="仿宋" w:hAnsi="仿宋" w:eastAsia="仿宋" w:cs="仿宋"/>
          <w:sz w:val="28"/>
          <w:szCs w:val="28"/>
        </w:rPr>
        <w:t>乙方按甲方要求派驻人员</w:t>
      </w:r>
      <w:r>
        <w:rPr>
          <w:rFonts w:ascii="仿宋" w:hAnsi="仿宋" w:eastAsia="仿宋" w:cs="仿宋"/>
          <w:sz w:val="28"/>
          <w:szCs w:val="28"/>
        </w:rPr>
        <w:t>到</w:t>
      </w:r>
      <w:r>
        <w:rPr>
          <w:rFonts w:hint="eastAsia" w:ascii="仿宋" w:hAnsi="仿宋" w:eastAsia="仿宋" w:cs="仿宋"/>
          <w:sz w:val="28"/>
          <w:szCs w:val="28"/>
        </w:rPr>
        <w:t>试点企业</w:t>
      </w:r>
      <w:r>
        <w:rPr>
          <w:rFonts w:ascii="仿宋" w:hAnsi="仿宋" w:eastAsia="仿宋" w:cs="仿宋"/>
          <w:sz w:val="28"/>
          <w:szCs w:val="28"/>
        </w:rPr>
        <w:t>提供服务，所派驻人</w:t>
      </w:r>
      <w:r>
        <w:rPr>
          <w:rFonts w:hint="eastAsia" w:ascii="仿宋" w:hAnsi="仿宋" w:eastAsia="仿宋" w:cs="仿宋"/>
          <w:sz w:val="28"/>
          <w:szCs w:val="28"/>
        </w:rPr>
        <w:t>员应熟悉项目的相关业务，如被派人员因违法违纪或无法胜任工作，乙方应根据甲方的要求在三天内更换派驻人员。</w:t>
      </w:r>
    </w:p>
    <w:p>
      <w:pPr>
        <w:pStyle w:val="2"/>
        <w:numPr>
          <w:ilvl w:val="0"/>
          <w:numId w:val="7"/>
        </w:numPr>
        <w:spacing w:line="480" w:lineRule="exact"/>
        <w:ind w:firstLineChars="0"/>
        <w:textAlignment w:val="baseline"/>
        <w:rPr>
          <w:rFonts w:ascii="仿宋" w:hAnsi="仿宋" w:eastAsia="仿宋" w:cs="仿宋"/>
          <w:sz w:val="28"/>
          <w:szCs w:val="28"/>
        </w:rPr>
      </w:pPr>
      <w:r>
        <w:rPr>
          <w:rFonts w:hint="eastAsia" w:ascii="仿宋" w:hAnsi="仿宋" w:eastAsia="仿宋" w:cs="仿宋"/>
          <w:sz w:val="28"/>
          <w:szCs w:val="28"/>
        </w:rPr>
        <w:t>被派驻人员的工资和福利待遇以及食宿开支安排等均由乙方自行负责，无须甲方及试点企业另行承担。</w:t>
      </w:r>
    </w:p>
    <w:p>
      <w:pPr>
        <w:pStyle w:val="2"/>
        <w:numPr>
          <w:ilvl w:val="0"/>
          <w:numId w:val="7"/>
        </w:numPr>
        <w:spacing w:line="480" w:lineRule="exact"/>
        <w:ind w:firstLineChars="0"/>
        <w:textAlignment w:val="baseline"/>
        <w:rPr>
          <w:rFonts w:ascii="仿宋" w:hAnsi="仿宋" w:eastAsia="仿宋" w:cs="仿宋"/>
          <w:sz w:val="28"/>
          <w:szCs w:val="28"/>
        </w:rPr>
      </w:pPr>
      <w:r>
        <w:rPr>
          <w:rFonts w:hint="eastAsia" w:ascii="仿宋" w:hAnsi="仿宋" w:eastAsia="仿宋" w:cs="仿宋"/>
          <w:sz w:val="28"/>
          <w:szCs w:val="28"/>
        </w:rPr>
        <w:t>在本合同服务期间，乙方应为乙方的雇佣人员进行投保，并对雇佣人员的劳资纠纷、伤亡所导致的损失和索赔自行承担责任，甲方不承担乙方所雇佣人员的任何用工责任。由此引起甲方或试点企业被追索责任的，一切赔偿及费用支出（包括但不限于律师费、调查费、差旅费、诉讼费、赔偿款等）等均由乙方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第九条  不可抗力</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甲、乙双方任何一方由于不可抗力原因（指任何不可预见、不可避免并且不能克服的客观情况，包括但不限于自然灾害、爆炸、火灾、水灾、战争、暴动、暴乱和流行病以及行政措施和命令）不能履行本合同时，应不可抗力发生之日起5日内书面通报另一方不能履行或不能完全履行的理由，并提供市级以上政府部门或公证机构出具的权威证明；，以减轻可能给各方造成的损失，在取得有关机构证明后，允许延期履行、部分履行或不履行本合同，并根据情况可部分或全部免予承担违约责任。</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一旦不可抗力已经停止，受影响的一方应及时通知另一方，且应恢复履行本合同项下的义务。</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第十条  违约责任</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乙方的违约责任：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1.乙方未按照合同约定及时提交项目成果性文件或逾期完成项目工作的，从逾期之日起，甲方有权要求乙方按本项目总费用的日千分之一向甲方支付违约金直到乙方提交或者完成之日止。</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（3）未经甲方同意，乙方将本合同项目部分或全部技术服务工作转让第三人负责的；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（4）乙方违反本协议第六条保密与数据安全条款的。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 乙方未能按本合同第三条约定通过最终验收，视为乙方提供的服务质量不符合约定，甲方有权按照本条第二款第(2)项规定追究乙方违约责任.</w:t>
      </w:r>
    </w:p>
    <w:p>
      <w:pPr>
        <w:spacing w:line="480" w:lineRule="exact"/>
        <w:rPr>
          <w:rFonts w:ascii="仿宋" w:hAnsi="仿宋" w:eastAsia="仿宋" w:cs="仿宋"/>
          <w:sz w:val="28"/>
          <w:szCs w:val="28"/>
        </w:rPr>
      </w:pPr>
      <w:r>
        <w:rPr>
          <w:rFonts w:hint="eastAsia" w:ascii="仿宋" w:hAnsi="仿宋" w:eastAsia="仿宋" w:cs="仿宋"/>
          <w:b/>
          <w:bCs/>
          <w:sz w:val="28"/>
          <w:szCs w:val="28"/>
        </w:rPr>
        <w:t>第十一条  双方确定，出现下列情形，致使本合同的履行成为不必要或不能的，可以解除本合同：</w:t>
      </w:r>
    </w:p>
    <w:p>
      <w:pPr>
        <w:numPr>
          <w:ilvl w:val="0"/>
          <w:numId w:val="10"/>
        </w:numPr>
        <w:spacing w:line="48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10"/>
        </w:numPr>
        <w:spacing w:line="480" w:lineRule="exact"/>
        <w:rPr>
          <w:rFonts w:ascii="仿宋" w:hAnsi="仿宋" w:eastAsia="仿宋" w:cs="仿宋"/>
          <w:sz w:val="28"/>
          <w:szCs w:val="28"/>
        </w:rPr>
      </w:pPr>
      <w:r>
        <w:rPr>
          <w:rFonts w:hint="eastAsia" w:ascii="仿宋" w:hAnsi="仿宋" w:eastAsia="仿宋" w:cs="仿宋"/>
          <w:sz w:val="28"/>
          <w:szCs w:val="28"/>
        </w:rPr>
        <w:t>因一方违约使本合同不能继续履行或没有必要继续履行。</w:t>
      </w:r>
    </w:p>
    <w:p>
      <w:pPr>
        <w:numPr>
          <w:ilvl w:val="0"/>
          <w:numId w:val="10"/>
        </w:numPr>
        <w:spacing w:line="48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出现法律法规或国家政策规定等特定情形导致本合同不能继续履行。</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第十二条  争议的解决办法</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本合同在履行过程中发生的争议，由当事人双方协商解决。协商不成的，合同双方任意一方均可向甲方所在地有管辖权的法院提起诉讼处理。</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第十三条  其他</w:t>
      </w:r>
    </w:p>
    <w:p>
      <w:pPr>
        <w:numPr>
          <w:ilvl w:val="0"/>
          <w:numId w:val="11"/>
        </w:numPr>
        <w:spacing w:line="480" w:lineRule="exact"/>
        <w:rPr>
          <w:rFonts w:ascii="仿宋" w:hAnsi="仿宋" w:eastAsia="仿宋" w:cs="仿宋"/>
          <w:sz w:val="28"/>
          <w:szCs w:val="28"/>
        </w:rPr>
      </w:pPr>
      <w:r>
        <w:rPr>
          <w:rFonts w:hint="eastAsia" w:ascii="仿宋" w:hAnsi="仿宋" w:eastAsia="仿宋" w:cs="仿宋"/>
          <w:sz w:val="28"/>
          <w:szCs w:val="28"/>
        </w:rPr>
        <w:t>合同如有未尽事宜，可以经甲、乙双方另行协商形成书面补充协议，书面补充协议经双方签字、盖章后生效。</w:t>
      </w:r>
    </w:p>
    <w:p>
      <w:pPr>
        <w:numPr>
          <w:ilvl w:val="0"/>
          <w:numId w:val="11"/>
        </w:numPr>
        <w:spacing w:line="480" w:lineRule="exact"/>
        <w:rPr>
          <w:rFonts w:ascii="仿宋" w:hAnsi="仿宋" w:eastAsia="仿宋" w:cs="仿宋"/>
          <w:sz w:val="28"/>
          <w:szCs w:val="28"/>
        </w:rPr>
      </w:pPr>
      <w:r>
        <w:rPr>
          <w:rFonts w:hint="eastAsia" w:ascii="仿宋" w:hAnsi="仿宋" w:eastAsia="仿宋" w:cs="仿宋"/>
          <w:sz w:val="28"/>
          <w:szCs w:val="28"/>
          <w:lang w:bidi="ar"/>
        </w:rPr>
        <w:t>甲、乙双方在本合同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3个工作日内通知对方，否则，视为未变更</w:t>
      </w:r>
      <w:r>
        <w:rPr>
          <w:rFonts w:hint="eastAsia" w:ascii="仿宋" w:hAnsi="仿宋" w:eastAsia="仿宋" w:cs="仿宋"/>
          <w:sz w:val="28"/>
          <w:szCs w:val="28"/>
        </w:rPr>
        <w:t>。</w:t>
      </w:r>
    </w:p>
    <w:p>
      <w:pPr>
        <w:numPr>
          <w:ilvl w:val="0"/>
          <w:numId w:val="11"/>
        </w:numPr>
        <w:spacing w:line="480" w:lineRule="exact"/>
        <w:rPr>
          <w:rFonts w:ascii="仿宋" w:hAnsi="仿宋" w:eastAsia="仿宋" w:cs="仿宋"/>
          <w:sz w:val="28"/>
          <w:szCs w:val="28"/>
        </w:rPr>
      </w:pPr>
      <w:r>
        <w:rPr>
          <w:rFonts w:hint="eastAsia" w:ascii="仿宋" w:hAnsi="仿宋" w:eastAsia="仿宋" w:cs="仿宋"/>
          <w:sz w:val="28"/>
          <w:szCs w:val="28"/>
        </w:rPr>
        <w:t>本合同一式肆份，自双方签字和盖章后生效。甲方执叁份、乙方执壹份，具有同等法律效力。</w:t>
      </w:r>
    </w:p>
    <w:p>
      <w:pPr>
        <w:pStyle w:val="9"/>
        <w:numPr>
          <w:ilvl w:val="0"/>
          <w:numId w:val="11"/>
        </w:numPr>
        <w:ind w:firstLineChars="0"/>
        <w:rPr>
          <w:rFonts w:ascii="仿宋" w:hAnsi="仿宋" w:eastAsia="仿宋" w:cs="仿宋"/>
          <w:szCs w:val="28"/>
        </w:rPr>
      </w:pPr>
      <w:r>
        <w:rPr>
          <w:rFonts w:hint="eastAsia" w:ascii="仿宋" w:hAnsi="仿宋" w:eastAsia="仿宋" w:cs="仿宋"/>
          <w:szCs w:val="28"/>
        </w:rPr>
        <w:t>以下为本合同附件，与本合同具有同等效力：</w:t>
      </w:r>
    </w:p>
    <w:p>
      <w:pPr>
        <w:pStyle w:val="9"/>
        <w:numPr>
          <w:ilvl w:val="0"/>
          <w:numId w:val="12"/>
        </w:numPr>
        <w:ind w:firstLine="608"/>
        <w:rPr>
          <w:rFonts w:ascii="仿宋" w:hAnsi="仿宋" w:eastAsia="仿宋" w:cs="仿宋"/>
          <w:szCs w:val="28"/>
        </w:rPr>
      </w:pPr>
      <w:r>
        <w:rPr>
          <w:rFonts w:hint="eastAsia" w:ascii="仿宋" w:hAnsi="仿宋" w:eastAsia="仿宋" w:cs="仿宋"/>
          <w:szCs w:val="28"/>
        </w:rPr>
        <w:t>“江门市养老服务产业标准体系规划和路线图”项目采购公告；</w:t>
      </w:r>
    </w:p>
    <w:p>
      <w:pPr>
        <w:pStyle w:val="9"/>
        <w:numPr>
          <w:ilvl w:val="0"/>
          <w:numId w:val="12"/>
        </w:numPr>
        <w:ind w:firstLine="608"/>
        <w:rPr>
          <w:rFonts w:ascii="仿宋" w:hAnsi="仿宋" w:eastAsia="仿宋" w:cs="仿宋"/>
          <w:szCs w:val="28"/>
        </w:rPr>
      </w:pPr>
      <w:r>
        <w:rPr>
          <w:rFonts w:hint="eastAsia" w:ascii="仿宋" w:hAnsi="仿宋" w:eastAsia="仿宋" w:cs="仿宋"/>
          <w:szCs w:val="28"/>
        </w:rPr>
        <w:t>江门市市场监督管理局相关项目采购结果公告；</w:t>
      </w:r>
    </w:p>
    <w:p>
      <w:pPr>
        <w:pStyle w:val="9"/>
        <w:numPr>
          <w:ilvl w:val="0"/>
          <w:numId w:val="12"/>
        </w:numPr>
        <w:ind w:firstLine="608"/>
        <w:rPr>
          <w:rFonts w:ascii="仿宋" w:hAnsi="仿宋" w:eastAsia="仿宋" w:cs="仿宋"/>
          <w:szCs w:val="28"/>
        </w:rPr>
      </w:pPr>
      <w:r>
        <w:rPr>
          <w:rFonts w:hint="eastAsia" w:ascii="仿宋" w:hAnsi="仿宋" w:eastAsia="仿宋" w:cs="仿宋"/>
          <w:szCs w:val="28"/>
        </w:rPr>
        <w:t>其他附件及补充协议等资料。</w:t>
      </w:r>
    </w:p>
    <w:p>
      <w:pPr>
        <w:spacing w:before="156" w:beforeLines="50" w:line="480" w:lineRule="exact"/>
        <w:ind w:firstLine="560" w:firstLineChars="200"/>
        <w:rPr>
          <w:rFonts w:ascii="仿宋" w:hAnsi="仿宋" w:eastAsia="仿宋" w:cs="仿宋"/>
          <w:sz w:val="28"/>
          <w:szCs w:val="28"/>
        </w:rPr>
      </w:pPr>
      <w:r>
        <w:rPr>
          <w:rFonts w:hint="eastAsia" w:ascii="仿宋" w:hAnsi="仿宋" w:eastAsia="仿宋" w:cs="仿宋"/>
          <w:sz w:val="28"/>
          <w:szCs w:val="28"/>
        </w:rPr>
        <w:t>（以下无正文）</w:t>
      </w:r>
    </w:p>
    <w:p>
      <w:pPr>
        <w:spacing w:line="480" w:lineRule="exact"/>
        <w:rPr>
          <w:rFonts w:ascii="仿宋" w:hAnsi="仿宋" w:eastAsia="仿宋" w:cs="仿宋"/>
          <w:sz w:val="28"/>
          <w:szCs w:val="28"/>
        </w:rPr>
      </w:pPr>
    </w:p>
    <w:p>
      <w:pPr>
        <w:pStyle w:val="9"/>
        <w:ind w:firstLine="608"/>
        <w:rPr>
          <w:rFonts w:ascii="仿宋" w:hAnsi="仿宋" w:eastAsia="仿宋" w:cs="仿宋"/>
          <w:szCs w:val="28"/>
        </w:rPr>
      </w:pP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 xml:space="preserve">：江门市市场监督管理局  </w:t>
      </w:r>
    </w:p>
    <w:p>
      <w:pPr>
        <w:spacing w:line="48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w:t>
      </w:r>
    </w:p>
    <w:p>
      <w:pPr>
        <w:spacing w:line="48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48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
    <w:sectPr>
      <w:footerReference r:id="rId3" w:type="default"/>
      <w:pgSz w:w="11906" w:h="16838"/>
      <w:pgMar w:top="1383" w:right="1800" w:bottom="1383"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Liberation Sans">
    <w:altName w:val="华文中宋"/>
    <w:panose1 w:val="00000000000000000000"/>
    <w:charset w:val="00"/>
    <w:family w:val="swiss"/>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Noto Sans CJK SC Regular">
    <w:altName w:val="华文中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path/>
          <v:fill on="f" focussize="0,0"/>
          <v:stroke on="f" weight="0.5pt"/>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r>
                  <w:rPr>
                    <w:rFonts w:hint="eastAsia"/>
                  </w:rPr>
                  <w:t xml:space="preserve"> 页  共 </w:t>
                </w:r>
                <w:r>
                  <w:fldChar w:fldCharType="begin"/>
                </w:r>
                <w:r>
                  <w:instrText xml:space="preserve"> NUMPAGES  \* MERGEFORMAT </w:instrText>
                </w:r>
                <w:r>
                  <w:fldChar w:fldCharType="separate"/>
                </w:r>
                <w:r>
                  <w:t>9</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280BC"/>
    <w:multiLevelType w:val="singleLevel"/>
    <w:tmpl w:val="8D1280BC"/>
    <w:lvl w:ilvl="0" w:tentative="0">
      <w:start w:val="1"/>
      <w:numFmt w:val="decimal"/>
      <w:suff w:val="nothing"/>
      <w:lvlText w:val="%1、"/>
      <w:lvlJc w:val="left"/>
    </w:lvl>
  </w:abstractNum>
  <w:abstractNum w:abstractNumId="1">
    <w:nsid w:val="92C593E5"/>
    <w:multiLevelType w:val="singleLevel"/>
    <w:tmpl w:val="92C593E5"/>
    <w:lvl w:ilvl="0" w:tentative="0">
      <w:start w:val="1"/>
      <w:numFmt w:val="decimal"/>
      <w:suff w:val="nothing"/>
      <w:lvlText w:val="%1．"/>
      <w:lvlJc w:val="left"/>
      <w:pPr>
        <w:ind w:left="-258" w:firstLine="400"/>
      </w:pPr>
      <w:rPr>
        <w:rFonts w:hint="default"/>
      </w:rPr>
    </w:lvl>
  </w:abstractNum>
  <w:abstractNum w:abstractNumId="2">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3">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4">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5">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6">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7">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8">
    <w:nsid w:val="5A42E9ED"/>
    <w:multiLevelType w:val="singleLevel"/>
    <w:tmpl w:val="5A42E9ED"/>
    <w:lvl w:ilvl="0" w:tentative="0">
      <w:start w:val="1"/>
      <w:numFmt w:val="chineseCounting"/>
      <w:suff w:val="nothing"/>
      <w:lvlText w:val="（%1）"/>
      <w:lvlJc w:val="left"/>
      <w:pPr>
        <w:ind w:left="0" w:firstLine="420"/>
      </w:pPr>
      <w:rPr>
        <w:rFonts w:hint="eastAsia"/>
      </w:rPr>
    </w:lvl>
  </w:abstractNum>
  <w:abstractNum w:abstractNumId="9">
    <w:nsid w:val="6202D3F0"/>
    <w:multiLevelType w:val="singleLevel"/>
    <w:tmpl w:val="6202D3F0"/>
    <w:lvl w:ilvl="0" w:tentative="0">
      <w:start w:val="1"/>
      <w:numFmt w:val="chineseCounting"/>
      <w:suff w:val="nothing"/>
      <w:lvlText w:val="（%1）"/>
      <w:lvlJc w:val="left"/>
      <w:pPr>
        <w:ind w:left="0" w:firstLine="420"/>
      </w:pPr>
      <w:rPr>
        <w:rFonts w:hint="eastAsia"/>
      </w:rPr>
    </w:lvl>
  </w:abstractNum>
  <w:abstractNum w:abstractNumId="10">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11">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4"/>
  </w:num>
  <w:num w:numId="2">
    <w:abstractNumId w:val="0"/>
  </w:num>
  <w:num w:numId="3">
    <w:abstractNumId w:val="10"/>
  </w:num>
  <w:num w:numId="4">
    <w:abstractNumId w:val="11"/>
  </w:num>
  <w:num w:numId="5">
    <w:abstractNumId w:val="2"/>
  </w:num>
  <w:num w:numId="6">
    <w:abstractNumId w:val="8"/>
  </w:num>
  <w:num w:numId="7">
    <w:abstractNumId w:val="9"/>
  </w:num>
  <w:num w:numId="8">
    <w:abstractNumId w:val="6"/>
  </w:num>
  <w:num w:numId="9">
    <w:abstractNumId w:val="5"/>
  </w:num>
  <w:num w:numId="10">
    <w:abstractNumId w:val="3"/>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
  <w:drawingGridVerticalSpacing w:val="1"/>
  <w:displayHorizontalDrawingGridEvery w:val="0"/>
  <w:displayVerticalDrawingGridEvery w:val="0"/>
  <w:doNotUseMarginsForDrawingGridOrigin w:val="1"/>
  <w:drawingGridHorizontalOrigin w:val="0"/>
  <w:drawingGridVerticalOrigin w:val="0"/>
  <w:characterSpacingControl w:val="compressPunctuation"/>
  <w:doNotValidateAgainstSchema/>
  <w:doNotDemarcateInvalidXml/>
  <w:hdrShapeDefaults>
    <o:shapelayout v:ext="edit">
      <o:idmap v:ext="edit" data="3,4"/>
    </o:shapelayout>
  </w:hdrShapeDefaults>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A3BF50E8"/>
    <w:rsid w:val="A79BBA3A"/>
    <w:rsid w:val="E3FB01F5"/>
    <w:rsid w:val="FFD89A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caption"/>
    <w:basedOn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List"/>
    <w:basedOn w:val="4"/>
    <w:qFormat/>
    <w:uiPriority w:val="0"/>
  </w:style>
  <w:style w:type="paragraph" w:styleId="8">
    <w:name w:val="Normal (Web)"/>
    <w:basedOn w:val="1"/>
    <w:qFormat/>
    <w:uiPriority w:val="0"/>
    <w:rPr>
      <w:sz w:val="24"/>
    </w:rPr>
  </w:style>
  <w:style w:type="paragraph" w:styleId="9">
    <w:name w:val="Body Text First Indent 2"/>
    <w:basedOn w:val="5"/>
    <w:qFormat/>
    <w:uiPriority w:val="0"/>
    <w:pPr>
      <w:ind w:firstLine="420" w:firstLineChars="200"/>
    </w:pPr>
    <w:rPr>
      <w:rFonts w:ascii="宋体" w:hAnsi="MS Sans Serif"/>
      <w:spacing w:val="12"/>
    </w:rPr>
  </w:style>
  <w:style w:type="character" w:customStyle="1" w:styleId="12">
    <w:name w:val="默认段落字体1"/>
    <w:qFormat/>
    <w:uiPriority w:val="0"/>
  </w:style>
  <w:style w:type="paragraph" w:customStyle="1" w:styleId="13">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4">
    <w:name w:val="Index"/>
    <w:basedOn w:val="1"/>
    <w:qFormat/>
    <w:uiPriority w:val="0"/>
    <w:pPr>
      <w:widowControl w:val="0"/>
      <w:suppressLineNumbers/>
      <w:suppressAutoHyphens/>
    </w:pPr>
  </w:style>
  <w:style w:type="paragraph" w:customStyle="1" w:styleId="15">
    <w:name w:val="UserStyle_2"/>
    <w:basedOn w:val="1"/>
    <w:qFormat/>
    <w:uiPriority w:val="0"/>
    <w:pPr>
      <w:jc w:val="left"/>
    </w:pPr>
    <w:rPr>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TotalTime>2</TotalTime>
  <ScaleCrop>false</ScaleCrop>
  <LinksUpToDate>false</LinksUpToDate>
  <Application>WPS Office_11.8.2.11763_F1E327BC-269C-435d-A152-05C5408002CA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2018-11-28T01:47:00Z</dcterms:created>
  <dc:creator>uos</dc:creator>
  <cp:lastModifiedBy>greatwall</cp:lastModifiedBy>
  <dcterms:modified xsi:type="dcterms:W3CDTF">2026-04-01T15:40:07Z</dcterms:modified>
  <dc:title>“江门市养老服务产业标准体系规划</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2C5A937606F8DEF72A7642692DDA6246_42</vt:lpwstr>
  </property>
</Properties>
</file>