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宋体" w:hAnsi="宋体" w:eastAsia="宋体" w:cs="宋体"/>
          <w:b/>
          <w:color w:val="000000"/>
          <w:sz w:val="44"/>
          <w:szCs w:val="44"/>
          <w:shd w:val="clear" w:color="auto" w:fill="FFFFFF"/>
        </w:rPr>
      </w:pPr>
      <w:r>
        <w:rPr>
          <w:rFonts w:hint="eastAsia" w:ascii="宋体" w:hAnsi="宋体" w:eastAsia="宋体" w:cs="宋体"/>
          <w:b/>
          <w:color w:val="000000"/>
          <w:sz w:val="44"/>
          <w:szCs w:val="44"/>
          <w:shd w:val="clear" w:color="auto" w:fill="FFFFFF"/>
        </w:rPr>
        <w:t>2025年加强企业产品和服务标准</w:t>
      </w:r>
      <w:r>
        <w:rPr>
          <w:rFonts w:ascii="宋体" w:hAnsi="宋体" w:eastAsia="宋体" w:cs="宋体"/>
          <w:b/>
          <w:color w:val="000000"/>
          <w:sz w:val="44"/>
          <w:szCs w:val="44"/>
          <w:shd w:val="clear" w:color="auto" w:fill="FFFFFF"/>
        </w:rPr>
        <w:br w:type="textWrapping"/>
      </w:r>
      <w:r>
        <w:rPr>
          <w:rFonts w:hint="eastAsia" w:ascii="宋体" w:hAnsi="宋体" w:eastAsia="宋体" w:cs="宋体"/>
          <w:b/>
          <w:color w:val="000000"/>
          <w:sz w:val="44"/>
          <w:szCs w:val="44"/>
          <w:shd w:val="clear" w:color="auto" w:fill="FFFFFF"/>
        </w:rPr>
        <w:t>自我声明公开工作项目合同</w:t>
      </w:r>
    </w:p>
    <w:p>
      <w:pPr>
        <w:spacing w:line="480" w:lineRule="exact"/>
        <w:jc w:val="center"/>
        <w:rPr>
          <w:rFonts w:ascii="宋体" w:hAnsi="宋体" w:eastAsia="宋体" w:cs="宋体"/>
          <w:b/>
          <w:color w:val="000000"/>
          <w:sz w:val="32"/>
          <w:szCs w:val="32"/>
          <w:shd w:val="clear" w:color="auto" w:fill="FFFFFF"/>
        </w:rPr>
      </w:pPr>
    </w:p>
    <w:p>
      <w:pPr>
        <w:spacing w:line="48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江门市东华二路7号</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b/>
          <w:sz w:val="28"/>
          <w:szCs w:val="28"/>
          <w:u w:val="single"/>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 xml:space="preserve">：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color w:val="666666"/>
          <w:sz w:val="28"/>
          <w:szCs w:val="28"/>
          <w:shd w:val="clear" w:color="auto" w:fill="FFFFFF"/>
        </w:rPr>
      </w:pPr>
    </w:p>
    <w:p>
      <w:pPr>
        <w:widowControl/>
        <w:spacing w:line="480" w:lineRule="exact"/>
        <w:ind w:firstLine="618" w:firstLineChars="221"/>
        <w:rPr>
          <w:rFonts w:ascii="仿宋" w:hAnsi="仿宋" w:eastAsia="仿宋" w:cs="仿宋"/>
          <w:b/>
          <w:bCs/>
          <w:sz w:val="28"/>
          <w:szCs w:val="28"/>
        </w:rPr>
      </w:pPr>
      <w:r>
        <w:rPr>
          <w:rFonts w:hint="eastAsia" w:ascii="仿宋" w:hAnsi="仿宋" w:eastAsia="仿宋" w:cs="仿宋"/>
          <w:sz w:val="28"/>
          <w:szCs w:val="28"/>
        </w:rPr>
        <w:t>甲、乙双方根据“2025年加强企业产品和服务标准自我声明公开工作项目”（项目编号：</w:t>
      </w:r>
      <w:r>
        <w:rPr>
          <w:rFonts w:hint="eastAsia" w:ascii="仿宋" w:hAnsi="仿宋" w:eastAsia="仿宋" w:cs="仿宋"/>
          <w:sz w:val="28"/>
          <w:szCs w:val="28"/>
          <w:lang w:val="en-US" w:eastAsia="zh-CN"/>
        </w:rPr>
        <w:t>2025028</w:t>
      </w:r>
      <w:r>
        <w:rPr>
          <w:rFonts w:hint="eastAsia" w:ascii="仿宋" w:hAnsi="仿宋" w:eastAsia="仿宋" w:cs="仿宋"/>
          <w:sz w:val="28"/>
          <w:szCs w:val="28"/>
        </w:rPr>
        <w:t>）的采购公告、项目采购结果公告的要求，依据《中华人民共和国民法典》《中华人民共和国政府采购法》《中华人民共和国标准化法》及其实施条例等相关法律法规的规定，经双方协商，本着平等、自愿、公平和诚实信用的原则，一致同意签订本合同如下</w:t>
      </w:r>
      <w:r>
        <w:rPr>
          <w:rFonts w:hint="eastAsia" w:ascii="仿宋" w:hAnsi="仿宋" w:eastAsia="仿宋" w:cs="仿宋"/>
          <w:color w:val="000000"/>
          <w:sz w:val="28"/>
          <w:szCs w:val="28"/>
        </w:rPr>
        <w:t xml:space="preserve">： </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 xml:space="preserve">第一条  项目内容 </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甲方委托乙方就“2025年加强企业产品和服务标准自我声明公开工作项目”提供服务，具体服务内容及要求如下：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1、对</w:t>
      </w:r>
      <w:r>
        <w:rPr>
          <w:rFonts w:ascii="仿宋" w:hAnsi="仿宋" w:eastAsia="仿宋" w:cs="仿宋"/>
          <w:sz w:val="28"/>
          <w:szCs w:val="28"/>
        </w:rPr>
        <w:t>不少于2</w:t>
      </w:r>
      <w:r>
        <w:rPr>
          <w:rFonts w:hint="eastAsia" w:ascii="仿宋" w:hAnsi="仿宋" w:eastAsia="仿宋" w:cs="仿宋"/>
          <w:sz w:val="28"/>
          <w:szCs w:val="28"/>
        </w:rPr>
        <w:t>5</w:t>
      </w:r>
      <w:r>
        <w:rPr>
          <w:rFonts w:ascii="仿宋" w:hAnsi="仿宋" w:eastAsia="仿宋" w:cs="仿宋"/>
          <w:sz w:val="28"/>
          <w:szCs w:val="28"/>
        </w:rPr>
        <w:t>项的自我声明公开的企业标准和团体标准内容实施监督检查</w:t>
      </w:r>
      <w:r>
        <w:rPr>
          <w:rFonts w:hint="eastAsia" w:ascii="仿宋" w:hAnsi="仿宋" w:eastAsia="仿宋" w:cs="仿宋"/>
          <w:sz w:val="28"/>
          <w:szCs w:val="28"/>
        </w:rPr>
        <w:t>。</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2、检查</w:t>
      </w:r>
      <w:r>
        <w:rPr>
          <w:rFonts w:ascii="仿宋" w:hAnsi="仿宋" w:eastAsia="仿宋" w:cs="仿宋"/>
          <w:sz w:val="28"/>
          <w:szCs w:val="28"/>
        </w:rPr>
        <w:t>企业自我声明公开的标准内容是否符合</w:t>
      </w:r>
      <w:r>
        <w:rPr>
          <w:rFonts w:hint="eastAsia" w:ascii="仿宋" w:hAnsi="仿宋" w:eastAsia="仿宋" w:cs="仿宋"/>
          <w:sz w:val="28"/>
          <w:szCs w:val="28"/>
        </w:rPr>
        <w:t>各级</w:t>
      </w:r>
      <w:r>
        <w:rPr>
          <w:rFonts w:ascii="仿宋" w:hAnsi="仿宋" w:eastAsia="仿宋" w:cs="仿宋"/>
          <w:sz w:val="28"/>
          <w:szCs w:val="28"/>
        </w:rPr>
        <w:t>法律法规和强制性标准的要求</w:t>
      </w:r>
      <w:r>
        <w:rPr>
          <w:rFonts w:hint="eastAsia" w:ascii="仿宋" w:hAnsi="仿宋" w:eastAsia="仿宋" w:cs="仿宋"/>
          <w:sz w:val="28"/>
          <w:szCs w:val="28"/>
        </w:rPr>
        <w:t>。</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3、协助甲方开展政策宣贯及技术指导工作，技术指导企业新增企业标准和团体标准自我声明公开数不少于</w:t>
      </w:r>
      <w:r>
        <w:rPr>
          <w:rFonts w:ascii="仿宋" w:hAnsi="仿宋" w:eastAsia="仿宋" w:cs="仿宋"/>
          <w:sz w:val="28"/>
          <w:szCs w:val="28"/>
        </w:rPr>
        <w:t>12</w:t>
      </w:r>
      <w:r>
        <w:rPr>
          <w:rFonts w:hint="eastAsia" w:ascii="仿宋" w:hAnsi="仿宋" w:eastAsia="仿宋" w:cs="仿宋"/>
          <w:sz w:val="28"/>
          <w:szCs w:val="28"/>
        </w:rPr>
        <w:t>0个。</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4、</w:t>
      </w:r>
      <w:r>
        <w:rPr>
          <w:rFonts w:ascii="仿宋" w:hAnsi="仿宋" w:eastAsia="仿宋" w:cs="仿宋"/>
          <w:sz w:val="28"/>
          <w:szCs w:val="28"/>
        </w:rPr>
        <w:t>形成一份202</w:t>
      </w:r>
      <w:r>
        <w:rPr>
          <w:rFonts w:hint="eastAsia" w:ascii="仿宋" w:hAnsi="仿宋" w:eastAsia="仿宋" w:cs="仿宋"/>
          <w:sz w:val="28"/>
          <w:szCs w:val="28"/>
        </w:rPr>
        <w:t>5</w:t>
      </w:r>
      <w:r>
        <w:rPr>
          <w:rFonts w:ascii="仿宋" w:hAnsi="仿宋" w:eastAsia="仿宋" w:cs="仿宋"/>
          <w:sz w:val="28"/>
          <w:szCs w:val="28"/>
        </w:rPr>
        <w:t>年度</w:t>
      </w:r>
      <w:r>
        <w:rPr>
          <w:rFonts w:hint="eastAsia" w:ascii="仿宋" w:hAnsi="仿宋" w:eastAsia="仿宋" w:cs="仿宋"/>
          <w:sz w:val="28"/>
          <w:szCs w:val="28"/>
        </w:rPr>
        <w:t>企业产品和服务标准自我声明公开及标准技术监督检查技术分析</w:t>
      </w:r>
      <w:r>
        <w:rPr>
          <w:rFonts w:ascii="仿宋" w:hAnsi="仿宋" w:eastAsia="仿宋" w:cs="仿宋"/>
          <w:sz w:val="28"/>
          <w:szCs w:val="28"/>
        </w:rPr>
        <w:t>报告。</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5、对监督检查过程中发现的问题，需通知相应的企业/团体进行整改并落实报告其整改进度。</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6、确保服务队伍人数不少于1名。</w:t>
      </w:r>
    </w:p>
    <w:p>
      <w:pPr>
        <w:spacing w:line="480" w:lineRule="exact"/>
        <w:ind w:firstLine="560" w:firstLineChars="200"/>
        <w:rPr>
          <w:szCs w:val="21"/>
        </w:rPr>
      </w:pPr>
      <w:r>
        <w:rPr>
          <w:rFonts w:hint="eastAsia" w:ascii="仿宋" w:hAnsi="仿宋" w:eastAsia="仿宋" w:cs="仿宋"/>
          <w:sz w:val="28"/>
          <w:szCs w:val="28"/>
        </w:rPr>
        <w:t>7、一旦发生不可预见的紧急情况，能立即开展检查工作，并应当在15分钟内响应采购人需求，30分钟内到达指定地点提供协助。</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numPr>
          <w:ilvl w:val="0"/>
          <w:numId w:val="1"/>
        </w:numPr>
        <w:spacing w:line="480" w:lineRule="exact"/>
        <w:rPr>
          <w:rFonts w:ascii="仿宋" w:hAnsi="仿宋" w:eastAsia="仿宋" w:cs="仿宋"/>
          <w:bCs/>
          <w:sz w:val="28"/>
          <w:szCs w:val="28"/>
        </w:rPr>
      </w:pPr>
      <w:r>
        <w:rPr>
          <w:rFonts w:hint="eastAsia" w:ascii="仿宋" w:hAnsi="仿宋" w:eastAsia="仿宋" w:cs="仿宋"/>
          <w:color w:val="000000"/>
          <w:sz w:val="28"/>
          <w:szCs w:val="28"/>
        </w:rPr>
        <w:t>乙方向甲方提供服务的合同期限为</w:t>
      </w:r>
      <w:r>
        <w:rPr>
          <w:rFonts w:hint="eastAsia" w:ascii="仿宋" w:hAnsi="仿宋" w:eastAsia="仿宋" w:cs="仿宋"/>
          <w:color w:val="000000"/>
          <w:sz w:val="28"/>
          <w:szCs w:val="28"/>
          <w:u w:val="single"/>
        </w:rPr>
        <w:t>自本合同签订生效之日起算至2025年11月30日。</w:t>
      </w:r>
    </w:p>
    <w:p>
      <w:pPr>
        <w:numPr>
          <w:ilvl w:val="0"/>
          <w:numId w:val="1"/>
        </w:numPr>
        <w:spacing w:line="480" w:lineRule="exact"/>
        <w:rPr>
          <w:rFonts w:hint="eastAsia" w:ascii="仿宋" w:hAnsi="仿宋" w:eastAsia="仿宋" w:cs="仿宋"/>
          <w:color w:val="000000"/>
          <w:sz w:val="28"/>
          <w:szCs w:val="28"/>
        </w:rPr>
      </w:pPr>
      <w:r>
        <w:rPr>
          <w:rFonts w:hint="eastAsia" w:ascii="仿宋" w:hAnsi="仿宋" w:eastAsia="仿宋" w:cs="仿宋"/>
          <w:sz w:val="28"/>
          <w:szCs w:val="28"/>
        </w:rPr>
        <w:t>乙方向甲方提供服务可获得的项目技术服</w:t>
      </w:r>
      <w:r>
        <w:rPr>
          <w:rFonts w:hint="eastAsia" w:ascii="仿宋" w:hAnsi="仿宋" w:eastAsia="仿宋" w:cs="仿宋"/>
          <w:color w:val="000000"/>
          <w:sz w:val="28"/>
          <w:szCs w:val="28"/>
        </w:rPr>
        <w:t>务总费用（即项目总费用）为</w:t>
      </w:r>
      <w:r>
        <w:rPr>
          <w:rFonts w:hint="eastAsia" w:ascii="仿宋" w:hAnsi="仿宋" w:eastAsia="仿宋" w:cs="仿宋"/>
          <w:bCs/>
          <w:sz w:val="28"/>
          <w:szCs w:val="28"/>
          <w:u w:val="single"/>
        </w:rPr>
        <w:t>人民币贰万伍仟元整（¥25000.00元）</w:t>
      </w:r>
      <w:r>
        <w:rPr>
          <w:rFonts w:hint="eastAsia" w:ascii="仿宋" w:hAnsi="仿宋" w:eastAsia="仿宋" w:cs="仿宋"/>
          <w:bCs/>
          <w:color w:val="666666"/>
          <w:sz w:val="28"/>
          <w:szCs w:val="28"/>
          <w:shd w:val="clear" w:color="auto" w:fill="FFFFFF"/>
        </w:rPr>
        <w:t>。</w:t>
      </w:r>
      <w:r>
        <w:rPr>
          <w:rFonts w:hint="eastAsia" w:ascii="仿宋" w:hAnsi="仿宋" w:eastAsia="仿宋" w:cs="仿宋"/>
          <w:color w:val="000000"/>
          <w:sz w:val="28"/>
          <w:szCs w:val="28"/>
        </w:rPr>
        <w:t>项目总费用为含税价，且已包含甲方应付所有费用。</w:t>
      </w:r>
    </w:p>
    <w:p>
      <w:pPr>
        <w:numPr>
          <w:ilvl w:val="0"/>
          <w:numId w:val="1"/>
        </w:numPr>
        <w:spacing w:line="480" w:lineRule="exact"/>
        <w:rPr>
          <w:rFonts w:ascii="仿宋" w:hAnsi="仿宋" w:eastAsia="仿宋" w:cs="仿宋"/>
          <w:sz w:val="28"/>
          <w:szCs w:val="28"/>
        </w:rPr>
      </w:pPr>
      <w:r>
        <w:rPr>
          <w:rFonts w:hint="eastAsia" w:ascii="仿宋" w:hAnsi="仿宋" w:eastAsia="仿宋" w:cs="仿宋"/>
          <w:color w:val="000000"/>
          <w:sz w:val="28"/>
          <w:szCs w:val="28"/>
        </w:rPr>
        <w:t>付款时间、方式</w:t>
      </w:r>
      <w:r>
        <w:rPr>
          <w:rFonts w:hint="eastAsia" w:ascii="仿宋" w:hAnsi="仿宋" w:eastAsia="仿宋" w:cs="仿宋"/>
          <w:sz w:val="28"/>
          <w:szCs w:val="28"/>
        </w:rPr>
        <w:t>。</w:t>
      </w:r>
    </w:p>
    <w:p>
      <w:pPr>
        <w:pStyle w:val="2"/>
        <w:numPr>
          <w:ilvl w:val="0"/>
          <w:numId w:val="2"/>
        </w:numPr>
        <w:spacing w:line="480" w:lineRule="exact"/>
        <w:ind w:firstLine="560"/>
        <w:rPr>
          <w:rFonts w:ascii="仿宋" w:hAnsi="仿宋" w:eastAsia="仿宋" w:cs="仿宋"/>
          <w:sz w:val="28"/>
          <w:szCs w:val="28"/>
        </w:rPr>
      </w:pPr>
      <w:r>
        <w:rPr>
          <w:rFonts w:hint="eastAsia" w:ascii="仿宋" w:hAnsi="仿宋" w:eastAsia="仿宋" w:cs="仿宋"/>
          <w:sz w:val="28"/>
          <w:szCs w:val="28"/>
        </w:rPr>
        <w:t>本项目经甲方验收合格后，甲方收到乙方开具的相对应金额发票之日起60日内一次性支付项目费用给乙方，即人民币贰万伍仟元整（</w:t>
      </w:r>
      <w:r>
        <w:rPr>
          <w:rFonts w:hint="eastAsia" w:ascii="仿宋" w:hAnsi="仿宋" w:eastAsia="仿宋" w:cs="仿宋"/>
          <w:bCs/>
          <w:sz w:val="28"/>
          <w:szCs w:val="28"/>
          <w:u w:val="single"/>
        </w:rPr>
        <w:t>¥25000.00元</w:t>
      </w:r>
      <w:r>
        <w:rPr>
          <w:rFonts w:hint="eastAsia" w:ascii="仿宋" w:hAnsi="仿宋" w:eastAsia="仿宋" w:cs="仿宋"/>
          <w:sz w:val="28"/>
          <w:szCs w:val="28"/>
        </w:rPr>
        <w:t>）。</w:t>
      </w:r>
    </w:p>
    <w:p>
      <w:pPr>
        <w:pStyle w:val="2"/>
        <w:keepNext w:val="0"/>
        <w:keepLines w:val="0"/>
        <w:pageBreakBefore w:val="0"/>
        <w:kinsoku/>
        <w:wordWrap/>
        <w:overflowPunct/>
        <w:topLinePunct w:val="0"/>
        <w:autoSpaceDE/>
        <w:autoSpaceDN/>
        <w:bidi w:val="0"/>
        <w:adjustRightInd/>
        <w:snapToGrid/>
        <w:spacing w:beforeAutospacing="0" w:afterAutospacing="0" w:line="480" w:lineRule="exact"/>
        <w:ind w:firstLine="562"/>
        <w:textAlignment w:val="auto"/>
        <w:rPr>
          <w:b/>
        </w:rPr>
      </w:pPr>
      <w:r>
        <w:rPr>
          <w:rFonts w:ascii="仿宋" w:hAnsi="仿宋" w:eastAsia="仿宋" w:cs="仿宋"/>
          <w:b/>
          <w:sz w:val="28"/>
          <w:szCs w:val="28"/>
        </w:rPr>
        <w:t>2</w:t>
      </w:r>
      <w:r>
        <w:rPr>
          <w:rFonts w:hint="eastAsia" w:ascii="仿宋" w:hAnsi="仿宋" w:eastAsia="仿宋" w:cs="仿宋"/>
          <w:b/>
          <w:sz w:val="28"/>
          <w:szCs w:val="28"/>
        </w:rPr>
        <w:t>、乙方确认：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如因财政资金的下达、拨付问题导致付款延迟的，不视为甲方违约，乙方不能据此追究甲方逾期付款的违约责任。</w:t>
      </w:r>
    </w:p>
    <w:p>
      <w:pPr>
        <w:keepNext w:val="0"/>
        <w:keepLines w:val="0"/>
        <w:pageBreakBefore w:val="0"/>
        <w:numPr>
          <w:ilvl w:val="0"/>
          <w:numId w:val="1"/>
        </w:numPr>
        <w:kinsoku/>
        <w:wordWrap/>
        <w:overflowPunct/>
        <w:topLinePunct w:val="0"/>
        <w:autoSpaceDE/>
        <w:autoSpaceDN/>
        <w:bidi w:val="0"/>
        <w:adjustRightInd/>
        <w:snapToGrid/>
        <w:spacing w:beforeAutospacing="0" w:afterAutospacing="0" w:line="480" w:lineRule="exact"/>
        <w:textAlignment w:val="auto"/>
        <w:rPr>
          <w:rFonts w:ascii="仿宋" w:hAnsi="仿宋" w:eastAsia="仿宋" w:cs="仿宋"/>
          <w:sz w:val="28"/>
          <w:szCs w:val="28"/>
        </w:rPr>
      </w:pPr>
      <w:r>
        <w:rPr>
          <w:rFonts w:hint="eastAsia" w:ascii="仿宋" w:hAnsi="仿宋" w:eastAsia="仿宋" w:cs="仿宋"/>
          <w:sz w:val="28"/>
          <w:szCs w:val="28"/>
        </w:rPr>
        <w:t>乙方账户信息如下：</w:t>
      </w:r>
    </w:p>
    <w:p>
      <w:pPr>
        <w:keepNext w:val="0"/>
        <w:keepLines w:val="0"/>
        <w:pageBreakBefore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1.开户名：</w:t>
      </w:r>
      <w:r>
        <w:rPr>
          <w:rFonts w:ascii="仿宋" w:hAnsi="仿宋" w:eastAsia="仿宋" w:cs="仿宋"/>
          <w:sz w:val="28"/>
          <w:szCs w:val="28"/>
          <w:u w:val="single"/>
        </w:rPr>
        <w:t xml:space="preserve">                        </w:t>
      </w:r>
    </w:p>
    <w:p>
      <w:pPr>
        <w:keepNext w:val="0"/>
        <w:keepLines w:val="0"/>
        <w:pageBreakBefore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u w:val="single"/>
        </w:rPr>
      </w:pPr>
      <w:r>
        <w:rPr>
          <w:rFonts w:hint="eastAsia" w:ascii="仿宋" w:hAnsi="仿宋" w:eastAsia="仿宋" w:cs="仿宋"/>
          <w:sz w:val="28"/>
          <w:szCs w:val="28"/>
        </w:rPr>
        <w:t>2.开户行：</w:t>
      </w:r>
      <w:r>
        <w:rPr>
          <w:rFonts w:ascii="仿宋" w:hAnsi="仿宋" w:eastAsia="仿宋" w:cs="仿宋"/>
          <w:sz w:val="28"/>
          <w:szCs w:val="28"/>
          <w:u w:val="single"/>
        </w:rPr>
        <w:t xml:space="preserve">                        </w:t>
      </w:r>
    </w:p>
    <w:p>
      <w:pPr>
        <w:keepNext w:val="0"/>
        <w:keepLines w:val="0"/>
        <w:pageBreakBefore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u w:val="single"/>
        </w:rPr>
      </w:pPr>
      <w:r>
        <w:rPr>
          <w:rFonts w:hint="eastAsia" w:ascii="仿宋" w:hAnsi="仿宋" w:eastAsia="仿宋" w:cs="仿宋"/>
          <w:sz w:val="28"/>
          <w:szCs w:val="28"/>
        </w:rPr>
        <w:t>3.账  号：</w:t>
      </w:r>
      <w:r>
        <w:rPr>
          <w:rFonts w:ascii="仿宋" w:hAnsi="仿宋" w:eastAsia="仿宋" w:cs="仿宋"/>
          <w:sz w:val="28"/>
          <w:szCs w:val="28"/>
          <w:u w:val="single"/>
        </w:rPr>
        <w:t xml:space="preserve">                        </w:t>
      </w:r>
    </w:p>
    <w:p>
      <w:pPr>
        <w:pStyle w:val="8"/>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甲方开票信息如下：</w:t>
      </w:r>
    </w:p>
    <w:p>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lang w:bidi="ar"/>
        </w:rPr>
        <w:t>1.单位名称：江门市市场监督管理局</w:t>
      </w:r>
    </w:p>
    <w:p>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lang w:bidi="ar"/>
        </w:rPr>
      </w:pPr>
      <w:r>
        <w:rPr>
          <w:rFonts w:hint="eastAsia" w:ascii="仿宋" w:hAnsi="仿宋" w:eastAsia="仿宋" w:cs="仿宋"/>
          <w:sz w:val="28"/>
          <w:szCs w:val="28"/>
          <w:lang w:bidi="ar"/>
        </w:rPr>
        <w:t>2.统一</w:t>
      </w:r>
      <w:r>
        <w:rPr>
          <w:rFonts w:hint="eastAsia" w:ascii="仿宋" w:hAnsi="仿宋" w:eastAsia="仿宋" w:cs="仿宋"/>
          <w:sz w:val="28"/>
          <w:szCs w:val="28"/>
          <w:lang w:eastAsia="zh-CN" w:bidi="ar"/>
        </w:rPr>
        <w:t>社会</w:t>
      </w:r>
      <w:bookmarkStart w:id="0" w:name="_GoBack"/>
      <w:bookmarkEnd w:id="0"/>
      <w:r>
        <w:rPr>
          <w:rFonts w:hint="eastAsia" w:ascii="仿宋" w:hAnsi="仿宋" w:eastAsia="仿宋" w:cs="仿宋"/>
          <w:sz w:val="28"/>
          <w:szCs w:val="28"/>
          <w:lang w:bidi="ar"/>
        </w:rPr>
        <w:t>信用代码：11440700MB2C90725T</w:t>
      </w:r>
    </w:p>
    <w:p>
      <w:pPr>
        <w:spacing w:line="480" w:lineRule="exact"/>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  验收方式</w:t>
      </w:r>
      <w:r>
        <w:rPr>
          <w:rFonts w:hint="eastAsia" w:ascii="仿宋" w:hAnsi="仿宋" w:eastAsia="仿宋" w:cs="仿宋"/>
          <w:color w:val="666666"/>
          <w:sz w:val="28"/>
          <w:szCs w:val="28"/>
          <w:shd w:val="clear" w:color="auto" w:fill="FFFFFF"/>
        </w:rPr>
        <w:t xml:space="preserve"> </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验收时间：本项目结束之日起</w:t>
      </w:r>
      <w:r>
        <w:rPr>
          <w:rFonts w:hint="eastAsia" w:ascii="仿宋" w:hAnsi="仿宋" w:eastAsia="仿宋" w:cs="仿宋"/>
          <w:sz w:val="28"/>
          <w:szCs w:val="28"/>
          <w:u w:val="single"/>
        </w:rPr>
        <w:t xml:space="preserve"> 5 </w:t>
      </w:r>
      <w:r>
        <w:rPr>
          <w:rFonts w:hint="eastAsia" w:ascii="仿宋" w:hAnsi="仿宋" w:eastAsia="仿宋" w:cs="仿宋"/>
          <w:sz w:val="28"/>
          <w:szCs w:val="28"/>
        </w:rPr>
        <w:t>个工作日内，乙方应按采购公告及甲方要求提交本项目相关的专题调研报告、服务效果评价、文件、资料等成果性资料给甲方进行验收，甲方在收到乙方提交的上述成果性资料之日起20个工作日内完成验收工作；但因乙方自身原因导致甲方无法在上述期限内完成验收的，由此产生的费用、损失由乙方自行承担；若损失难以计算的，则以本合同项下的费用作为损失计算依据。</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行业规范或标准以及《采购公告》、本合同约定的技术、服务标准进行验收。</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bCs/>
          <w:sz w:val="28"/>
          <w:szCs w:val="28"/>
        </w:rPr>
        <w:t>经甲方验收不</w:t>
      </w:r>
      <w:r>
        <w:rPr>
          <w:rFonts w:hint="eastAsia" w:ascii="仿宋" w:hAnsi="仿宋" w:eastAsia="仿宋" w:cs="仿宋"/>
          <w:sz w:val="28"/>
          <w:szCs w:val="28"/>
        </w:rPr>
        <w:t>合格</w:t>
      </w:r>
      <w:r>
        <w:rPr>
          <w:rFonts w:hint="eastAsia" w:ascii="仿宋" w:hAnsi="仿宋" w:eastAsia="仿宋" w:cs="仿宋"/>
          <w:bCs/>
          <w:sz w:val="28"/>
          <w:szCs w:val="28"/>
        </w:rPr>
        <w:t>的，乙方应在甲方指定期限内采取弥补措施并再次提交给甲方验收；验收合格后由甲方和乙方共同签字确认并作为结算及甲方支付合同项目总费用的依据。</w:t>
      </w:r>
    </w:p>
    <w:p>
      <w:pPr>
        <w:numPr>
          <w:ilvl w:val="0"/>
          <w:numId w:val="3"/>
        </w:numPr>
        <w:spacing w:line="48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若经甲方再次验收未通过的，且甲方已经支付项目费用的，甲方有权在乙方已收取款项中扣减掉“甲方认为乙方提供符合要求的服务费用”后要求乙方将剩余金额退回给甲方（乙方已经开具发票所产生的税费损失由乙方自行承担，也即不能要求甲方予以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第四条  甲方的权利和义务</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甲方为乙方提供本项目实施中所需的相关协助；</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本项目实施期间，甲方有权向乙方提出建议或具体要求；</w:t>
      </w:r>
    </w:p>
    <w:p>
      <w:pPr>
        <w:numPr>
          <w:ilvl w:val="0"/>
          <w:numId w:val="4"/>
        </w:numPr>
        <w:spacing w:line="48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若甲方发现有问题，乙方应当在接到甲方的质疑之日2日内提供相关书面说明；若甲方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，由此造成的损失，乙方负责。</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numPr>
          <w:ilvl w:val="0"/>
          <w:numId w:val="4"/>
        </w:numPr>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乙方按照《采购公告》以及本合同要求完成的工作所产生的专题调研报告、服务效果评价等文件、资料所有权归于甲方所有，乙方应当按照甲方的要求将前述相应的资料作为成果性文件的原始数据提供给甲方。</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第五条  乙方的权利和义务</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方要求做出工作实施方案，并完成项目内容以及确保完成任务期间的食品安全、人身安全、公私财产安全、交通安全等各项安全事宜及承担责任，若因乙方原因导致出现安全事故、安全责任等情况发生的，由乙方承担全部的赔偿责任。</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项目在本合同履行过程中，非因乙方原因有可能致使合同全部不能履行或者部分不能履行的，乙方应在知晓该等事项之日起1个工作日内通知甲方，同时采取措施减少损失。</w:t>
      </w:r>
    </w:p>
    <w:p>
      <w:pPr>
        <w:numPr>
          <w:ilvl w:val="0"/>
          <w:numId w:val="5"/>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因乙方原因，致使合同全部或者部分不能履行的，乙方承担合同不能履行的全部风险及责任，甲方不予支付未履行部分的合同价款给乙方</w:t>
      </w:r>
      <w:r>
        <w:rPr>
          <w:rFonts w:hint="eastAsia" w:ascii="仿宋" w:hAnsi="仿宋" w:eastAsia="仿宋" w:cs="仿宋"/>
          <w:sz w:val="28"/>
          <w:szCs w:val="28"/>
        </w:rPr>
        <w:t>。</w:t>
      </w:r>
    </w:p>
    <w:p>
      <w:pPr>
        <w:numPr>
          <w:ilvl w:val="0"/>
          <w:numId w:val="5"/>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在本合同服务期间，乙方应为乙方的雇佣人员进行投保，并对雇佣人员的劳资纠纷、伤亡所导致的损失和索赔自行承担责任，甲方不承担乙方所雇佣人员的任何用工责任。由此引起甲方或试点企业被追索责任的，一切赔偿及费用支出（包括但不限于律师费、调查费、差旅费、诉讼费、赔偿款等）等均由乙方承担。</w:t>
      </w:r>
    </w:p>
    <w:p>
      <w:pPr>
        <w:numPr>
          <w:ilvl w:val="0"/>
          <w:numId w:val="5"/>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包括但不限于律师费、诉讼费、赔偿款、调查费、差旅费等）。</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乙方根据本合同向甲方提供的资料及其所包含的图形、图片、文字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第六条  保密条款</w:t>
      </w:r>
    </w:p>
    <w:p>
      <w:pPr>
        <w:numPr>
          <w:ilvl w:val="0"/>
          <w:numId w:val="0"/>
        </w:numPr>
        <w:adjustRightInd w:val="0"/>
        <w:snapToGrid w:val="0"/>
        <w:spacing w:line="480" w:lineRule="exact"/>
        <w:ind w:firstLine="560" w:firstLineChars="200"/>
        <w:rPr>
          <w:rFonts w:ascii="仿宋" w:hAnsi="仿宋" w:eastAsia="仿宋" w:cs="仿宋"/>
          <w:sz w:val="28"/>
          <w:szCs w:val="28"/>
          <w:lang w:eastAsia="zh-Hans" w:bidi="ar"/>
        </w:rPr>
      </w:pPr>
      <w:r>
        <w:rPr>
          <w:rFonts w:hint="eastAsia" w:ascii="仿宋" w:hAnsi="仿宋" w:eastAsia="仿宋" w:cs="仿宋"/>
          <w:sz w:val="28"/>
          <w:szCs w:val="28"/>
          <w:lang w:eastAsia="zh-Hans" w:bidi="ar"/>
        </w:rPr>
        <w:t>乙方承诺严格遵守国家关于保密方面的所有法律法规，对涉及</w:t>
      </w:r>
      <w:r>
        <w:rPr>
          <w:rFonts w:hint="eastAsia" w:ascii="仿宋" w:hAnsi="仿宋" w:eastAsia="仿宋" w:cs="仿宋"/>
          <w:sz w:val="28"/>
          <w:szCs w:val="28"/>
          <w:lang w:bidi="ar"/>
        </w:rPr>
        <w:t>甲方</w:t>
      </w:r>
      <w:r>
        <w:rPr>
          <w:rFonts w:hint="eastAsia" w:ascii="仿宋" w:hAnsi="仿宋" w:eastAsia="仿宋" w:cs="仿宋"/>
          <w:sz w:val="28"/>
          <w:szCs w:val="28"/>
          <w:lang w:eastAsia="zh-Hans" w:bidi="ar"/>
        </w:rPr>
        <w:t>单位的数据及资料保密。所有工作时间内，可能或必须知道的甲方书面资料或其他拷贝资料，在项目完成并在甲方验收后，不得保留书面或其他形式的拷贝资料，并对已知的数据、资料保密，不得泄露，否则，应当依法承担相应的法律责任包括但不限于律师费、诉讼费、赔偿款、交通费、调查费等。</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第七条  不可抗力</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甲、乙双方任何一方由于不可抗力原因（指任何不可预见、不可避免并且不能克服的客观情况，包括但不限于自然灾害、爆炸、火灾、水灾、战争、暴动、暴乱和流行病以及行政措施和命令）不能履行本合同时，应及时书面通报另一方不能履行或不能完全履行的理由，以减轻可能给各方造成的损失，在取得有关机构证明后，允许延期履行、部分履行或不履行本合同，并根据情况可部分或全部免予承担违约责任。</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一旦不可抗力已经停止，受影响的一方应及时通知另一方，且应恢复履行本合同项下的义务。</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第八条  违约责任</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乙方的违约责任：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1.乙方未按照合同约定及时提交项目成果性文件或逾期完成项目工作的，从逾期之日起，甲方有权要求乙方按本项目总费用的日千分之一向甲方支付违约金直到乙方提交或者完成之日止。</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（3）未经甲方同意，乙方将本合同项目部分或全部技术服务工作转让第三人负责的。</w:t>
      </w:r>
    </w:p>
    <w:p>
      <w:pPr>
        <w:spacing w:line="480" w:lineRule="exact"/>
        <w:rPr>
          <w:rFonts w:ascii="仿宋" w:hAnsi="仿宋" w:eastAsia="仿宋" w:cs="仿宋"/>
          <w:sz w:val="28"/>
          <w:szCs w:val="28"/>
        </w:rPr>
      </w:pPr>
      <w:r>
        <w:rPr>
          <w:rFonts w:hint="eastAsia" w:ascii="仿宋" w:hAnsi="仿宋" w:eastAsia="仿宋" w:cs="仿宋"/>
          <w:b/>
          <w:bCs/>
          <w:sz w:val="28"/>
          <w:szCs w:val="28"/>
        </w:rPr>
        <w:t>第九条  双方确定，出现下列情形，致使本合同的履行成为不必要或不能的，可以解除本合同：</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因一方违约使本合同不能继续履行或没有必要继续履行。</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出现法律法规或国家政策规定等特定情形导致本合同不能继续履行。</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第十条  争议的解决办法</w:t>
      </w:r>
    </w:p>
    <w:p>
      <w:pPr>
        <w:numPr>
          <w:ilvl w:val="0"/>
          <w:numId w:val="0"/>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本合同在履行过程中发生的争议，由当事人双方协商解决。协商不成的，合同双方任意一方均可向甲方所在地有管辖权的人民法院提起诉讼处理。</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第十一条 其他</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合同如有未尽事宜，可以经甲、乙双方另行协商形成书面补充协议，书面补充协议经双方签字、盖章后生效。</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lang w:bidi="ar"/>
        </w:rPr>
        <w:t>甲、乙双方在本合同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3个工作日内通知对方，否则，视为未变更</w:t>
      </w:r>
      <w:r>
        <w:rPr>
          <w:rFonts w:hint="eastAsia" w:ascii="仿宋" w:hAnsi="仿宋" w:eastAsia="仿宋" w:cs="仿宋"/>
          <w:sz w:val="28"/>
          <w:szCs w:val="28"/>
        </w:rPr>
        <w:t>。</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本合同一式肆份，自双方签字和盖章后生效。甲方执叁份、乙方执壹份，具有同等法律效力。</w:t>
      </w:r>
    </w:p>
    <w:p>
      <w:pPr>
        <w:pStyle w:val="9"/>
        <w:numPr>
          <w:ilvl w:val="0"/>
          <w:numId w:val="9"/>
        </w:numPr>
        <w:ind w:firstLineChars="0"/>
        <w:rPr>
          <w:rFonts w:ascii="仿宋" w:hAnsi="仿宋" w:eastAsia="仿宋" w:cs="仿宋"/>
          <w:szCs w:val="28"/>
        </w:rPr>
      </w:pPr>
      <w:r>
        <w:rPr>
          <w:rFonts w:hint="eastAsia" w:ascii="仿宋" w:hAnsi="仿宋" w:eastAsia="仿宋" w:cs="仿宋"/>
          <w:szCs w:val="28"/>
        </w:rPr>
        <w:t>以下为本合同附件，与本合同具有同等效力：</w:t>
      </w:r>
    </w:p>
    <w:p>
      <w:pPr>
        <w:pStyle w:val="9"/>
        <w:numPr>
          <w:ilvl w:val="0"/>
          <w:numId w:val="10"/>
        </w:numPr>
        <w:ind w:left="0" w:firstLine="608"/>
        <w:rPr>
          <w:rFonts w:ascii="仿宋" w:hAnsi="仿宋" w:eastAsia="仿宋" w:cs="仿宋"/>
          <w:szCs w:val="28"/>
        </w:rPr>
      </w:pPr>
      <w:r>
        <w:rPr>
          <w:rFonts w:hint="eastAsia" w:ascii="仿宋" w:hAnsi="仿宋" w:eastAsia="仿宋" w:cs="仿宋"/>
          <w:szCs w:val="28"/>
        </w:rPr>
        <w:t>2025年加强企业产品和服务标准自我声明公开</w:t>
      </w:r>
      <w:r>
        <w:rPr>
          <w:rFonts w:hint="eastAsia" w:ascii="仿宋" w:hAnsi="仿宋" w:eastAsia="仿宋" w:cs="仿宋"/>
          <w:szCs w:val="28"/>
          <w:lang w:eastAsia="zh-CN"/>
        </w:rPr>
        <w:t>工作</w:t>
      </w:r>
      <w:r>
        <w:rPr>
          <w:rFonts w:hint="eastAsia" w:ascii="仿宋" w:hAnsi="仿宋" w:eastAsia="仿宋" w:cs="仿宋"/>
          <w:szCs w:val="28"/>
        </w:rPr>
        <w:t>项目采购公告；</w:t>
      </w:r>
    </w:p>
    <w:p>
      <w:pPr>
        <w:pStyle w:val="9"/>
        <w:numPr>
          <w:ilvl w:val="0"/>
          <w:numId w:val="10"/>
        </w:numPr>
        <w:ind w:firstLine="608"/>
        <w:rPr>
          <w:rFonts w:ascii="仿宋" w:hAnsi="仿宋" w:eastAsia="仿宋" w:cs="仿宋"/>
          <w:szCs w:val="28"/>
        </w:rPr>
      </w:pPr>
      <w:r>
        <w:rPr>
          <w:rFonts w:hint="eastAsia" w:ascii="仿宋" w:hAnsi="仿宋" w:eastAsia="仿宋" w:cs="仿宋"/>
          <w:szCs w:val="28"/>
        </w:rPr>
        <w:t>江门市市场监督管理局相关项目采购结果公告；</w:t>
      </w:r>
    </w:p>
    <w:p>
      <w:pPr>
        <w:pStyle w:val="9"/>
        <w:numPr>
          <w:ilvl w:val="0"/>
          <w:numId w:val="10"/>
        </w:numPr>
        <w:ind w:firstLine="608"/>
        <w:rPr>
          <w:rFonts w:ascii="仿宋" w:hAnsi="仿宋" w:eastAsia="仿宋" w:cs="仿宋"/>
          <w:szCs w:val="28"/>
        </w:rPr>
      </w:pPr>
      <w:r>
        <w:rPr>
          <w:rFonts w:hint="eastAsia" w:ascii="仿宋" w:hAnsi="仿宋" w:eastAsia="仿宋" w:cs="仿宋"/>
          <w:szCs w:val="28"/>
        </w:rPr>
        <w:t>其他附件及补充协议等资料。</w:t>
      </w:r>
    </w:p>
    <w:p>
      <w:pPr>
        <w:spacing w:before="204" w:beforeLines="50" w:line="480" w:lineRule="exact"/>
        <w:ind w:firstLine="560" w:firstLineChars="200"/>
        <w:rPr>
          <w:rFonts w:ascii="仿宋" w:hAnsi="仿宋" w:eastAsia="仿宋" w:cs="仿宋"/>
          <w:sz w:val="28"/>
          <w:szCs w:val="28"/>
        </w:rPr>
      </w:pPr>
      <w:r>
        <w:rPr>
          <w:rFonts w:hint="eastAsia" w:ascii="仿宋" w:hAnsi="仿宋" w:eastAsia="仿宋" w:cs="仿宋"/>
          <w:sz w:val="28"/>
          <w:szCs w:val="28"/>
        </w:rPr>
        <w:t>（以下无正文）</w:t>
      </w:r>
    </w:p>
    <w:p>
      <w:pPr>
        <w:spacing w:line="480" w:lineRule="exact"/>
        <w:rPr>
          <w:rFonts w:ascii="仿宋" w:hAnsi="仿宋" w:eastAsia="仿宋" w:cs="仿宋"/>
          <w:sz w:val="28"/>
          <w:szCs w:val="28"/>
        </w:rPr>
      </w:pPr>
    </w:p>
    <w:p>
      <w:pPr>
        <w:pStyle w:val="9"/>
        <w:ind w:firstLine="608"/>
        <w:rPr>
          <w:rFonts w:ascii="仿宋" w:hAnsi="仿宋" w:eastAsia="仿宋" w:cs="仿宋"/>
          <w:szCs w:val="28"/>
        </w:rPr>
      </w:pP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 xml:space="preserve">：江门市市场监督管理局  </w:t>
      </w:r>
    </w:p>
    <w:p>
      <w:pPr>
        <w:spacing w:line="48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w:t>
      </w:r>
    </w:p>
    <w:p>
      <w:pPr>
        <w:spacing w:line="48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48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ind w:firstLine="560" w:firstLineChars="200"/>
        <w:rPr>
          <w:rFonts w:ascii="仿宋" w:hAnsi="仿宋" w:eastAsia="仿宋" w:cs="仿宋"/>
          <w:sz w:val="28"/>
          <w:szCs w:val="28"/>
        </w:rPr>
      </w:pPr>
    </w:p>
    <w:p>
      <w:pPr>
        <w:pStyle w:val="8"/>
        <w:keepNext w:val="0"/>
        <w:keepLines w:val="0"/>
        <w:widowControl/>
        <w:suppressLineNumbers w:val="0"/>
        <w:spacing w:before="0" w:beforeAutospacing="0" w:after="0" w:afterAutospacing="0"/>
        <w:ind w:left="0" w:right="0" w:firstLine="0"/>
        <w:jc w:val="both"/>
      </w:pPr>
    </w:p>
    <w:sectPr>
      <w:footerReference r:id="rId3" w:type="default"/>
      <w:pgSz w:w="11906" w:h="16838"/>
      <w:pgMar w:top="1213" w:right="1080" w:bottom="1213" w:left="1080" w:header="851" w:footer="992" w:gutter="0"/>
      <w:cols w:space="720" w:num="1"/>
      <w:rtlGutter w:val="0"/>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Liberation Sans">
    <w:altName w:val="微软雅黑"/>
    <w:panose1 w:val="00000000000000000000"/>
    <w:charset w:val="00"/>
    <w:family w:val="swiss"/>
    <w:pitch w:val="default"/>
    <w:sig w:usb0="00000000" w:usb1="00000000" w:usb2="00000000" w:usb3="00000000" w:csb0="00040001" w:csb1="00000000"/>
  </w:font>
  <w:font w:name="Noto Sans CJK SC Regular">
    <w:altName w:val="思源黑体"/>
    <w:panose1 w:val="020B0500000000000000"/>
    <w:charset w:val="86"/>
    <w:family w:val="auto"/>
    <w:pitch w:val="default"/>
    <w:sig w:usb0="00000000" w:usb1="00000000" w:usb2="00000016" w:usb3="00000000" w:csb0="602E0107" w:csb1="00000000"/>
  </w:font>
  <w:font w:name="思源黑体">
    <w:panose1 w:val="020B0500000000000000"/>
    <w:charset w:val="86"/>
    <w:family w:val="auto"/>
    <w:pitch w:val="default"/>
    <w:sig w:usb0="30000083" w:usb1="2BDF3C10" w:usb2="00000016" w:usb3="00000000" w:csb0="602E0107"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path/>
          <v:fill on="f" focussize="0,0"/>
          <v:stroke on="f" weight="0.5pt"/>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280BC"/>
    <w:multiLevelType w:val="singleLevel"/>
    <w:tmpl w:val="8D1280BC"/>
    <w:lvl w:ilvl="0" w:tentative="0">
      <w:start w:val="1"/>
      <w:numFmt w:val="decimal"/>
      <w:suff w:val="nothing"/>
      <w:lvlText w:val="%1、"/>
      <w:lvlJc w:val="left"/>
    </w:lvl>
  </w:abstractNum>
  <w:abstractNum w:abstractNumId="1">
    <w:nsid w:val="92C593E5"/>
    <w:multiLevelType w:val="singleLevel"/>
    <w:tmpl w:val="92C593E5"/>
    <w:lvl w:ilvl="0" w:tentative="0">
      <w:start w:val="1"/>
      <w:numFmt w:val="decimal"/>
      <w:suff w:val="nothing"/>
      <w:lvlText w:val="%1．"/>
      <w:lvlJc w:val="left"/>
      <w:pPr>
        <w:ind w:left="0" w:firstLine="400"/>
      </w:pPr>
      <w:rPr>
        <w:rFonts w:hint="default"/>
      </w:rPr>
    </w:lvl>
  </w:abstractNum>
  <w:abstractNum w:abstractNumId="2">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3">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4">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5">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6">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7">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8">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9">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4"/>
  </w:num>
  <w:num w:numId="2">
    <w:abstractNumId w:val="0"/>
  </w:num>
  <w:num w:numId="3">
    <w:abstractNumId w:val="8"/>
  </w:num>
  <w:num w:numId="4">
    <w:abstractNumId w:val="9"/>
  </w:num>
  <w:num w:numId="5">
    <w:abstractNumId w:val="2"/>
  </w:num>
  <w:num w:numId="6">
    <w:abstractNumId w:val="6"/>
  </w:num>
  <w:num w:numId="7">
    <w:abstractNumId w:val="5"/>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
  <w:drawingGridVerticalSpacing w:val="1"/>
  <w:displayHorizontalDrawingGridEvery w:val="1"/>
  <w:displayVerticalDrawingGridEvery w:val="1"/>
  <w:doNotUseMarginsForDrawingGridOrigin w:val="1"/>
  <w:drawingGridHorizontalOrigin w:val="0"/>
  <w:drawingGridVerticalOrigin w:val="0"/>
  <w:noPunctuationKerning w:val="1"/>
  <w:characterSpacingControl w:val="compressPunctuation"/>
  <w:doNotValidateAgainstSchema/>
  <w:doNotDemarcateInvalidXml/>
  <w:hdrShapeDefaults>
    <o:shapelayout v:ext="edit">
      <o:idmap v:ext="edit" data="3,4"/>
    </o:shapelayout>
  </w:hdrShapeDefaults>
  <w:compat>
    <w:noLeading/>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FFF0638"/>
    <w:rsid w:val="59BF5CF2"/>
    <w:rsid w:val="7FFB5224"/>
    <w:rsid w:val="C4EF09B8"/>
    <w:rsid w:val="C6CDBA58"/>
    <w:rsid w:val="EFF34735"/>
    <w:rsid w:val="F7FEBDF9"/>
    <w:rsid w:val="FBBEED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caption"/>
    <w:basedOn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List"/>
    <w:basedOn w:val="4"/>
    <w:qFormat/>
    <w:uiPriority w:val="0"/>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9">
    <w:name w:val="Body Text First Indent 2"/>
    <w:basedOn w:val="5"/>
    <w:qFormat/>
    <w:uiPriority w:val="0"/>
    <w:pPr>
      <w:ind w:firstLine="420" w:firstLineChars="200"/>
    </w:pPr>
    <w:rPr>
      <w:rFonts w:ascii="宋体" w:hAnsi="MS Sans Serif"/>
      <w:spacing w:val="12"/>
    </w:rPr>
  </w:style>
  <w:style w:type="character" w:customStyle="1" w:styleId="12">
    <w:name w:val="默认段落字体1"/>
    <w:qFormat/>
    <w:uiPriority w:val="0"/>
  </w:style>
  <w:style w:type="paragraph" w:customStyle="1" w:styleId="13">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4">
    <w:name w:val="Index"/>
    <w:basedOn w:val="1"/>
    <w:qFormat/>
    <w:uiPriority w:val="0"/>
    <w:pPr>
      <w:widowControl w:val="0"/>
      <w:suppressLineNumbers/>
      <w:suppressAutoHyphens/>
    </w:pPr>
  </w:style>
  <w:style w:type="paragraph" w:styleId="1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TotalTime>5</TotalTime>
  <ScaleCrop>false</ScaleCrop>
  <LinksUpToDate>false</LinksUpToDate>
  <Application>WPS Office_11.8.2.11763_F1E327BC-269C-435d-A152-05C5408002CA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2018-11-28T17:47:00Z</dcterms:created>
  <dc:creator>uos</dc:creator>
  <cp:lastModifiedBy>greatwall</cp:lastModifiedBy>
  <cp:lastPrinted>2025-07-10T11:07:00Z</cp:lastPrinted>
  <dcterms:modified xsi:type="dcterms:W3CDTF">2026-04-01T18:04:37Z</dcterms:modified>
  <dc:title>2025年加强企业产品和服务标准_x000B_自我声明公开工作项目合同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BD613F3D9AA5F2764B876C68C72F44A5_42</vt:lpwstr>
  </property>
</Properties>
</file>