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r>
        <w:rPr>
          <w:sz w:val="32"/>
          <w:szCs w:val="32"/>
        </w:rPr>
        <w:t>附件</w:t>
      </w:r>
      <w:r>
        <w:rPr>
          <w:rFonts w:hint="eastAsia"/>
          <w:sz w:val="32"/>
          <w:szCs w:val="32"/>
        </w:rPr>
        <w:t>3</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江门市市场监督管理局2025年网络交易监测服务项目合同（模版）</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甲、乙双方根据“江门市市场监督管理局2025年网络交易监测服务项目”（</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甲方委托乙方就2025年网络交易监测提供技术服务工作，按甲方要求及标准（详见附件：采购公告）在约定期限内，向甲方提供服务，并提交相关工作成果：</w:t>
      </w:r>
    </w:p>
    <w:p>
      <w:pPr>
        <w:pStyle w:val="15"/>
        <w:widowControl/>
        <w:tabs>
          <w:tab w:val="center" w:pos="4153"/>
        </w:tabs>
        <w:spacing w:line="480" w:lineRule="exact"/>
        <w:ind w:firstLine="640"/>
        <w:rPr>
          <w:rFonts w:ascii="仿宋" w:hAnsi="仿宋" w:eastAsia="仿宋" w:cs="仿宋"/>
          <w:kern w:val="2"/>
          <w:sz w:val="28"/>
          <w:szCs w:val="28"/>
        </w:rPr>
      </w:pPr>
      <w:bookmarkStart w:id="0" w:name="_Toc132327162"/>
      <w:bookmarkStart w:id="1" w:name="_Toc1235704707"/>
      <w:r>
        <w:rPr>
          <w:rFonts w:hint="eastAsia" w:ascii="仿宋" w:hAnsi="仿宋" w:eastAsia="仿宋" w:cs="仿宋"/>
          <w:kern w:val="2"/>
          <w:sz w:val="28"/>
          <w:szCs w:val="28"/>
        </w:rPr>
        <w:t>1.江门网络市场数据服务</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综合利用第三方大数据，及江门市网络市场主体在线监测数据等，对相关数据进行碰撞、关联、分析，掌握江门市网络市场主体主体数据、客体行为数据、交易规模等信息，建立江门市网络市场数据，以支撑网络市场动态研判分析。</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1.1数据服务内容</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1.1.1主体数据。江门市辖区的电子商务平台、平台内经营者（包括但不限于淘宝、1688、天猫、京东、拼多多、美团、饿了么、抖音、快手等主流平台）、自建网站、移动电商、微信公众号、小程序、直播电商等数据，形成较完备的江门市网络经营主体数据库，并进行分类。</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1.1.2客体行为数据。网络市场主体经营商品信息数据，数据自动匹配网店及对应商事主体数据。</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1.2数据服务应用</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1.2.1数据综合应用。基于数据库内的本地网络市场数据，开发相应的搜索引擎，可通过违法关键词、条件筛选等功能，实现对本地网站、网店、网络经营行为（客体商品、网页）的实时检索，提高网络监管工作主动性。</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1.2.2数据更新。至少每季度更新一次网络市场数据，并对主体库和客体库进行维护，删除无效、重复数据，对有效主体进行行业分类确认、交易类确认等。</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2.江门市网络交易定向监测服务</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2.1常态化监测服务</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对江门市行政区域内的电子商务平台经营者、平台内经营者以及通过自建网站、其他网络服务销售商品或者提供服务的电子商务经营者的网络交易等行为进行监测、搜索，收集、整理涉嫌违法行为线索，服务期限内开展定向监测服务8次。定向监测内容包含但不限于电子商务经营者合规性监测；网络集中促销监测；互联网不正当竞争监测；互联网渠道销售的药品、化妆品、医疗器械监测、销售仿冒高知名度商标、涉外商标商品，网上滥用、冒用、伪造涉农产品地理标志证明商标行为，销售虚假认证证书、检验检测报告的违法违规行为监测；不依法履行无理由退货义务等侵害消费者权益的违法行为监测；网络禁限售商品监测；其他违反相关法律法规的行为。</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2.2网络餐饮专项监测服务</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为加强网络餐饮食品安全监管，对网络餐饮平台内餐饮服务经营者是否存在未按规定亮证亮照、证照信息不符、证照过期失效、虚假证照以及超经营范围等行为从事食品经营活动，是否进行反餐饮浪费提醒提示进行监测。服务期限内开展监测服务4次。</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2.3网络直播监测服务</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针对江门市已认证的企业抖音、快手</w:t>
      </w:r>
      <w:bookmarkStart w:id="2" w:name="_GoBack"/>
      <w:bookmarkEnd w:id="2"/>
      <w:r>
        <w:rPr>
          <w:rFonts w:hint="eastAsia" w:ascii="仿宋" w:hAnsi="仿宋" w:eastAsia="仿宋" w:cs="仿宋"/>
          <w:kern w:val="2"/>
          <w:sz w:val="28"/>
          <w:szCs w:val="28"/>
          <w:lang w:eastAsia="zh-CN"/>
        </w:rPr>
        <w:t>账</w:t>
      </w:r>
      <w:r>
        <w:rPr>
          <w:rFonts w:hint="eastAsia" w:ascii="仿宋" w:hAnsi="仿宋" w:eastAsia="仿宋" w:cs="仿宋"/>
          <w:kern w:val="2"/>
          <w:sz w:val="28"/>
          <w:szCs w:val="28"/>
        </w:rPr>
        <w:t>号，发布的直播、抖音/快手小店进行监管，抽取辖区内活跃度高的直播间，在规定的时间段进行实时监测，重点监测以下内容：对网络交易经营者在直播平台销售的商品及其直播宣传内容进行监测，监测涉嫌商业混淆、商业诋毁、虚假宣传、非医疗宣传医疗用途行为、不文明带货、诱导消费等违法行为；是否存在未成年出镜直播情况；是否出现违法反不正当竞争法规定的违法内容情况。</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在服务期限内开展监测不少于4次，监测时长不得少于400小时；对于未发现违法线索的视频文件存储不少于3个月，对于发现违法线索的视频文件存储不少于1年。</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本项目工作可独立开展，也可结合“6.18”“双11”等其他监测活动合并开展。</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2.4监测结果运用</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月度监测报告：每月生成全面数据、分类数据，并形成数据分析报告。</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定向监测报告：根据定向监测工作任务和监管工作需要开展监测，并根据要求形成数据分析报告。</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涉嫌违法线索：以“涉嫌违法数据”的形式提供标准版电子表格，并留存相关电子取证文书。</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3.信息系统的维护、更新服务</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为承载基础数据库、商品搜索功能等具体日常工作应用场景，维护、更新信息系统，具体工作包括：</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3.1系统建设：建立一个收录、展示数据的载体平台；</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3.2搜索引擎功能：实现对现有数据进行实时搜索查询，查询内容包括网店网站主体信息、网络交易商品信息等。</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3.3直播监测功能：支持自主选择定向监测辖区内直播间，并研判直播违法行为</w:t>
      </w:r>
    </w:p>
    <w:p>
      <w:pPr>
        <w:pStyle w:val="15"/>
        <w:widowControl/>
        <w:tabs>
          <w:tab w:val="center" w:pos="4153"/>
        </w:tabs>
        <w:spacing w:line="480" w:lineRule="exact"/>
        <w:ind w:firstLine="640"/>
        <w:rPr>
          <w:rFonts w:ascii="仿宋" w:hAnsi="仿宋" w:eastAsia="仿宋" w:cs="仿宋"/>
          <w:kern w:val="2"/>
          <w:sz w:val="28"/>
          <w:szCs w:val="28"/>
        </w:rPr>
      </w:pPr>
      <w:r>
        <w:rPr>
          <w:rFonts w:hint="eastAsia" w:ascii="仿宋" w:hAnsi="仿宋" w:eastAsia="仿宋" w:cs="仿宋"/>
          <w:kern w:val="2"/>
          <w:sz w:val="28"/>
          <w:szCs w:val="28"/>
        </w:rPr>
        <w:t>4.在线取证固证工具</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执法工具支持网络监管电子数据存证取证服务。根据网络交易违法线索的取证存证工作需要，提供对涉嫌违法违规的网络交易主体和商品信息进行取证、固定和存证的服务，并确保存取数据的合法性、有效性、真实性，所存取的数据可提交申请并出具相应的报告。</w:t>
      </w:r>
      <w:bookmarkEnd w:id="0"/>
      <w:bookmarkEnd w:id="1"/>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乙方向甲方提供服务的合同</w:t>
      </w:r>
      <w:r>
        <w:rPr>
          <w:rFonts w:hint="eastAsia" w:ascii="仿宋" w:hAnsi="仿宋" w:eastAsia="仿宋" w:cs="仿宋"/>
          <w:sz w:val="28"/>
          <w:szCs w:val="28"/>
        </w:rPr>
        <w:t>期限自合同签订生效之日起至2025年12月15日。</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乙方向甲方提供服务可获得的项目技术服务总费用（即项目总费用、含税价）为人民币壹拾柒万元整（￥170,000元）</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人民币捌万伍仟整（</w:t>
      </w:r>
      <w:r>
        <w:rPr>
          <w:rFonts w:hint="eastAsia" w:ascii="仿宋" w:hAnsi="仿宋" w:eastAsia="仿宋" w:cs="仿宋"/>
          <w:sz w:val="28"/>
          <w:szCs w:val="28"/>
        </w:rPr>
        <w:t>￥</w:t>
      </w:r>
      <w:r>
        <w:rPr>
          <w:rFonts w:hint="eastAsia" w:ascii="仿宋" w:hAnsi="仿宋" w:eastAsia="仿宋" w:cs="仿宋"/>
          <w:bCs/>
          <w:sz w:val="28"/>
          <w:szCs w:val="28"/>
          <w:u w:val="single"/>
        </w:rPr>
        <w:t>85,000.00元</w:t>
      </w:r>
      <w:r>
        <w:rPr>
          <w:rFonts w:hint="eastAsia" w:ascii="仿宋" w:hAnsi="仿宋" w:eastAsia="仿宋" w:cs="仿宋"/>
          <w:sz w:val="28"/>
          <w:szCs w:val="28"/>
          <w:u w:val="single"/>
        </w:rPr>
        <w:t>）</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人民币捌万伍仟整（</w:t>
      </w:r>
      <w:r>
        <w:rPr>
          <w:rFonts w:hint="eastAsia" w:ascii="仿宋" w:hAnsi="仿宋" w:eastAsia="仿宋" w:cs="仿宋"/>
          <w:sz w:val="28"/>
          <w:szCs w:val="28"/>
        </w:rPr>
        <w:t>￥</w:t>
      </w:r>
      <w:r>
        <w:rPr>
          <w:rFonts w:hint="eastAsia" w:ascii="仿宋" w:hAnsi="仿宋" w:eastAsia="仿宋" w:cs="仿宋"/>
          <w:bCs/>
          <w:sz w:val="28"/>
          <w:szCs w:val="28"/>
          <w:u w:val="single"/>
        </w:rPr>
        <w:t>85,000.00元</w:t>
      </w:r>
      <w:r>
        <w:rPr>
          <w:rFonts w:hint="eastAsia" w:ascii="仿宋" w:hAnsi="仿宋" w:eastAsia="仿宋" w:cs="仿宋"/>
          <w:sz w:val="28"/>
          <w:szCs w:val="28"/>
          <w:u w:val="single"/>
        </w:rPr>
        <w:t>）</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10"/>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10个工作日内，乙方应按采购公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sz w:val="28"/>
          <w:szCs w:val="28"/>
        </w:rPr>
      </w:pP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本合同一式肆份，自甲、乙双方授权代表签字和盖章后生效。甲方执叁份、乙方执壹份，具有同等法律效力。</w:t>
      </w:r>
    </w:p>
    <w:p>
      <w:pPr>
        <w:pStyle w:val="11"/>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1"/>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江门市市场监督管理局2025年网络交易监测服务项目采购公告；</w:t>
      </w:r>
    </w:p>
    <w:p>
      <w:pPr>
        <w:pStyle w:val="11"/>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9"/>
  </w:num>
  <w:num w:numId="5">
    <w:abstractNumId w:val="1"/>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F477F"/>
    <w:rsid w:val="00186A33"/>
    <w:rsid w:val="00201EA2"/>
    <w:rsid w:val="003D2A44"/>
    <w:rsid w:val="005B7C59"/>
    <w:rsid w:val="00673B77"/>
    <w:rsid w:val="00784090"/>
    <w:rsid w:val="00966675"/>
    <w:rsid w:val="00AE5953"/>
    <w:rsid w:val="00DB3F27"/>
    <w:rsid w:val="00F573A0"/>
    <w:rsid w:val="00F83EB1"/>
    <w:rsid w:val="00FF2A3E"/>
    <w:rsid w:val="09D77ACF"/>
    <w:rsid w:val="09DE0A66"/>
    <w:rsid w:val="0BEA35C3"/>
    <w:rsid w:val="0DDF3CA5"/>
    <w:rsid w:val="0FB72321"/>
    <w:rsid w:val="10FC4243"/>
    <w:rsid w:val="171724B5"/>
    <w:rsid w:val="19FDA202"/>
    <w:rsid w:val="1A19383D"/>
    <w:rsid w:val="1FDF0FEF"/>
    <w:rsid w:val="20075F93"/>
    <w:rsid w:val="24EE444C"/>
    <w:rsid w:val="25F3C6BE"/>
    <w:rsid w:val="28F2788A"/>
    <w:rsid w:val="293A0576"/>
    <w:rsid w:val="2D016C87"/>
    <w:rsid w:val="35BF09F9"/>
    <w:rsid w:val="3773E753"/>
    <w:rsid w:val="391A5AE0"/>
    <w:rsid w:val="3A7DDB92"/>
    <w:rsid w:val="3B19643C"/>
    <w:rsid w:val="3D96C253"/>
    <w:rsid w:val="3DC33BEA"/>
    <w:rsid w:val="3F3F02A9"/>
    <w:rsid w:val="3FA76621"/>
    <w:rsid w:val="3FE44352"/>
    <w:rsid w:val="404A6C17"/>
    <w:rsid w:val="43F43818"/>
    <w:rsid w:val="47C7B3FB"/>
    <w:rsid w:val="4B562BFB"/>
    <w:rsid w:val="4CE65427"/>
    <w:rsid w:val="4D261BEA"/>
    <w:rsid w:val="4DD70C4E"/>
    <w:rsid w:val="4FFD6049"/>
    <w:rsid w:val="53BB212A"/>
    <w:rsid w:val="5789094D"/>
    <w:rsid w:val="59BFD042"/>
    <w:rsid w:val="5BB2671C"/>
    <w:rsid w:val="5BFDB08B"/>
    <w:rsid w:val="5EBFB560"/>
    <w:rsid w:val="67CAD1C3"/>
    <w:rsid w:val="68DF509E"/>
    <w:rsid w:val="690D3BC4"/>
    <w:rsid w:val="693B3F28"/>
    <w:rsid w:val="6B7E7578"/>
    <w:rsid w:val="6C7B1287"/>
    <w:rsid w:val="6F5F4F93"/>
    <w:rsid w:val="6FF703B5"/>
    <w:rsid w:val="71FF92FA"/>
    <w:rsid w:val="72AF67A9"/>
    <w:rsid w:val="736A24FA"/>
    <w:rsid w:val="76A81E4D"/>
    <w:rsid w:val="78FAE21D"/>
    <w:rsid w:val="79276609"/>
    <w:rsid w:val="7ABAD380"/>
    <w:rsid w:val="7B7E5AD3"/>
    <w:rsid w:val="7BFD5241"/>
    <w:rsid w:val="7EFEE140"/>
    <w:rsid w:val="7F7A05EB"/>
    <w:rsid w:val="7FDA17F3"/>
    <w:rsid w:val="7FFBB4BF"/>
    <w:rsid w:val="7FFDC820"/>
    <w:rsid w:val="7FFFC161"/>
    <w:rsid w:val="855F9B6D"/>
    <w:rsid w:val="95F7C4D6"/>
    <w:rsid w:val="9B5E5AB4"/>
    <w:rsid w:val="AFBD408F"/>
    <w:rsid w:val="B57DD0A3"/>
    <w:rsid w:val="BF3119E2"/>
    <w:rsid w:val="CFFF0E90"/>
    <w:rsid w:val="D0FF76BD"/>
    <w:rsid w:val="D3FB82B1"/>
    <w:rsid w:val="D6E3F6FE"/>
    <w:rsid w:val="D7D566C1"/>
    <w:rsid w:val="DF2BE73D"/>
    <w:rsid w:val="E6F576C6"/>
    <w:rsid w:val="EDFFF93D"/>
    <w:rsid w:val="EEBEA368"/>
    <w:rsid w:val="F137789C"/>
    <w:rsid w:val="F69E4C3F"/>
    <w:rsid w:val="F73F04C6"/>
    <w:rsid w:val="FBFF8709"/>
    <w:rsid w:val="FDFF6184"/>
    <w:rsid w:val="FFB7755C"/>
    <w:rsid w:val="FFEF0FA7"/>
    <w:rsid w:val="FFF696D6"/>
    <w:rsid w:val="FFF8A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3"/>
    <w:basedOn w:val="1"/>
    <w:next w:val="1"/>
    <w:qFormat/>
    <w:uiPriority w:val="9"/>
    <w:pPr>
      <w:keepNext/>
      <w:keepLines/>
      <w:spacing w:before="260" w:after="260" w:line="416" w:lineRule="auto"/>
      <w:outlineLvl w:val="2"/>
    </w:pPr>
    <w:rPr>
      <w:rFonts w:ascii="楷体" w:hAnsi="楷体" w:eastAsia="楷体_GB2312"/>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b/>
      <w:bCs/>
      <w:sz w:val="32"/>
      <w:szCs w:val="32"/>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character" w:customStyle="1" w:styleId="14">
    <w:name w:val="批注框文本 Char"/>
    <w:basedOn w:val="13"/>
    <w:link w:val="7"/>
    <w:qFormat/>
    <w:uiPriority w:val="0"/>
    <w:rPr>
      <w:rFonts w:eastAsia="仿宋_GB2312"/>
      <w:kern w:val="2"/>
      <w:sz w:val="18"/>
      <w:szCs w:val="18"/>
    </w:rPr>
  </w:style>
  <w:style w:type="paragraph" w:customStyle="1" w:styleId="15">
    <w:name w:val="普通(网站)1"/>
    <w:basedOn w:val="1"/>
    <w:qFormat/>
    <w:uiPriority w:val="0"/>
    <w:pPr>
      <w:jc w:val="left"/>
    </w:pPr>
    <w:rPr>
      <w:rFonts w:ascii="Calibri" w:hAnsi="Calibri" w:cs="黑体"/>
      <w:kern w:val="0"/>
      <w:sz w:val="24"/>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826</Words>
  <Characters>4713</Characters>
  <Lines>39</Lines>
  <Paragraphs>11</Paragraphs>
  <TotalTime>50</TotalTime>
  <ScaleCrop>false</ScaleCrop>
  <LinksUpToDate>false</LinksUpToDate>
  <CharactersWithSpaces>5528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2021-05-30T02:58:00Z</dcterms:created>
  <dc:creator>Administrator</dc:creator>
  <cp:lastModifiedBy>greatwall</cp:lastModifiedBy>
  <dcterms:modified xsi:type="dcterms:W3CDTF">2026-04-01T18:14:44Z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AE3289EE5F7DD24C3736DA673018F3B2</vt:lpwstr>
  </property>
</Properties>
</file>