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widowControl/>
        <w:spacing w:line="600" w:lineRule="exact"/>
        <w:rPr>
          <w:rFonts w:ascii="黑体" w:hAnsi="黑体" w:eastAsia="黑体" w:cs="黑体"/>
          <w:sz w:val="32"/>
          <w:szCs w:val="32"/>
        </w:rPr>
      </w:pPr>
      <w:r>
        <w:rPr>
          <w:rFonts w:hint="eastAsia" w:ascii="黑体" w:hAnsi="黑体" w:eastAsia="黑体" w:cs="黑体"/>
          <w:sz w:val="32"/>
          <w:szCs w:val="32"/>
        </w:rPr>
        <w:t>附件3：合同模板</w:t>
      </w:r>
    </w:p>
    <w:p>
      <w:pPr>
        <w:pStyle w:val="14"/>
        <w:widowControl/>
        <w:spacing w:line="600" w:lineRule="exact"/>
        <w:jc w:val="center"/>
        <w:rPr>
          <w:rFonts w:ascii="方正小标宋简体" w:hAnsi="方正小标宋简体" w:eastAsia="方正小标宋简体" w:cs="方正小标宋简体"/>
          <w:sz w:val="44"/>
          <w:szCs w:val="44"/>
        </w:rPr>
      </w:pP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江门市消费者权益保护委员会2025年度</w:t>
      </w: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放心消费“双承诺”活动</w:t>
      </w:r>
    </w:p>
    <w:p>
      <w:pPr>
        <w:pStyle w:val="14"/>
        <w:widowControl/>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服务测评项目合同</w:t>
      </w:r>
    </w:p>
    <w:p>
      <w:pPr>
        <w:spacing w:line="480" w:lineRule="exact"/>
        <w:jc w:val="center"/>
        <w:rPr>
          <w:rFonts w:ascii="宋体" w:hAnsi="宋体" w:eastAsia="宋体" w:cs="宋体"/>
          <w:b/>
          <w:sz w:val="32"/>
          <w:szCs w:val="32"/>
          <w:shd w:val="clear" w:color="auto" w:fill="FFFFFF"/>
        </w:rPr>
      </w:pP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甲方</w:t>
      </w:r>
      <w:r>
        <w:rPr>
          <w:rFonts w:hint="eastAsia" w:ascii="仿宋" w:hAnsi="仿宋" w:eastAsia="仿宋" w:cs="仿宋"/>
          <w:sz w:val="28"/>
          <w:szCs w:val="28"/>
        </w:rPr>
        <w:t>：</w:t>
      </w:r>
      <w:r>
        <w:rPr>
          <w:rFonts w:hint="eastAsia" w:ascii="仿宋" w:hAnsi="仿宋" w:eastAsia="仿宋" w:cs="仿宋"/>
          <w:bCs/>
          <w:sz w:val="28"/>
          <w:szCs w:val="28"/>
          <w:u w:val="single"/>
        </w:rPr>
        <w:t>江门市消费者权益保护委员会</w:t>
      </w:r>
    </w:p>
    <w:p>
      <w:pPr>
        <w:spacing w:line="480" w:lineRule="exact"/>
        <w:rPr>
          <w:rFonts w:ascii="仿宋" w:hAnsi="仿宋" w:eastAsia="仿宋" w:cs="仿宋"/>
          <w:sz w:val="28"/>
          <w:szCs w:val="28"/>
          <w:u w:val="single"/>
        </w:rPr>
      </w:pPr>
      <w:r>
        <w:rPr>
          <w:rFonts w:hint="eastAsia" w:ascii="仿宋" w:hAnsi="仿宋" w:eastAsia="仿宋" w:cs="仿宋"/>
          <w:sz w:val="28"/>
          <w:szCs w:val="28"/>
        </w:rPr>
        <w:t>地址：</w:t>
      </w:r>
      <w:r>
        <w:rPr>
          <w:rFonts w:ascii="仿宋" w:hAnsi="仿宋" w:eastAsia="仿宋" w:cs="仿宋"/>
          <w:sz w:val="28"/>
          <w:szCs w:val="28"/>
        </w:rPr>
        <w:t xml:space="preserve"> </w:t>
      </w:r>
      <w:r>
        <w:rPr>
          <w:rFonts w:hint="eastAsia" w:ascii="仿宋" w:hAnsi="仿宋" w:eastAsia="仿宋" w:cs="仿宋"/>
          <w:sz w:val="28"/>
          <w:szCs w:val="28"/>
          <w:u w:val="single"/>
        </w:rPr>
        <w:t>江门市蓬江区东华二路</w:t>
      </w:r>
      <w:r>
        <w:rPr>
          <w:rFonts w:ascii="仿宋" w:hAnsi="仿宋" w:eastAsia="仿宋" w:cs="仿宋"/>
          <w:sz w:val="28"/>
          <w:szCs w:val="28"/>
          <w:u w:val="single"/>
        </w:rPr>
        <w:t>7号</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r>
        <w:rPr>
          <w:rFonts w:ascii="仿宋" w:hAnsi="仿宋" w:eastAsia="仿宋" w:cs="仿宋"/>
          <w:sz w:val="28"/>
          <w:szCs w:val="28"/>
        </w:rPr>
        <w:t xml:space="preserve"> </w:t>
      </w: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乙方</w:t>
      </w:r>
      <w:r>
        <w:rPr>
          <w:rFonts w:hint="eastAsia" w:ascii="仿宋" w:hAnsi="仿宋" w:eastAsia="仿宋" w:cs="仿宋"/>
          <w:sz w:val="28"/>
          <w:szCs w:val="28"/>
        </w:rPr>
        <w:t>：</w:t>
      </w:r>
      <w:r>
        <w:rPr>
          <w:rFonts w:ascii="仿宋" w:hAnsi="仿宋" w:eastAsia="仿宋" w:cs="仿宋"/>
          <w:sz w:val="28"/>
          <w:szCs w:val="28"/>
        </w:rPr>
        <w:t xml:space="preserve"> </w:t>
      </w:r>
    </w:p>
    <w:p>
      <w:pPr>
        <w:spacing w:line="480" w:lineRule="exact"/>
        <w:rPr>
          <w:rFonts w:ascii="仿宋" w:hAnsi="仿宋" w:eastAsia="仿宋" w:cs="仿宋"/>
          <w:sz w:val="28"/>
          <w:szCs w:val="28"/>
        </w:rPr>
      </w:pPr>
      <w:r>
        <w:rPr>
          <w:rFonts w:hint="eastAsia" w:ascii="仿宋" w:hAnsi="仿宋" w:eastAsia="仿宋" w:cs="仿宋"/>
          <w:sz w:val="28"/>
          <w:szCs w:val="28"/>
        </w:rPr>
        <w:t>地址：</w:t>
      </w:r>
      <w:r>
        <w:rPr>
          <w:rFonts w:ascii="仿宋" w:hAnsi="仿宋" w:eastAsia="仿宋" w:cs="仿宋"/>
          <w:sz w:val="28"/>
          <w:szCs w:val="28"/>
        </w:rPr>
        <w:t xml:space="preserve"> </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r>
        <w:rPr>
          <w:rFonts w:ascii="仿宋" w:hAnsi="仿宋" w:eastAsia="仿宋" w:cs="仿宋"/>
          <w:sz w:val="28"/>
          <w:szCs w:val="28"/>
        </w:rPr>
        <w:t xml:space="preserve"> </w:t>
      </w:r>
    </w:p>
    <w:p>
      <w:pPr>
        <w:spacing w:line="480" w:lineRule="exact"/>
        <w:rPr>
          <w:rFonts w:ascii="仿宋" w:hAnsi="仿宋" w:eastAsia="仿宋" w:cs="仿宋"/>
          <w:sz w:val="28"/>
          <w:szCs w:val="28"/>
          <w:shd w:val="clear" w:color="auto" w:fill="FFFFFF"/>
        </w:rPr>
      </w:pPr>
    </w:p>
    <w:p>
      <w:pPr>
        <w:widowControl/>
        <w:spacing w:line="480" w:lineRule="exact"/>
        <w:ind w:firstLine="618" w:firstLineChars="221"/>
      </w:pPr>
      <w:r>
        <w:rPr>
          <w:rFonts w:hint="eastAsia" w:ascii="仿宋" w:hAnsi="仿宋" w:eastAsia="仿宋" w:cs="仿宋"/>
          <w:sz w:val="28"/>
          <w:szCs w:val="28"/>
        </w:rPr>
        <w:t>甲、乙双方根据“江门市消费者权益保护委员会2025年度放心消费‘双承诺’活动服务测评项目”（项目编号：20250402）（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为总结江门市放心消费“双承诺”活动的工作成果，分析活动存在的主要问题并提出解决思路，进一步提升“双承诺”活动成效，持续擦亮活动品牌，甲方委托乙方协助开展江门市放心消费“双承诺”活动服务测评项目。</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具体工作内容及要求如下：</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（一）开展测评调查</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1、面向蓬江、江海、新会三区400名消费者开展问卷调查，深入了解消费者对“双承诺”活动的满意度、消费需求以及意见和建议等。三区消费者分配比例为：蓬江区150名、江海区100名、新会区150名；</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面向三区放心消费“双承诺单位”，以“一区一特色一品牌”为主线，挑选600家企业（约占全市10%“双承诺单位”）进行测评调查，深入了解“双承诺”活动对企业的促进作用，包括顾客回头率、营业额增长率等，以及企业对“双承诺”活动的需求和期望，包括项目审批加分、降租、减税、减费等。三区分布比例为：蓬江区220家、江海区160家、新会区220家；</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面向企业的调查问卷，要明确体现商家“品质保证”“诚信保证”“维权保证”“诚信价格保证”“无不正当竞争保证”“诚信计量保证”“先行赔付保证”“线下无理由退货保证”“其他保证”等承诺保证，以及商家对“双承诺”活动的激励机制期盼（包括优先推荐、重点宣传、项目审批加分、减税、减费、降租等）、工作指导需求（个性化推广和指导等）、服务支持策略（适合行业特点和具体需求等）。面向消费者的调查问卷，要体现消费者认知度、满意率等要素，还要从消费者分类上体现差异化调查（如本地居民、港澳游客和除港澳的外地游客；男性消费者和女性消费者等）。</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（二）对调查问卷数据情况进行汇总整理，形成专题报告；</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（三）开展后续宣传，包括召开1期线上新闻发布会（含播放测评结果解读视频），向全社会发布测评结果；通过地市级以上官方微信公众号、官方网站等渠道发布项目结果相关新闻各1期；</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（四）项目效果</w:t>
      </w:r>
    </w:p>
    <w:p>
      <w:pPr>
        <w:widowControl/>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1、了解“双承诺”活动开展以来的实际成效和存在问题，并结合工作实际，提出具可行性和操作性的解决措施，为进一步打造“双承诺”活动品牌提供参考和建议；</w:t>
      </w:r>
    </w:p>
    <w:p>
      <w:pPr>
        <w:widowControl/>
        <w:spacing w:line="480" w:lineRule="exact"/>
        <w:ind w:firstLine="618" w:firstLineChars="221"/>
      </w:pPr>
      <w:r>
        <w:rPr>
          <w:rFonts w:hint="eastAsia" w:ascii="仿宋" w:hAnsi="仿宋" w:eastAsia="仿宋" w:cs="仿宋"/>
          <w:sz w:val="28"/>
          <w:szCs w:val="28"/>
        </w:rPr>
        <w:t>2、多渠道开展测评结果配套宣传，重点宣传“双承诺”活动对经营活动的正面促进作用，进一步提升企业参与活动的积极性；积极宣传“双承诺”活动对营造放心消费环境的带动作用，提升广大消费者对活动的支持度和参与度。</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（五）其他事项</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1、上述宣传报道内容对外发布前，乙方均应提交甲方审阅，经甲方审核通过后方可发布，甲方对上述内容的审定不成为乙方免责的事由，乙方仍需对相关文稿的校对、质量负责。</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2、项目完成后15个工作日内，乙方应按甲方要求提交项目相关文件、资料等成果性资料给甲方验收，上述资料属于甲方的财产。</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乙方向甲方提供服务的合同期限为</w:t>
      </w:r>
      <w:r>
        <w:rPr>
          <w:rFonts w:hint="eastAsia" w:ascii="仿宋" w:hAnsi="仿宋" w:eastAsia="仿宋" w:cs="仿宋"/>
          <w:sz w:val="28"/>
          <w:szCs w:val="28"/>
          <w:u w:val="single"/>
        </w:rPr>
        <w:t>自合同签订生效之日起至2025年7月20日。</w:t>
      </w:r>
    </w:p>
    <w:p>
      <w:pPr>
        <w:numPr>
          <w:ilvl w:val="0"/>
          <w:numId w:val="1"/>
        </w:numPr>
        <w:spacing w:line="480" w:lineRule="exact"/>
        <w:rPr>
          <w:rFonts w:ascii="仿宋" w:hAnsi="仿宋" w:eastAsia="仿宋" w:cs="仿宋"/>
          <w:sz w:val="28"/>
          <w:szCs w:val="28"/>
          <w:u w:val="single"/>
        </w:rPr>
      </w:pPr>
      <w:r>
        <w:rPr>
          <w:rFonts w:hint="eastAsia" w:ascii="仿宋" w:hAnsi="仿宋" w:eastAsia="仿宋" w:cs="仿宋"/>
          <w:sz w:val="28"/>
          <w:szCs w:val="28"/>
        </w:rPr>
        <w:t>乙方向甲方提供服务可获得的项目总费用（含税价）为</w:t>
      </w:r>
      <w:r>
        <w:rPr>
          <w:rFonts w:hint="eastAsia" w:ascii="仿宋" w:hAnsi="仿宋" w:eastAsia="仿宋" w:cs="仿宋"/>
          <w:sz w:val="28"/>
          <w:szCs w:val="28"/>
          <w:u w:val="single"/>
        </w:rPr>
        <w:t>人民币伍万元整（￥50,000.00元）。项目总费用为含税价，且已包含甲方应付所有费用，甲方无需另外支付其他费用。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付款时间、方式。</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1、第一期：甲、乙双方签订本合同后，甲方收到乙方开具的相对应金额发票之日起3</w:t>
      </w:r>
      <w:r>
        <w:rPr>
          <w:rFonts w:ascii="仿宋" w:hAnsi="仿宋" w:eastAsia="仿宋" w:cs="仿宋"/>
          <w:sz w:val="28"/>
          <w:szCs w:val="28"/>
        </w:rPr>
        <w:t>0</w:t>
      </w:r>
      <w:r>
        <w:rPr>
          <w:rFonts w:hint="eastAsia" w:ascii="仿宋" w:hAnsi="仿宋" w:eastAsia="仿宋" w:cs="仿宋"/>
          <w:sz w:val="28"/>
          <w:szCs w:val="28"/>
        </w:rPr>
        <w:t>个工作日内，向乙方支付项目总费用的50%，即</w:t>
      </w:r>
      <w:r>
        <w:rPr>
          <w:rFonts w:hint="eastAsia" w:ascii="仿宋" w:hAnsi="仿宋" w:eastAsia="仿宋" w:cs="仿宋"/>
          <w:sz w:val="28"/>
          <w:szCs w:val="28"/>
          <w:u w:val="single"/>
        </w:rPr>
        <w:t>人民币贰万伍仟元整（</w:t>
      </w:r>
      <w:r>
        <w:rPr>
          <w:rFonts w:hint="eastAsia" w:ascii="仿宋" w:hAnsi="仿宋" w:eastAsia="仿宋" w:cs="仿宋"/>
          <w:bCs/>
          <w:sz w:val="28"/>
          <w:szCs w:val="28"/>
          <w:u w:val="single"/>
        </w:rPr>
        <w:t>￥</w:t>
      </w:r>
      <w:r>
        <w:rPr>
          <w:rFonts w:hint="eastAsia" w:ascii="仿宋" w:hAnsi="仿宋" w:eastAsia="仿宋" w:cs="仿宋"/>
          <w:sz w:val="28"/>
          <w:szCs w:val="28"/>
          <w:u w:val="single"/>
        </w:rPr>
        <w:t>25,000元）；</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2、第二期：待项目经甲方验收合格后，甲方再次凭收到乙方开具等额有效的发票之日起3</w:t>
      </w:r>
      <w:r>
        <w:rPr>
          <w:rFonts w:ascii="仿宋" w:hAnsi="仿宋" w:eastAsia="仿宋" w:cs="仿宋"/>
          <w:sz w:val="28"/>
          <w:szCs w:val="28"/>
        </w:rPr>
        <w:t>0</w:t>
      </w:r>
      <w:r>
        <w:rPr>
          <w:rFonts w:hint="eastAsia" w:ascii="仿宋" w:hAnsi="仿宋" w:eastAsia="仿宋" w:cs="仿宋"/>
          <w:sz w:val="28"/>
          <w:szCs w:val="28"/>
        </w:rPr>
        <w:t>个工作日内支付剩余项目费用给乙方，即</w:t>
      </w:r>
      <w:r>
        <w:rPr>
          <w:rFonts w:hint="eastAsia" w:ascii="仿宋" w:hAnsi="仿宋" w:eastAsia="仿宋" w:cs="仿宋"/>
          <w:sz w:val="28"/>
          <w:szCs w:val="28"/>
          <w:u w:val="single"/>
        </w:rPr>
        <w:t>人民币贰万伍仟元整（</w:t>
      </w:r>
      <w:r>
        <w:rPr>
          <w:rFonts w:hint="eastAsia" w:ascii="仿宋" w:hAnsi="仿宋" w:eastAsia="仿宋" w:cs="仿宋"/>
          <w:bCs/>
          <w:sz w:val="28"/>
          <w:szCs w:val="28"/>
          <w:u w:val="single"/>
        </w:rPr>
        <w:t>￥</w:t>
      </w:r>
      <w:r>
        <w:rPr>
          <w:rFonts w:hint="eastAsia" w:ascii="仿宋" w:hAnsi="仿宋" w:eastAsia="仿宋" w:cs="仿宋"/>
          <w:sz w:val="28"/>
          <w:szCs w:val="28"/>
          <w:u w:val="single"/>
        </w:rPr>
        <w:t>25,000元）。</w:t>
      </w:r>
    </w:p>
    <w:p>
      <w:pPr>
        <w:pStyle w:val="2"/>
        <w:ind w:left="0" w:firstLine="608"/>
        <w:rPr>
          <w:u w:val="single"/>
        </w:rPr>
      </w:pPr>
      <w:r>
        <w:rPr>
          <w:rFonts w:hint="eastAsia" w:ascii="仿宋" w:hAnsi="仿宋" w:eastAsia="仿宋" w:cs="仿宋"/>
          <w:szCs w:val="28"/>
        </w:rPr>
        <w:t>3、</w:t>
      </w:r>
      <w:r>
        <w:rPr>
          <w:rFonts w:hint="eastAsia"/>
        </w:rPr>
        <w:t>乙方确认：</w:t>
      </w:r>
      <w:r>
        <w:rPr>
          <w:rFonts w:hint="eastAsia"/>
          <w:u w:val="single"/>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left="560"/>
        <w:rPr>
          <w:rFonts w:ascii="仿宋" w:hAnsi="仿宋" w:eastAsia="仿宋" w:cs="仿宋"/>
          <w:sz w:val="28"/>
          <w:szCs w:val="28"/>
        </w:rPr>
      </w:pPr>
      <w:r>
        <w:rPr>
          <w:rFonts w:hint="eastAsia" w:ascii="仿宋" w:hAnsi="仿宋" w:eastAsia="仿宋" w:cs="仿宋"/>
          <w:sz w:val="28"/>
          <w:szCs w:val="28"/>
        </w:rPr>
        <w:t>1、开户名：</w:t>
      </w:r>
      <w:r>
        <w:rPr>
          <w:rFonts w:ascii="仿宋" w:hAnsi="仿宋" w:eastAsia="仿宋" w:cs="仿宋"/>
          <w:sz w:val="28"/>
          <w:szCs w:val="28"/>
          <w:u w:val="single"/>
        </w:rPr>
        <w:t xml:space="preserve">                        </w:t>
      </w:r>
    </w:p>
    <w:p>
      <w:pPr>
        <w:spacing w:line="480" w:lineRule="exact"/>
        <w:ind w:left="560"/>
        <w:rPr>
          <w:rFonts w:ascii="仿宋" w:hAnsi="仿宋" w:eastAsia="仿宋" w:cs="仿宋"/>
          <w:sz w:val="28"/>
          <w:szCs w:val="28"/>
          <w:u w:val="single"/>
        </w:rPr>
      </w:pPr>
      <w:r>
        <w:rPr>
          <w:rFonts w:hint="eastAsia" w:ascii="仿宋" w:hAnsi="仿宋" w:eastAsia="仿宋" w:cs="仿宋"/>
          <w:sz w:val="28"/>
          <w:szCs w:val="28"/>
        </w:rPr>
        <w:t>2、开户行：</w:t>
      </w:r>
      <w:r>
        <w:rPr>
          <w:rFonts w:ascii="仿宋" w:hAnsi="仿宋" w:eastAsia="仿宋" w:cs="仿宋"/>
          <w:sz w:val="28"/>
          <w:szCs w:val="28"/>
          <w:u w:val="single"/>
        </w:rPr>
        <w:t xml:space="preserve">                        </w:t>
      </w:r>
    </w:p>
    <w:p>
      <w:pPr>
        <w:spacing w:line="480" w:lineRule="exact"/>
        <w:ind w:left="560"/>
        <w:rPr>
          <w:rFonts w:ascii="仿宋" w:hAnsi="仿宋" w:eastAsia="仿宋" w:cs="仿宋"/>
          <w:sz w:val="28"/>
          <w:szCs w:val="28"/>
          <w:u w:val="single"/>
        </w:rPr>
      </w:pPr>
      <w:r>
        <w:rPr>
          <w:rFonts w:hint="eastAsia" w:ascii="仿宋" w:hAnsi="仿宋" w:eastAsia="仿宋" w:cs="仿宋"/>
          <w:sz w:val="28"/>
          <w:szCs w:val="28"/>
        </w:rPr>
        <w:t>3、账</w:t>
      </w:r>
      <w:r>
        <w:rPr>
          <w:rFonts w:ascii="仿宋" w:hAnsi="仿宋" w:eastAsia="仿宋" w:cs="仿宋"/>
          <w:sz w:val="28"/>
          <w:szCs w:val="28"/>
        </w:rPr>
        <w:t xml:space="preserve">  </w:t>
      </w:r>
      <w:r>
        <w:rPr>
          <w:rFonts w:hint="eastAsia" w:ascii="仿宋" w:hAnsi="仿宋" w:eastAsia="仿宋" w:cs="仿宋"/>
          <w:sz w:val="28"/>
          <w:szCs w:val="28"/>
        </w:rPr>
        <w:t>号：</w:t>
      </w:r>
      <w:r>
        <w:rPr>
          <w:rFonts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left="560"/>
        <w:rPr>
          <w:rFonts w:ascii="仿宋" w:hAnsi="仿宋" w:eastAsia="仿宋" w:cs="仿宋"/>
          <w:sz w:val="28"/>
          <w:szCs w:val="28"/>
        </w:rPr>
      </w:pPr>
      <w:r>
        <w:rPr>
          <w:rFonts w:hint="eastAsia" w:ascii="仿宋" w:hAnsi="仿宋" w:eastAsia="仿宋" w:cs="仿宋"/>
          <w:sz w:val="28"/>
          <w:szCs w:val="28"/>
          <w:lang w:bidi="ar"/>
        </w:rPr>
        <w:t>1、单位名称：江门市消费者权益保护委员会</w:t>
      </w:r>
    </w:p>
    <w:p>
      <w:pPr>
        <w:pStyle w:val="9"/>
        <w:spacing w:line="480" w:lineRule="exact"/>
        <w:ind w:left="399" w:leftChars="133" w:firstLine="140" w:firstLineChars="50"/>
        <w:rPr>
          <w:rFonts w:ascii="仿宋" w:hAnsi="仿宋" w:eastAsia="仿宋" w:cs="仿宋"/>
          <w:sz w:val="28"/>
          <w:szCs w:val="28"/>
          <w:lang w:bidi="ar"/>
        </w:rPr>
      </w:pPr>
      <w:r>
        <w:rPr>
          <w:rFonts w:hint="eastAsia" w:ascii="仿宋" w:hAnsi="仿宋" w:eastAsia="仿宋" w:cs="仿宋"/>
          <w:sz w:val="28"/>
          <w:szCs w:val="28"/>
          <w:lang w:bidi="ar"/>
        </w:rPr>
        <w:t>2、统一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信用代码：12440700MB2C47364X</w:t>
      </w:r>
    </w:p>
    <w:p>
      <w:pPr>
        <w:spacing w:line="480" w:lineRule="exact"/>
        <w:rPr>
          <w:rFonts w:ascii="仿宋" w:hAnsi="仿宋" w:eastAsia="仿宋" w:cs="仿宋"/>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sz w:val="28"/>
          <w:szCs w:val="28"/>
          <w:shd w:val="clear" w:color="auto" w:fill="FFFFFF"/>
        </w:rPr>
        <w:t xml:space="preserve"> </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乙方完成文字材料撰写，相关内容对外发布前都应提交甲方审核验收，甲方应在收到样稿之日起1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numPr>
          <w:ilvl w:val="255"/>
          <w:numId w:val="0"/>
        </w:numPr>
        <w:spacing w:line="480" w:lineRule="exact"/>
        <w:ind w:firstLine="560" w:firstLineChars="200"/>
      </w:pPr>
      <w:r>
        <w:rPr>
          <w:rFonts w:hint="eastAsia" w:ascii="仿宋" w:hAnsi="仿宋" w:eastAsia="仿宋" w:cs="仿宋"/>
          <w:sz w:val="28"/>
          <w:szCs w:val="28"/>
        </w:rPr>
        <w:t>本项目结束之日起15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numPr>
          <w:ilvl w:val="255"/>
          <w:numId w:val="0"/>
        </w:numPr>
        <w:spacing w:line="480" w:lineRule="exact"/>
        <w:ind w:firstLine="560" w:firstLineChars="200"/>
      </w:pPr>
      <w:r>
        <w:rPr>
          <w:rFonts w:hint="eastAsia" w:ascii="仿宋" w:hAnsi="仿宋" w:eastAsia="仿宋" w:cs="仿宋"/>
          <w:sz w:val="28"/>
          <w:szCs w:val="28"/>
        </w:rPr>
        <w:t>（二）验收标准：由甲方依据国家、省、市制定的法律法规政策、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255"/>
          <w:numId w:val="0"/>
        </w:numPr>
        <w:spacing w:line="480" w:lineRule="exact"/>
        <w:ind w:firstLine="560" w:firstLineChars="200"/>
      </w:pPr>
      <w:r>
        <w:rPr>
          <w:rFonts w:hint="eastAsia" w:ascii="仿宋" w:hAnsi="仿宋" w:eastAsia="仿宋" w:cs="仿宋"/>
          <w:bCs/>
          <w:sz w:val="28"/>
          <w:szCs w:val="28"/>
        </w:rPr>
        <w:t>（三）经甲方验收不合格的，乙方应在甲方指定期限内采取弥补措施并再次提交给甲方验收；验收合格后由甲方和乙方共同签字确认并作为结算及甲方支付相应款项的依据。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ascii="仿宋" w:hAnsi="仿宋" w:eastAsia="仿宋" w:cs="仿宋"/>
          <w:sz w:val="28"/>
          <w:szCs w:val="28"/>
        </w:rPr>
        <w:t>2日内提供相关说明；若甲方认为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3"/>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根据甲方要求做出工作实施方案，并完成工作任务以及确保完成任务期间的人身安全、交通安全等各项安全事宜</w:t>
      </w:r>
      <w:r>
        <w:rPr>
          <w:rFonts w:hint="eastAsia" w:ascii="仿宋" w:hAnsi="仿宋" w:eastAsia="仿宋" w:cs="仿宋"/>
          <w:sz w:val="28"/>
          <w:szCs w:val="28"/>
        </w:rPr>
        <w:t>。</w:t>
      </w:r>
    </w:p>
    <w:p>
      <w:pPr>
        <w:numPr>
          <w:ilvl w:val="0"/>
          <w:numId w:val="3"/>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乙双方对此可以补充协议的方式约定继续履行的方式等内容。</w:t>
      </w:r>
    </w:p>
    <w:p>
      <w:pPr>
        <w:numPr>
          <w:ilvl w:val="0"/>
          <w:numId w:val="3"/>
        </w:numPr>
        <w:adjustRightInd w:val="0"/>
        <w:snapToGrid w:val="0"/>
        <w:spacing w:line="480" w:lineRule="exact"/>
        <w:ind w:firstLine="560"/>
      </w:pPr>
      <w:r>
        <w:rPr>
          <w:rFonts w:hint="eastAsia" w:ascii="仿宋" w:hAnsi="仿宋" w:eastAsia="仿宋" w:cs="仿宋"/>
          <w:sz w:val="28"/>
          <w:szCs w:val="28"/>
          <w:lang w:bidi="ar"/>
        </w:rPr>
        <w:t>若乙方没有及时通知并采取适当措施，致使合同无法继续履行的，乙方承担合同不能履行的全部风险及责任，甲方不予支付未履行部分的合同价款给乙方</w:t>
      </w:r>
      <w:r>
        <w:rPr>
          <w:rFonts w:hint="eastAsia" w:ascii="仿宋" w:hAnsi="仿宋" w:eastAsia="仿宋" w:cs="仿宋"/>
          <w:sz w:val="28"/>
          <w:szCs w:val="28"/>
        </w:rPr>
        <w:t>。</w:t>
      </w:r>
    </w:p>
    <w:p>
      <w:pPr>
        <w:spacing w:line="460" w:lineRule="exact"/>
        <w:rPr>
          <w:rFonts w:ascii="仿宋" w:hAnsi="仿宋" w:eastAsia="仿宋" w:cs="仿宋"/>
          <w:b/>
          <w:bCs/>
          <w:sz w:val="28"/>
          <w:szCs w:val="28"/>
        </w:rPr>
      </w:pPr>
      <w:r>
        <w:rPr>
          <w:rFonts w:hint="eastAsia" w:ascii="仿宋_GB2312" w:hAnsi="仿宋_GB2312" w:cs="仿宋_GB2312"/>
          <w:b/>
          <w:bCs/>
          <w:sz w:val="28"/>
          <w:szCs w:val="28"/>
        </w:rPr>
        <w:t xml:space="preserve">第六条   </w:t>
      </w:r>
      <w:r>
        <w:rPr>
          <w:rFonts w:hint="eastAsia" w:ascii="仿宋" w:hAnsi="仿宋" w:eastAsia="仿宋" w:cs="仿宋"/>
          <w:b/>
          <w:bCs/>
          <w:sz w:val="28"/>
          <w:szCs w:val="28"/>
        </w:rPr>
        <w:t>不可抗力</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numPr>
          <w:ilvl w:val="0"/>
          <w:numId w:val="5"/>
        </w:numPr>
        <w:spacing w:line="480" w:lineRule="exact"/>
        <w:rPr>
          <w:sz w:val="28"/>
          <w:szCs w:val="28"/>
        </w:rPr>
      </w:pPr>
      <w:r>
        <w:rPr>
          <w:rFonts w:hint="eastAsia" w:ascii="仿宋" w:hAnsi="仿宋" w:eastAsia="仿宋" w:cs="仿宋"/>
          <w:sz w:val="28"/>
          <w:szCs w:val="28"/>
        </w:rPr>
        <w:t>乙方根据本合同向甲方提供的资料及其所包含的</w:t>
      </w:r>
      <w:r>
        <w:rPr>
          <w:rFonts w:hint="eastAsia" w:ascii="仿宋" w:hAnsi="仿宋" w:eastAsia="仿宋" w:cs="仿宋_GB2312"/>
          <w:sz w:val="28"/>
          <w:szCs w:val="28"/>
        </w:rPr>
        <w:t>图形、图片、文字、录像等素材以及因本合同产生的作品（包括但不限于任何图案、图像、文字等），其知识产权和其他权益均归甲方所有</w:t>
      </w:r>
      <w:r>
        <w:rPr>
          <w:rFonts w:hint="eastAsia" w:ascii="仿宋" w:hAnsi="仿宋" w:eastAsia="仿宋" w:cs="仿宋"/>
          <w:sz w:val="28"/>
          <w:szCs w:val="28"/>
        </w:rPr>
        <w:t>。未经甲方书面</w:t>
      </w:r>
      <w:r>
        <w:rPr>
          <w:rFonts w:hint="eastAsia" w:ascii="仿宋" w:hAnsi="仿宋" w:eastAsia="仿宋" w:cs="仿宋"/>
          <w:sz w:val="28"/>
          <w:szCs w:val="28"/>
          <w:lang w:eastAsia="zh-Hans"/>
        </w:rPr>
        <w:t>同意</w:t>
      </w:r>
      <w:r>
        <w:rPr>
          <w:rFonts w:hint="eastAsia" w:ascii="仿宋" w:hAnsi="仿宋" w:eastAsia="仿宋" w:cs="仿宋"/>
          <w:sz w:val="28"/>
          <w:szCs w:val="28"/>
        </w:rPr>
        <w:t>，乙方不得以</w:t>
      </w:r>
      <w:r>
        <w:rPr>
          <w:rFonts w:hint="eastAsia" w:ascii="仿宋" w:hAnsi="仿宋" w:eastAsia="仿宋" w:cs="仿宋"/>
          <w:bCs/>
          <w:sz w:val="28"/>
          <w:szCs w:val="28"/>
        </w:rPr>
        <w:t>任何形式自行使用、</w:t>
      </w:r>
      <w:r>
        <w:rPr>
          <w:rFonts w:hint="eastAsia" w:ascii="仿宋" w:hAnsi="仿宋" w:eastAsia="仿宋" w:cs="仿宋"/>
          <w:sz w:val="28"/>
          <w:szCs w:val="28"/>
        </w:rPr>
        <w:t>不得擅自用于本合同规定以外的用途，或授权第三方使用。</w:t>
      </w:r>
    </w:p>
    <w:p>
      <w:pPr>
        <w:numPr>
          <w:ilvl w:val="0"/>
          <w:numId w:val="5"/>
        </w:numPr>
        <w:spacing w:line="480" w:lineRule="exact"/>
        <w:rPr>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本合同一式肆份，甲方执叁份、乙方执壹份，具有同等法律效力；自甲、乙双方签字和盖章之日起生效。</w:t>
      </w:r>
    </w:p>
    <w:p>
      <w:pPr>
        <w:numPr>
          <w:ilvl w:val="0"/>
          <w:numId w:val="8"/>
        </w:numPr>
        <w:autoSpaceDE w:val="0"/>
        <w:autoSpaceDN w:val="0"/>
        <w:adjustRightInd w:val="0"/>
        <w:spacing w:line="480" w:lineRule="exact"/>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以下为本合同附件，与本合同具有同等效力：</w:t>
      </w:r>
    </w:p>
    <w:p>
      <w:pPr>
        <w:numPr>
          <w:ilvl w:val="0"/>
          <w:numId w:val="9"/>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采购公告；</w:t>
      </w:r>
    </w:p>
    <w:p>
      <w:pPr>
        <w:numPr>
          <w:ilvl w:val="0"/>
          <w:numId w:val="9"/>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项目采购结果公告；</w:t>
      </w:r>
    </w:p>
    <w:p>
      <w:pPr>
        <w:numPr>
          <w:ilvl w:val="0"/>
          <w:numId w:val="9"/>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其他附件及补充协议等资料。</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ind w:firstLineChars="138"/>
        <w:rPr>
          <w:rFonts w:ascii="仿宋" w:hAnsi="仿宋" w:eastAsia="仿宋" w:cs="仿宋"/>
          <w:szCs w:val="28"/>
        </w:rPr>
      </w:pPr>
    </w:p>
    <w:p>
      <w:pPr>
        <w:pStyle w:val="2"/>
        <w:ind w:firstLineChars="13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：江门市消费者权益保护委员会</w:t>
      </w:r>
      <w:r>
        <w:rPr>
          <w:rFonts w:ascii="仿宋" w:hAnsi="仿宋" w:eastAsia="仿宋" w:cs="仿宋"/>
          <w:sz w:val="28"/>
          <w:szCs w:val="28"/>
        </w:rPr>
        <w:t xml:space="preserve">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480" w:lineRule="exact"/>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 xml:space="preserve">   </w:t>
      </w: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40" w:firstLine="420"/>
      </w:pPr>
      <w:rPr>
        <w:rFonts w:hint="eastAsia"/>
      </w:rPr>
    </w:lvl>
  </w:abstractNum>
  <w:abstractNum w:abstractNumId="2">
    <w:nsid w:val="DAEC193E"/>
    <w:multiLevelType w:val="singleLevel"/>
    <w:tmpl w:val="DAEC193E"/>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1"/>
  </w:num>
  <w:num w:numId="4">
    <w:abstractNumId w:val="6"/>
  </w:num>
  <w:num w:numId="5">
    <w:abstractNumId w:val="2"/>
  </w:num>
  <w:num w:numId="6">
    <w:abstractNumId w:val="5"/>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A2"/>
    <w:rsid w:val="00000926"/>
    <w:rsid w:val="000635FD"/>
    <w:rsid w:val="000761D0"/>
    <w:rsid w:val="00081FF3"/>
    <w:rsid w:val="000B371B"/>
    <w:rsid w:val="000C070C"/>
    <w:rsid w:val="000D27CD"/>
    <w:rsid w:val="000D675B"/>
    <w:rsid w:val="000E11A0"/>
    <w:rsid w:val="00117F4E"/>
    <w:rsid w:val="0016054E"/>
    <w:rsid w:val="00162047"/>
    <w:rsid w:val="001711E8"/>
    <w:rsid w:val="001E17C6"/>
    <w:rsid w:val="00201EA2"/>
    <w:rsid w:val="00221BE7"/>
    <w:rsid w:val="00255A72"/>
    <w:rsid w:val="00266273"/>
    <w:rsid w:val="002747A8"/>
    <w:rsid w:val="002B421F"/>
    <w:rsid w:val="002E68A2"/>
    <w:rsid w:val="002F413E"/>
    <w:rsid w:val="0031495A"/>
    <w:rsid w:val="0034503A"/>
    <w:rsid w:val="003517F0"/>
    <w:rsid w:val="00357557"/>
    <w:rsid w:val="0036294A"/>
    <w:rsid w:val="003E740D"/>
    <w:rsid w:val="00401A66"/>
    <w:rsid w:val="004564F7"/>
    <w:rsid w:val="004836BB"/>
    <w:rsid w:val="00486E7F"/>
    <w:rsid w:val="0049346E"/>
    <w:rsid w:val="004D5D56"/>
    <w:rsid w:val="004F2C13"/>
    <w:rsid w:val="004F69CF"/>
    <w:rsid w:val="005075FD"/>
    <w:rsid w:val="00572448"/>
    <w:rsid w:val="00572A09"/>
    <w:rsid w:val="005E4FA2"/>
    <w:rsid w:val="0061598E"/>
    <w:rsid w:val="0062051E"/>
    <w:rsid w:val="00683BF2"/>
    <w:rsid w:val="006A43AF"/>
    <w:rsid w:val="006B2959"/>
    <w:rsid w:val="006B462E"/>
    <w:rsid w:val="006F6CE2"/>
    <w:rsid w:val="00723A52"/>
    <w:rsid w:val="00732722"/>
    <w:rsid w:val="00741A78"/>
    <w:rsid w:val="00751FE2"/>
    <w:rsid w:val="00766E61"/>
    <w:rsid w:val="00773E0E"/>
    <w:rsid w:val="007C209D"/>
    <w:rsid w:val="007D3012"/>
    <w:rsid w:val="007E2C38"/>
    <w:rsid w:val="008065C6"/>
    <w:rsid w:val="00810D3B"/>
    <w:rsid w:val="00833486"/>
    <w:rsid w:val="00842B9A"/>
    <w:rsid w:val="00857051"/>
    <w:rsid w:val="00863D54"/>
    <w:rsid w:val="008A0885"/>
    <w:rsid w:val="008B6605"/>
    <w:rsid w:val="008D1DD3"/>
    <w:rsid w:val="008F2099"/>
    <w:rsid w:val="008F4B1C"/>
    <w:rsid w:val="009378BF"/>
    <w:rsid w:val="00962A2C"/>
    <w:rsid w:val="00972B57"/>
    <w:rsid w:val="00977AE9"/>
    <w:rsid w:val="009B3216"/>
    <w:rsid w:val="009B3A26"/>
    <w:rsid w:val="009E2001"/>
    <w:rsid w:val="00A56832"/>
    <w:rsid w:val="00A63A6C"/>
    <w:rsid w:val="00A64391"/>
    <w:rsid w:val="00A728F8"/>
    <w:rsid w:val="00A81652"/>
    <w:rsid w:val="00A92FA9"/>
    <w:rsid w:val="00AB5507"/>
    <w:rsid w:val="00AC125A"/>
    <w:rsid w:val="00AD070C"/>
    <w:rsid w:val="00AE205D"/>
    <w:rsid w:val="00B17DFD"/>
    <w:rsid w:val="00B22C8B"/>
    <w:rsid w:val="00B642FC"/>
    <w:rsid w:val="00B806A2"/>
    <w:rsid w:val="00B8259E"/>
    <w:rsid w:val="00B85B26"/>
    <w:rsid w:val="00BB0BB7"/>
    <w:rsid w:val="00BC0975"/>
    <w:rsid w:val="00BE19E7"/>
    <w:rsid w:val="00C00BBB"/>
    <w:rsid w:val="00C54D6D"/>
    <w:rsid w:val="00CA0E9E"/>
    <w:rsid w:val="00CB4A9E"/>
    <w:rsid w:val="00CE05FD"/>
    <w:rsid w:val="00CE7664"/>
    <w:rsid w:val="00D927E7"/>
    <w:rsid w:val="00D96195"/>
    <w:rsid w:val="00D962ED"/>
    <w:rsid w:val="00DA2E37"/>
    <w:rsid w:val="00DC69A0"/>
    <w:rsid w:val="00DE69D7"/>
    <w:rsid w:val="00E25D5C"/>
    <w:rsid w:val="00E2655C"/>
    <w:rsid w:val="00E27CB4"/>
    <w:rsid w:val="00E4628A"/>
    <w:rsid w:val="00E85998"/>
    <w:rsid w:val="00EA0E48"/>
    <w:rsid w:val="00EE2515"/>
    <w:rsid w:val="00F07C26"/>
    <w:rsid w:val="00F164AC"/>
    <w:rsid w:val="00F23D8E"/>
    <w:rsid w:val="00F43E23"/>
    <w:rsid w:val="00F54413"/>
    <w:rsid w:val="00F7084F"/>
    <w:rsid w:val="00FA0D9F"/>
    <w:rsid w:val="09D77ACF"/>
    <w:rsid w:val="09DE0A66"/>
    <w:rsid w:val="0AF740DB"/>
    <w:rsid w:val="0BEA35C3"/>
    <w:rsid w:val="0DDF3CA5"/>
    <w:rsid w:val="0FB72321"/>
    <w:rsid w:val="102A18E1"/>
    <w:rsid w:val="10FC4243"/>
    <w:rsid w:val="12917AED"/>
    <w:rsid w:val="160C41FE"/>
    <w:rsid w:val="171724B5"/>
    <w:rsid w:val="1A19383D"/>
    <w:rsid w:val="20075F93"/>
    <w:rsid w:val="24EE444C"/>
    <w:rsid w:val="28F2788A"/>
    <w:rsid w:val="293A0576"/>
    <w:rsid w:val="2D016C87"/>
    <w:rsid w:val="391A5AE0"/>
    <w:rsid w:val="3B19643C"/>
    <w:rsid w:val="3D793A28"/>
    <w:rsid w:val="3FA76621"/>
    <w:rsid w:val="404A6C17"/>
    <w:rsid w:val="43F43818"/>
    <w:rsid w:val="452404E0"/>
    <w:rsid w:val="47C7B3FB"/>
    <w:rsid w:val="49F903D9"/>
    <w:rsid w:val="4B562BFB"/>
    <w:rsid w:val="4D261BEA"/>
    <w:rsid w:val="4DD70C4E"/>
    <w:rsid w:val="526E4AB6"/>
    <w:rsid w:val="5789094D"/>
    <w:rsid w:val="5BB2671C"/>
    <w:rsid w:val="67334F9D"/>
    <w:rsid w:val="690D3BC4"/>
    <w:rsid w:val="693B3F28"/>
    <w:rsid w:val="6B6B4C78"/>
    <w:rsid w:val="6B7E7578"/>
    <w:rsid w:val="6C7B1287"/>
    <w:rsid w:val="6F5F4F93"/>
    <w:rsid w:val="70955562"/>
    <w:rsid w:val="72AF67A9"/>
    <w:rsid w:val="76A81E4D"/>
    <w:rsid w:val="79276609"/>
    <w:rsid w:val="7EFEE140"/>
    <w:rsid w:val="EF7FD6F6"/>
    <w:rsid w:val="FD9DA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customStyle="1" w:styleId="12">
    <w:name w:val="普通(网站)1"/>
    <w:basedOn w:val="1"/>
    <w:qFormat/>
    <w:uiPriority w:val="0"/>
    <w:pPr>
      <w:jc w:val="left"/>
    </w:pPr>
    <w:rPr>
      <w:rFonts w:ascii="Calibri" w:hAnsi="Calibri" w:eastAsia="宋体"/>
      <w:kern w:val="0"/>
      <w:sz w:val="24"/>
      <w:szCs w:val="24"/>
    </w:rPr>
  </w:style>
  <w:style w:type="character" w:customStyle="1" w:styleId="13">
    <w:name w:val="批注框文本 Char"/>
    <w:basedOn w:val="11"/>
    <w:link w:val="6"/>
    <w:qFormat/>
    <w:uiPriority w:val="0"/>
    <w:rPr>
      <w:rFonts w:eastAsia="仿宋_GB2312"/>
      <w:kern w:val="2"/>
      <w:sz w:val="18"/>
      <w:szCs w:val="18"/>
    </w:rPr>
  </w:style>
  <w:style w:type="paragraph" w:customStyle="1" w:styleId="14">
    <w:name w:val="普通(网站)2"/>
    <w:basedOn w:val="1"/>
    <w:qFormat/>
    <w:uiPriority w:val="0"/>
    <w:pPr>
      <w:jc w:val="left"/>
    </w:pPr>
    <w:rPr>
      <w:rFonts w:ascii="Calibri" w:hAnsi="Calibri" w:eastAsia="宋体"/>
      <w:kern w:val="0"/>
      <w:sz w:val="24"/>
      <w:szCs w:val="24"/>
    </w:rPr>
  </w:style>
  <w:style w:type="paragraph" w:customStyle="1" w:styleId="15">
    <w:name w:val="普通(网站)3"/>
    <w:basedOn w:val="1"/>
    <w:qFormat/>
    <w:uiPriority w:val="0"/>
    <w:pPr>
      <w:jc w:val="left"/>
    </w:pPr>
    <w:rPr>
      <w:rFonts w:ascii="Calibri" w:hAnsi="Calibri" w:eastAsia="宋体" w:cs="黑体"/>
      <w:kern w:val="0"/>
      <w:sz w:val="24"/>
      <w:szCs w:val="24"/>
    </w:rPr>
  </w:style>
  <w:style w:type="paragraph" w:customStyle="1" w:styleId="16">
    <w:name w:val="普通(网站)4"/>
    <w:basedOn w:val="1"/>
    <w:qFormat/>
    <w:uiPriority w:val="0"/>
    <w:pPr>
      <w:jc w:val="left"/>
    </w:pPr>
    <w:rPr>
      <w:rFonts w:ascii="Calibri" w:hAnsi="Calibri" w:eastAsia="宋体" w:cs="黑体"/>
      <w:kern w:val="0"/>
      <w:sz w:val="24"/>
      <w:szCs w:val="24"/>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717</Words>
  <Characters>4089</Characters>
  <Lines>34</Lines>
  <Paragraphs>9</Paragraphs>
  <TotalTime>163</TotalTime>
  <ScaleCrop>false</ScaleCrop>
  <LinksUpToDate>false</LinksUpToDate>
  <CharactersWithSpaces>4797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2021-05-26T18:58:00Z</dcterms:created>
  <dc:creator>Administrator</dc:creator>
  <cp:lastModifiedBy>greatwall</cp:lastModifiedBy>
  <cp:lastPrinted>2024-06-12T17:02:00Z</cp:lastPrinted>
  <dcterms:modified xsi:type="dcterms:W3CDTF">2026-04-01T19:05:28Z</dcterms:modified>
  <dc:title>2020年江门市工业产品生产许可证证后</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