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CESI黑体-GB2312" w:hAnsi="CESI黑体-GB2312" w:eastAsia="CESI黑体-GB2312" w:cs="CESI黑体-GB2312"/>
          <w:sz w:val="28"/>
          <w:szCs w:val="28"/>
        </w:rPr>
      </w:pPr>
      <w:r>
        <w:rPr>
          <w:rFonts w:hint="eastAsia" w:ascii="CESI黑体-GB2312" w:hAnsi="CESI黑体-GB2312" w:eastAsia="CESI黑体-GB2312" w:cs="CESI黑体-GB2312"/>
          <w:sz w:val="28"/>
          <w:szCs w:val="28"/>
        </w:rPr>
        <w:t>附件</w:t>
      </w:r>
    </w:p>
    <w:p>
      <w:pPr>
        <w:spacing w:line="560" w:lineRule="exact"/>
        <w:jc w:val="left"/>
        <w:rPr>
          <w:rFonts w:hint="eastAsia" w:ascii="CESI黑体-GB2312" w:hAnsi="CESI黑体-GB2312" w:eastAsia="CESI黑体-GB2312" w:cs="CESI黑体-GB2312"/>
          <w:sz w:val="28"/>
          <w:szCs w:val="28"/>
          <w:lang w:val="en-US" w:eastAsia="zh-CN"/>
        </w:rPr>
      </w:pPr>
    </w:p>
    <w:p>
      <w:pPr>
        <w:pStyle w:val="7"/>
        <w:widowControl/>
        <w:adjustRightInd/>
        <w:spacing w:before="0" w:beforeAutospacing="0" w:afterAutospacing="0" w:line="560" w:lineRule="exact"/>
        <w:ind w:firstLine="0" w:firstLineChars="0"/>
        <w:contextualSpacing w:val="0"/>
        <w:jc w:val="center"/>
        <w:outlineLvl w:val="0"/>
        <w:rPr>
          <w:rFonts w:hint="eastAsia" w:ascii="方正大标宋_GBK" w:hAnsi="方正大标宋_GBK" w:eastAsia="方正大标宋_GBK" w:cs="方正大标宋_GBK"/>
          <w:b w:val="0"/>
          <w:bCs/>
          <w:spacing w:val="-4"/>
          <w:kern w:val="0"/>
          <w:sz w:val="44"/>
          <w:szCs w:val="32"/>
        </w:rPr>
      </w:pPr>
      <w:bookmarkStart w:id="0" w:name="_GoBack"/>
      <w:r>
        <w:rPr>
          <w:rFonts w:hint="eastAsia" w:ascii="方正大标宋_GBK" w:hAnsi="方正大标宋_GBK" w:eastAsia="方正大标宋_GBK" w:cs="方正大标宋_GBK"/>
          <w:b w:val="0"/>
          <w:bCs/>
          <w:spacing w:val="-4"/>
          <w:kern w:val="0"/>
          <w:sz w:val="44"/>
          <w:szCs w:val="32"/>
          <w:lang w:val="en-US" w:eastAsia="zh-CN"/>
        </w:rPr>
        <w:t>江门市投资促进局华东地区招商引资委托服务项目评审表</w:t>
      </w:r>
    </w:p>
    <w:bookmarkEnd w:id="0"/>
    <w:p>
      <w:pPr>
        <w:adjustRightInd w:val="0"/>
        <w:spacing w:line="560" w:lineRule="exact"/>
        <w:contextualSpacing/>
        <w:rPr>
          <w:rFonts w:eastAsia="黑体"/>
          <w:sz w:val="28"/>
          <w:szCs w:val="28"/>
        </w:rPr>
      </w:pPr>
    </w:p>
    <w:p>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pPr>
              <w:spacing w:line="360" w:lineRule="exact"/>
              <w:jc w:val="center"/>
              <w:rPr>
                <w:rFonts w:eastAsia="黑体"/>
                <w:sz w:val="32"/>
                <w:szCs w:val="32"/>
              </w:rPr>
            </w:pPr>
            <w:r>
              <w:rPr>
                <w:rFonts w:eastAsia="黑体"/>
                <w:sz w:val="32"/>
                <w:szCs w:val="32"/>
              </w:rPr>
              <w:t>一、资格（资质）符合性审查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pPr>
              <w:spacing w:line="360" w:lineRule="exact"/>
              <w:jc w:val="center"/>
              <w:rPr>
                <w:sz w:val="24"/>
              </w:rPr>
            </w:pPr>
            <w:r>
              <w:rPr>
                <w:sz w:val="24"/>
              </w:rPr>
              <w:t>审查内容</w:t>
            </w:r>
          </w:p>
        </w:tc>
        <w:tc>
          <w:tcPr>
            <w:tcW w:w="4563" w:type="dxa"/>
            <w:vAlign w:val="center"/>
          </w:tcPr>
          <w:p>
            <w:pPr>
              <w:spacing w:line="360" w:lineRule="exact"/>
              <w:jc w:val="center"/>
              <w:rPr>
                <w:sz w:val="24"/>
              </w:rPr>
            </w:pPr>
            <w:r>
              <w:rPr>
                <w:sz w:val="24"/>
              </w:rPr>
              <w:t>具体要求</w:t>
            </w:r>
          </w:p>
        </w:tc>
        <w:tc>
          <w:tcPr>
            <w:tcW w:w="1306" w:type="dxa"/>
            <w:vAlign w:val="center"/>
          </w:tcPr>
          <w:p>
            <w:pPr>
              <w:spacing w:line="360" w:lineRule="exact"/>
              <w:jc w:val="center"/>
              <w:rPr>
                <w:sz w:val="24"/>
              </w:rPr>
            </w:pPr>
            <w:r>
              <w:rPr>
                <w:sz w:val="24"/>
              </w:rPr>
              <w:t>是否</w:t>
            </w:r>
          </w:p>
          <w:p>
            <w:pPr>
              <w:spacing w:line="360" w:lineRule="exact"/>
              <w:jc w:val="center"/>
              <w:rPr>
                <w:sz w:val="24"/>
              </w:rPr>
            </w:pPr>
            <w:r>
              <w:rPr>
                <w:sz w:val="24"/>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pPr>
              <w:spacing w:line="360" w:lineRule="exact"/>
              <w:rPr>
                <w:sz w:val="24"/>
              </w:rPr>
            </w:pPr>
            <w:r>
              <w:rPr>
                <w:sz w:val="24"/>
              </w:rPr>
              <w:t>1、是否具有法人资格。</w:t>
            </w:r>
          </w:p>
        </w:tc>
        <w:tc>
          <w:tcPr>
            <w:tcW w:w="4563" w:type="dxa"/>
            <w:vAlign w:val="center"/>
          </w:tcPr>
          <w:p>
            <w:pPr>
              <w:spacing w:line="360" w:lineRule="exact"/>
              <w:rPr>
                <w:sz w:val="24"/>
              </w:rPr>
            </w:pPr>
            <w:r>
              <w:rPr>
                <w:rFonts w:hint="eastAsia"/>
                <w:sz w:val="24"/>
              </w:rPr>
              <w:t>须具有合法经营资格的法人或其他组织（提供营业执照或统一社会信用代码证书）。</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3487" w:type="dxa"/>
            <w:vAlign w:val="center"/>
          </w:tcPr>
          <w:p>
            <w:pPr>
              <w:spacing w:line="360" w:lineRule="exact"/>
              <w:rPr>
                <w:sz w:val="24"/>
              </w:rPr>
            </w:pPr>
            <w:r>
              <w:rPr>
                <w:rFonts w:hint="eastAsia"/>
                <w:sz w:val="24"/>
              </w:rPr>
              <w:t>2.具有良好的信誉和健全的财务会计制度。</w:t>
            </w:r>
          </w:p>
        </w:tc>
        <w:tc>
          <w:tcPr>
            <w:tcW w:w="4563" w:type="dxa"/>
            <w:vAlign w:val="center"/>
          </w:tcPr>
          <w:p>
            <w:pPr>
              <w:spacing w:line="360" w:lineRule="exact"/>
              <w:rPr>
                <w:color w:val="000000"/>
                <w:sz w:val="24"/>
              </w:rPr>
            </w:pPr>
            <w:r>
              <w:rPr>
                <w:rFonts w:hint="eastAsia"/>
                <w:color w:val="000000"/>
                <w:sz w:val="24"/>
              </w:rPr>
              <w:t>提供“信用中国”网站（http://www.creditchina.gov.cn）的信用信息报告。</w:t>
            </w:r>
          </w:p>
        </w:tc>
        <w:tc>
          <w:tcPr>
            <w:tcW w:w="1306" w:type="dxa"/>
            <w:vAlign w:val="center"/>
          </w:tcPr>
          <w:p>
            <w:pPr>
              <w:spacing w:line="3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pPr>
              <w:spacing w:line="360" w:lineRule="exact"/>
              <w:rPr>
                <w:sz w:val="24"/>
              </w:rPr>
            </w:pPr>
            <w:r>
              <w:rPr>
                <w:rFonts w:hint="eastAsia"/>
                <w:sz w:val="24"/>
              </w:rPr>
              <w:t>3.参加采购活动前三年内，在经营活动中没有重大违法记录</w:t>
            </w:r>
          </w:p>
        </w:tc>
        <w:tc>
          <w:tcPr>
            <w:tcW w:w="4563" w:type="dxa"/>
            <w:vAlign w:val="center"/>
          </w:tcPr>
          <w:p>
            <w:pPr>
              <w:spacing w:line="360" w:lineRule="exact"/>
              <w:rPr>
                <w:sz w:val="24"/>
              </w:rPr>
            </w:pPr>
            <w:r>
              <w:rPr>
                <w:rFonts w:hint="eastAsia"/>
                <w:sz w:val="24"/>
              </w:rPr>
              <w:t>近三年内在经营活动中没有重大违法记录</w:t>
            </w:r>
            <w:r>
              <w:rPr>
                <w:sz w:val="24"/>
              </w:rPr>
              <w:t>（提供书面声明）。</w:t>
            </w:r>
          </w:p>
        </w:tc>
        <w:tc>
          <w:tcPr>
            <w:tcW w:w="1306" w:type="dxa"/>
            <w:vAlign w:val="center"/>
          </w:tcPr>
          <w:p>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pPr>
              <w:spacing w:line="400" w:lineRule="exact"/>
              <w:jc w:val="left"/>
              <w:rPr>
                <w:rFonts w:eastAsia="楷体"/>
                <w:sz w:val="28"/>
                <w:szCs w:val="28"/>
              </w:rPr>
            </w:pPr>
            <w:r>
              <w:rPr>
                <w:rFonts w:eastAsia="楷体"/>
                <w:sz w:val="28"/>
                <w:szCs w:val="28"/>
              </w:rPr>
              <w:t>备注：以上为一票否决项，不符合任意一项要求的报价无效</w:t>
            </w:r>
          </w:p>
          <w:p>
            <w:pPr>
              <w:spacing w:line="400" w:lineRule="exact"/>
              <w:jc w:val="left"/>
              <w:rPr>
                <w:rFonts w:eastAsia="楷体"/>
                <w:sz w:val="28"/>
                <w:szCs w:val="28"/>
              </w:rPr>
            </w:pPr>
          </w:p>
          <w:p>
            <w:pPr>
              <w:spacing w:line="400" w:lineRule="exact"/>
              <w:jc w:val="center"/>
              <w:rPr>
                <w:rFonts w:eastAsia="黑体"/>
                <w:sz w:val="32"/>
                <w:szCs w:val="32"/>
              </w:rPr>
            </w:pPr>
            <w:r>
              <w:rPr>
                <w:rFonts w:eastAsia="黑体"/>
                <w:sz w:val="32"/>
                <w:szCs w:val="32"/>
              </w:rPr>
              <w:t>二、商务水平、技术水平及报价评审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134" w:type="dxa"/>
            <w:vAlign w:val="center"/>
          </w:tcPr>
          <w:p>
            <w:pPr>
              <w:spacing w:line="400" w:lineRule="exact"/>
              <w:jc w:val="center"/>
              <w:rPr>
                <w:sz w:val="24"/>
              </w:rPr>
            </w:pPr>
            <w:r>
              <w:rPr>
                <w:sz w:val="24"/>
              </w:rPr>
              <w:t>类别</w:t>
            </w:r>
          </w:p>
        </w:tc>
        <w:tc>
          <w:tcPr>
            <w:tcW w:w="2835" w:type="dxa"/>
            <w:vAlign w:val="center"/>
          </w:tcPr>
          <w:p>
            <w:pPr>
              <w:spacing w:line="400" w:lineRule="exact"/>
              <w:jc w:val="center"/>
              <w:rPr>
                <w:sz w:val="24"/>
              </w:rPr>
            </w:pPr>
            <w:r>
              <w:rPr>
                <w:sz w:val="24"/>
              </w:rPr>
              <w:t>一级评价指标</w:t>
            </w:r>
          </w:p>
        </w:tc>
        <w:tc>
          <w:tcPr>
            <w:tcW w:w="4253" w:type="dxa"/>
            <w:vAlign w:val="center"/>
          </w:tcPr>
          <w:p>
            <w:pPr>
              <w:spacing w:line="400" w:lineRule="exact"/>
              <w:jc w:val="center"/>
              <w:rPr>
                <w:sz w:val="24"/>
              </w:rPr>
            </w:pPr>
            <w:r>
              <w:rPr>
                <w:sz w:val="24"/>
              </w:rPr>
              <w:t>二级评价指标</w:t>
            </w:r>
          </w:p>
        </w:tc>
        <w:tc>
          <w:tcPr>
            <w:tcW w:w="1134" w:type="dxa"/>
            <w:vAlign w:val="center"/>
          </w:tcPr>
          <w:p>
            <w:pPr>
              <w:spacing w:line="400" w:lineRule="exact"/>
              <w:jc w:val="center"/>
              <w:rPr>
                <w:sz w:val="24"/>
              </w:rPr>
            </w:pPr>
            <w:r>
              <w:rPr>
                <w:sz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134" w:type="dxa"/>
            <w:vAlign w:val="center"/>
          </w:tcPr>
          <w:p>
            <w:pPr>
              <w:spacing w:line="400" w:lineRule="exact"/>
              <w:rPr>
                <w:sz w:val="24"/>
              </w:rPr>
            </w:pPr>
            <w:r>
              <w:rPr>
                <w:sz w:val="24"/>
              </w:rPr>
              <w:t>（一）商务水平（</w:t>
            </w:r>
            <w:r>
              <w:rPr>
                <w:rFonts w:hint="eastAsia"/>
                <w:sz w:val="24"/>
              </w:rPr>
              <w:t>3</w:t>
            </w:r>
            <w:r>
              <w:rPr>
                <w:sz w:val="24"/>
              </w:rPr>
              <w:t>0分）</w:t>
            </w:r>
          </w:p>
        </w:tc>
        <w:tc>
          <w:tcPr>
            <w:tcW w:w="2835" w:type="dxa"/>
            <w:vAlign w:val="center"/>
          </w:tcPr>
          <w:p>
            <w:pPr>
              <w:spacing w:line="400" w:lineRule="exact"/>
              <w:jc w:val="center"/>
              <w:rPr>
                <w:sz w:val="24"/>
              </w:rPr>
            </w:pPr>
            <w:r>
              <w:rPr>
                <w:rFonts w:hint="eastAsia"/>
                <w:sz w:val="24"/>
              </w:rPr>
              <w:t>承接过相关项目业绩情况（30分）</w:t>
            </w:r>
          </w:p>
        </w:tc>
        <w:tc>
          <w:tcPr>
            <w:tcW w:w="4253" w:type="dxa"/>
            <w:vAlign w:val="center"/>
          </w:tcPr>
          <w:p>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22</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1134" w:type="dxa"/>
            <w:vMerge w:val="restart"/>
            <w:vAlign w:val="center"/>
          </w:tcPr>
          <w:p>
            <w:pPr>
              <w:spacing w:line="400" w:lineRule="exact"/>
              <w:rPr>
                <w:sz w:val="24"/>
              </w:rPr>
            </w:pPr>
            <w:r>
              <w:rPr>
                <w:sz w:val="24"/>
              </w:rPr>
              <w:t>（二）技术水平（</w:t>
            </w:r>
            <w:r>
              <w:rPr>
                <w:rFonts w:hint="eastAsia"/>
                <w:sz w:val="24"/>
                <w:lang w:val="en-US" w:eastAsia="zh-CN"/>
              </w:rPr>
              <w:t>30</w:t>
            </w:r>
            <w:r>
              <w:rPr>
                <w:sz w:val="24"/>
              </w:rPr>
              <w:t>分）</w:t>
            </w:r>
          </w:p>
        </w:tc>
        <w:tc>
          <w:tcPr>
            <w:tcW w:w="2835" w:type="dxa"/>
            <w:vAlign w:val="center"/>
          </w:tcPr>
          <w:p>
            <w:pPr>
              <w:spacing w:line="400" w:lineRule="exact"/>
              <w:jc w:val="both"/>
              <w:rPr>
                <w:sz w:val="24"/>
              </w:rPr>
            </w:pPr>
            <w:r>
              <w:rPr>
                <w:rFonts w:hint="eastAsia"/>
                <w:sz w:val="24"/>
                <w:lang w:val="en-US" w:eastAsia="zh-CN"/>
              </w:rPr>
              <w:t>1</w:t>
            </w:r>
            <w:r>
              <w:rPr>
                <w:rFonts w:hint="eastAsia"/>
                <w:sz w:val="24"/>
              </w:rPr>
              <w:t>.质量</w:t>
            </w:r>
            <w:r>
              <w:rPr>
                <w:sz w:val="24"/>
              </w:rPr>
              <w:t>、进度保</w:t>
            </w:r>
            <w:r>
              <w:rPr>
                <w:rFonts w:hint="eastAsia"/>
                <w:sz w:val="24"/>
              </w:rPr>
              <w:t>证</w:t>
            </w:r>
            <w:r>
              <w:rPr>
                <w:sz w:val="24"/>
              </w:rPr>
              <w:t>措施（</w:t>
            </w:r>
            <w:r>
              <w:rPr>
                <w:rFonts w:hint="eastAsia"/>
                <w:sz w:val="24"/>
                <w:lang w:val="en-US" w:eastAsia="zh-CN"/>
              </w:rPr>
              <w:t>20</w:t>
            </w:r>
            <w:r>
              <w:rPr>
                <w:sz w:val="24"/>
              </w:rPr>
              <w:t>分）</w:t>
            </w:r>
          </w:p>
        </w:tc>
        <w:tc>
          <w:tcPr>
            <w:tcW w:w="4253" w:type="dxa"/>
            <w:vAlign w:val="center"/>
          </w:tcPr>
          <w:p>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w:t>
            </w:r>
            <w:r>
              <w:rPr>
                <w:rFonts w:hint="eastAsia"/>
                <w:sz w:val="24"/>
                <w:lang w:val="en-US" w:eastAsia="zh-CN"/>
              </w:rPr>
              <w:t>15</w:t>
            </w:r>
            <w:r>
              <w:rPr>
                <w:rFonts w:hint="eastAsia"/>
                <w:sz w:val="24"/>
              </w:rPr>
              <w:t>-</w:t>
            </w:r>
            <w:r>
              <w:rPr>
                <w:rFonts w:hint="eastAsia"/>
                <w:sz w:val="24"/>
                <w:lang w:val="en-US" w:eastAsia="zh-CN"/>
              </w:rPr>
              <w:t>2</w:t>
            </w:r>
            <w:r>
              <w:rPr>
                <w:rFonts w:hint="eastAsia"/>
                <w:sz w:val="24"/>
              </w:rPr>
              <w:t>0分；良：</w:t>
            </w:r>
            <w:r>
              <w:rPr>
                <w:rFonts w:hint="eastAsia"/>
                <w:sz w:val="24"/>
                <w:lang w:val="en-US" w:eastAsia="zh-CN"/>
              </w:rPr>
              <w:t>10</w:t>
            </w:r>
            <w:r>
              <w:rPr>
                <w:rFonts w:hint="eastAsia"/>
                <w:sz w:val="24"/>
              </w:rPr>
              <w:t>-</w:t>
            </w:r>
            <w:r>
              <w:rPr>
                <w:rFonts w:hint="eastAsia"/>
                <w:sz w:val="24"/>
                <w:lang w:val="en-US" w:eastAsia="zh-CN"/>
              </w:rPr>
              <w:t>14</w:t>
            </w:r>
            <w:r>
              <w:rPr>
                <w:rFonts w:hint="eastAsia"/>
                <w:sz w:val="24"/>
              </w:rPr>
              <w:t>分；中：</w:t>
            </w:r>
            <w:r>
              <w:rPr>
                <w:rFonts w:hint="eastAsia"/>
                <w:sz w:val="24"/>
                <w:lang w:val="en-US" w:eastAsia="zh-CN"/>
              </w:rPr>
              <w:t>5</w:t>
            </w:r>
            <w:r>
              <w:rPr>
                <w:rFonts w:hint="eastAsia"/>
                <w:sz w:val="24"/>
              </w:rPr>
              <w:t>-</w:t>
            </w:r>
            <w:r>
              <w:rPr>
                <w:rFonts w:hint="eastAsia"/>
                <w:sz w:val="24"/>
                <w:lang w:val="en-US" w:eastAsia="zh-CN"/>
              </w:rPr>
              <w:t>9</w:t>
            </w:r>
            <w:r>
              <w:rPr>
                <w:rFonts w:hint="eastAsia"/>
                <w:sz w:val="24"/>
              </w:rPr>
              <w:t>分；差0-</w:t>
            </w:r>
            <w:r>
              <w:rPr>
                <w:rFonts w:hint="eastAsia"/>
                <w:sz w:val="24"/>
                <w:lang w:val="en-US" w:eastAsia="zh-CN"/>
              </w:rPr>
              <w:t>4</w:t>
            </w:r>
            <w:r>
              <w:rPr>
                <w:rFonts w:hint="eastAsia"/>
                <w:sz w:val="24"/>
              </w:rPr>
              <w:t>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1134" w:type="dxa"/>
            <w:vMerge w:val="continue"/>
            <w:vAlign w:val="center"/>
          </w:tcPr>
          <w:p>
            <w:pPr>
              <w:spacing w:line="400" w:lineRule="exact"/>
              <w:rPr>
                <w:sz w:val="24"/>
              </w:rPr>
            </w:pPr>
          </w:p>
        </w:tc>
        <w:tc>
          <w:tcPr>
            <w:tcW w:w="2835" w:type="dxa"/>
            <w:vAlign w:val="center"/>
          </w:tcPr>
          <w:p>
            <w:pPr>
              <w:tabs>
                <w:tab w:val="left" w:pos="0"/>
                <w:tab w:val="left" w:pos="720"/>
                <w:tab w:val="left" w:pos="1080"/>
              </w:tabs>
              <w:spacing w:line="400" w:lineRule="exact"/>
              <w:jc w:val="left"/>
              <w:rPr>
                <w:sz w:val="24"/>
              </w:rPr>
            </w:pPr>
            <w:r>
              <w:rPr>
                <w:rFonts w:hint="eastAsia"/>
                <w:sz w:val="24"/>
                <w:lang w:val="en-US" w:eastAsia="zh-CN"/>
              </w:rPr>
              <w:t>2</w:t>
            </w:r>
            <w:r>
              <w:rPr>
                <w:rFonts w:hint="eastAsia"/>
                <w:sz w:val="24"/>
              </w:rPr>
              <w:t>.</w:t>
            </w:r>
            <w:r>
              <w:rPr>
                <w:sz w:val="24"/>
              </w:rPr>
              <w:t>后续</w:t>
            </w:r>
            <w:r>
              <w:rPr>
                <w:rFonts w:hint="eastAsia"/>
                <w:sz w:val="24"/>
              </w:rPr>
              <w:t>技术</w:t>
            </w:r>
            <w:r>
              <w:rPr>
                <w:sz w:val="24"/>
              </w:rPr>
              <w:t>服务（</w:t>
            </w:r>
            <w:r>
              <w:rPr>
                <w:rFonts w:hint="eastAsia"/>
                <w:sz w:val="24"/>
                <w:lang w:val="en-US" w:eastAsia="zh-CN"/>
              </w:rPr>
              <w:t>10</w:t>
            </w:r>
            <w:r>
              <w:rPr>
                <w:sz w:val="24"/>
              </w:rPr>
              <w:t>分）</w:t>
            </w:r>
          </w:p>
        </w:tc>
        <w:tc>
          <w:tcPr>
            <w:tcW w:w="4253" w:type="dxa"/>
            <w:vAlign w:val="center"/>
          </w:tcPr>
          <w:p>
            <w:pPr>
              <w:tabs>
                <w:tab w:val="left" w:pos="0"/>
                <w:tab w:val="left" w:pos="720"/>
                <w:tab w:val="left" w:pos="1080"/>
              </w:tabs>
              <w:spacing w:line="400" w:lineRule="exact"/>
              <w:jc w:val="both"/>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rFonts w:hint="eastAsia"/>
                <w:sz w:val="24"/>
                <w:lang w:val="en-US" w:eastAsia="zh-CN"/>
              </w:rPr>
              <w:t>8-10</w:t>
            </w:r>
            <w:r>
              <w:rPr>
                <w:rFonts w:hint="eastAsia"/>
                <w:sz w:val="24"/>
              </w:rPr>
              <w:t>分；良：</w:t>
            </w:r>
            <w:r>
              <w:rPr>
                <w:rFonts w:hint="eastAsia"/>
                <w:sz w:val="24"/>
                <w:lang w:val="en-US" w:eastAsia="zh-CN"/>
              </w:rPr>
              <w:t>4-7</w:t>
            </w:r>
            <w:r>
              <w:rPr>
                <w:rFonts w:hint="eastAsia"/>
                <w:sz w:val="24"/>
              </w:rPr>
              <w:t>分；中：</w:t>
            </w:r>
            <w:r>
              <w:rPr>
                <w:sz w:val="24"/>
              </w:rPr>
              <w:t>1</w:t>
            </w:r>
            <w:r>
              <w:rPr>
                <w:rFonts w:hint="eastAsia"/>
                <w:sz w:val="24"/>
              </w:rPr>
              <w:t>-</w:t>
            </w:r>
            <w:r>
              <w:rPr>
                <w:rFonts w:hint="eastAsia"/>
                <w:sz w:val="24"/>
                <w:lang w:val="en-US" w:eastAsia="zh-CN"/>
              </w:rPr>
              <w:t>3</w:t>
            </w:r>
            <w:r>
              <w:rPr>
                <w:rFonts w:hint="eastAsia"/>
                <w:sz w:val="24"/>
              </w:rPr>
              <w:t>分；差0分。</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pPr>
              <w:spacing w:line="400" w:lineRule="exact"/>
              <w:rPr>
                <w:sz w:val="24"/>
              </w:rPr>
            </w:pPr>
            <w:r>
              <w:rPr>
                <w:sz w:val="24"/>
              </w:rPr>
              <w:t>（三）报价（</w:t>
            </w:r>
            <w:r>
              <w:rPr>
                <w:rFonts w:hint="eastAsia"/>
                <w:sz w:val="24"/>
                <w:lang w:val="en-US" w:eastAsia="zh-CN"/>
              </w:rPr>
              <w:t>40</w:t>
            </w:r>
            <w:r>
              <w:rPr>
                <w:sz w:val="24"/>
              </w:rPr>
              <w:t>分）</w:t>
            </w:r>
          </w:p>
        </w:tc>
        <w:tc>
          <w:tcPr>
            <w:tcW w:w="2835" w:type="dxa"/>
            <w:vAlign w:val="center"/>
          </w:tcPr>
          <w:p>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pPr>
              <w:spacing w:line="400" w:lineRule="exact"/>
              <w:rPr>
                <w:sz w:val="24"/>
              </w:rPr>
            </w:pPr>
            <w:r>
              <w:rPr>
                <w:sz w:val="24"/>
              </w:rPr>
              <w:t xml:space="preserve">基准价：          报价：  </w:t>
            </w:r>
          </w:p>
        </w:tc>
        <w:tc>
          <w:tcPr>
            <w:tcW w:w="1134" w:type="dxa"/>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pPr>
              <w:spacing w:line="400" w:lineRule="exact"/>
              <w:jc w:val="center"/>
              <w:rPr>
                <w:b/>
                <w:sz w:val="24"/>
              </w:rPr>
            </w:pPr>
            <w:r>
              <w:rPr>
                <w:b/>
                <w:sz w:val="24"/>
              </w:rPr>
              <w:t>合计得分</w:t>
            </w:r>
          </w:p>
        </w:tc>
        <w:tc>
          <w:tcPr>
            <w:tcW w:w="1134" w:type="dxa"/>
            <w:vAlign w:val="center"/>
          </w:tcPr>
          <w:p>
            <w:pPr>
              <w:spacing w:line="400" w:lineRule="exact"/>
              <w:rPr>
                <w:sz w:val="24"/>
              </w:rPr>
            </w:pPr>
          </w:p>
        </w:tc>
      </w:tr>
    </w:tbl>
    <w:p>
      <w:pPr>
        <w:wordWrap w:val="0"/>
        <w:spacing w:line="360" w:lineRule="auto"/>
        <w:rPr>
          <w:b/>
          <w:sz w:val="24"/>
        </w:rPr>
      </w:pPr>
    </w:p>
    <w:p>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方正大标宋_GBK">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Noto Color Emoji">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DvbGRr0QAAAAIBAAAPAAAAAAAAAAEAIAAAADgAAABkcnMv&#10;ZG93bnJldi54bWxQSwECFAAUAAAACACHTuJAA9PVcS0CAABSBAAADgAAAAAAAAABACAAAAA2AQAA&#10;ZHJzL2Uyb0RvYy54bWxQSwUGAAAAAAYABgBZAQAA1QUAAAAA&#10;">
              <v:fill on="f" focussize="0,0"/>
              <v:stroke on="f" weight="0.5pt"/>
              <v:imagedata o:title=""/>
              <o:lock v:ext="edit" aspectratio="f"/>
              <v:textbox inset="0mm,0mm,0mm,0mm" style="mso-fit-shape-to-text:t;">
                <w:txbxContent>
                  <w:p>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revisionView w:markup="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7FF41A1"/>
    <w:rsid w:val="19DE306E"/>
    <w:rsid w:val="1B6DFBC8"/>
    <w:rsid w:val="1B723B6E"/>
    <w:rsid w:val="1F873298"/>
    <w:rsid w:val="37985357"/>
    <w:rsid w:val="38F45B51"/>
    <w:rsid w:val="3C7FC92F"/>
    <w:rsid w:val="3DB74606"/>
    <w:rsid w:val="3EEB2031"/>
    <w:rsid w:val="42913165"/>
    <w:rsid w:val="43C24EA7"/>
    <w:rsid w:val="47FD2F73"/>
    <w:rsid w:val="507F3A61"/>
    <w:rsid w:val="547824F2"/>
    <w:rsid w:val="57C54D3D"/>
    <w:rsid w:val="5F7CFA26"/>
    <w:rsid w:val="5F9D30E8"/>
    <w:rsid w:val="5F9EC934"/>
    <w:rsid w:val="64BD5BAE"/>
    <w:rsid w:val="678F6B79"/>
    <w:rsid w:val="67F7DA41"/>
    <w:rsid w:val="696E599F"/>
    <w:rsid w:val="697F4F4D"/>
    <w:rsid w:val="6AA442B5"/>
    <w:rsid w:val="6FB9B9C3"/>
    <w:rsid w:val="6FCE04FF"/>
    <w:rsid w:val="6FDF3B00"/>
    <w:rsid w:val="71CBC1FC"/>
    <w:rsid w:val="74EF1B21"/>
    <w:rsid w:val="777F9269"/>
    <w:rsid w:val="77FFBC68"/>
    <w:rsid w:val="78332547"/>
    <w:rsid w:val="791314E0"/>
    <w:rsid w:val="79E7F1D1"/>
    <w:rsid w:val="7A7F59DD"/>
    <w:rsid w:val="7B64BA4F"/>
    <w:rsid w:val="7B974D51"/>
    <w:rsid w:val="7BEE146F"/>
    <w:rsid w:val="7EF41059"/>
    <w:rsid w:val="7FFCF0BD"/>
    <w:rsid w:val="8DFE89F5"/>
    <w:rsid w:val="9DFFD4DE"/>
    <w:rsid w:val="ABF797A8"/>
    <w:rsid w:val="AF73021E"/>
    <w:rsid w:val="B7BCBC99"/>
    <w:rsid w:val="BA974FE1"/>
    <w:rsid w:val="BFC318E2"/>
    <w:rsid w:val="BFE3E116"/>
    <w:rsid w:val="CDFB89D3"/>
    <w:rsid w:val="D3FEBD6D"/>
    <w:rsid w:val="D7FC9E3C"/>
    <w:rsid w:val="DE71A105"/>
    <w:rsid w:val="DFFFE643"/>
    <w:rsid w:val="E6767517"/>
    <w:rsid w:val="E6AB6CE7"/>
    <w:rsid w:val="EEFBB070"/>
    <w:rsid w:val="EF2DA1E9"/>
    <w:rsid w:val="EFAF74AF"/>
    <w:rsid w:val="EFFE6368"/>
    <w:rsid w:val="F3DE884C"/>
    <w:rsid w:val="F75F3D47"/>
    <w:rsid w:val="F79C64FB"/>
    <w:rsid w:val="F7F7BF67"/>
    <w:rsid w:val="F959FF20"/>
    <w:rsid w:val="FD6A249F"/>
    <w:rsid w:val="FD7DBBCE"/>
    <w:rsid w:val="FDAF1B5B"/>
    <w:rsid w:val="FDBBF2D0"/>
    <w:rsid w:val="FEBF0710"/>
    <w:rsid w:val="FEE72B12"/>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3</TotalTime>
  <ScaleCrop>false</ScaleCrop>
  <LinksUpToDate>false</LinksUpToDate>
  <CharactersWithSpaces>1021</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2024-10-01T14:27:00Z</dcterms:created>
  <dc:creator>HuaHua</dc:creator>
  <cp:lastModifiedBy>greatwall</cp:lastModifiedBy>
  <cp:lastPrinted>2025-10-30T16:40:00Z</cp:lastPrinted>
  <dcterms:modified xsi:type="dcterms:W3CDTF">2026-04-02T15:03:15Z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D5362314BB7FA9BCA5DB0169166011CB_43</vt:lpwstr>
  </property>
</Properties>
</file>