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19BB8">
      <w:pPr>
        <w:rPr>
          <w:rFonts w:hint="default" w:ascii="Times New Roman" w:hAnsi="Times New Roman" w:eastAsia="方正黑体简体" w:cs="Times New Roman"/>
          <w:i w:val="0"/>
          <w:iCs w:val="0"/>
          <w:caps w:val="0"/>
          <w:color w:val="auto"/>
          <w:spacing w:val="0"/>
          <w:sz w:val="30"/>
          <w:szCs w:val="30"/>
          <w:shd w:val="clear" w:color="auto" w:fill="FFFFFF"/>
          <w:lang w:val="en-US" w:eastAsia="zh-CN"/>
        </w:rPr>
      </w:pPr>
      <w:r>
        <w:rPr>
          <w:rFonts w:hint="default" w:ascii="Times New Roman" w:hAnsi="Times New Roman" w:eastAsia="方正黑体_GBK" w:cs="Times New Roman"/>
          <w:i w:val="0"/>
          <w:iCs w:val="0"/>
          <w:caps w:val="0"/>
          <w:color w:val="auto"/>
          <w:spacing w:val="0"/>
          <w:sz w:val="30"/>
          <w:szCs w:val="30"/>
          <w:shd w:val="clear" w:color="auto" w:fill="FFFFFF"/>
          <w:lang w:eastAsia="zh-CN"/>
        </w:rPr>
        <w:t>附件</w:t>
      </w:r>
      <w:r>
        <w:rPr>
          <w:rFonts w:hint="default" w:ascii="Times New Roman" w:hAnsi="Times New Roman" w:eastAsia="方正黑体_GBK" w:cs="Times New Roman"/>
          <w:i w:val="0"/>
          <w:iCs w:val="0"/>
          <w:caps w:val="0"/>
          <w:color w:val="auto"/>
          <w:spacing w:val="0"/>
          <w:sz w:val="30"/>
          <w:szCs w:val="30"/>
          <w:shd w:val="clear" w:color="auto" w:fill="FFFFFF"/>
          <w:lang w:val="en-US" w:eastAsia="zh-CN"/>
        </w:rPr>
        <w:t>2</w:t>
      </w:r>
      <w:r>
        <w:rPr>
          <w:rFonts w:hint="default" w:ascii="Times New Roman" w:hAnsi="Times New Roman" w:eastAsia="方正黑体简体" w:cs="Times New Roman"/>
          <w:i w:val="0"/>
          <w:iCs w:val="0"/>
          <w:caps w:val="0"/>
          <w:color w:val="auto"/>
          <w:spacing w:val="0"/>
          <w:sz w:val="30"/>
          <w:szCs w:val="30"/>
          <w:shd w:val="clear" w:color="auto" w:fill="FFFFFF"/>
          <w:lang w:val="en-US" w:eastAsia="zh-CN"/>
        </w:rPr>
        <w:t xml:space="preserve">               </w:t>
      </w:r>
      <w:r>
        <w:rPr>
          <w:rFonts w:hint="default" w:ascii="Times New Roman" w:hAnsi="Times New Roman" w:eastAsia="方正大标宋_GBK" w:cs="Times New Roman"/>
          <w:i w:val="0"/>
          <w:iCs w:val="0"/>
          <w:caps w:val="0"/>
          <w:color w:val="auto"/>
          <w:spacing w:val="0"/>
          <w:sz w:val="42"/>
          <w:szCs w:val="42"/>
          <w:shd w:val="clear" w:color="auto" w:fill="FFFFFF"/>
          <w:lang w:val="en-US" w:eastAsia="zh-CN"/>
        </w:rPr>
        <w:t xml:space="preserve"> 评分细则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60"/>
        <w:gridCol w:w="735"/>
        <w:gridCol w:w="5117"/>
      </w:tblGrid>
      <w:tr w14:paraId="0D0D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top"/>
          </w:tcPr>
          <w:p w14:paraId="197A7E9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方正黑体_GBK" w:cs="Times New Roman"/>
                <w:sz w:val="24"/>
                <w:szCs w:val="24"/>
                <w:highlight w:val="none"/>
                <w:vertAlign w:val="baseline"/>
                <w:lang w:val="en-US" w:eastAsia="zh-CN"/>
              </w:rPr>
            </w:pPr>
            <w:r>
              <w:rPr>
                <w:rFonts w:hint="default" w:ascii="Times New Roman" w:hAnsi="Times New Roman" w:eastAsia="方正黑体_GBK" w:cs="Times New Roman"/>
                <w:sz w:val="24"/>
                <w:szCs w:val="24"/>
                <w:highlight w:val="none"/>
                <w:vertAlign w:val="baseline"/>
                <w:lang w:val="en-US" w:eastAsia="zh-CN"/>
              </w:rPr>
              <w:t>评审因素</w:t>
            </w:r>
          </w:p>
        </w:tc>
        <w:tc>
          <w:tcPr>
            <w:tcW w:w="1260" w:type="dxa"/>
            <w:noWrap w:val="0"/>
            <w:vAlign w:val="top"/>
          </w:tcPr>
          <w:p w14:paraId="11F3D85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方正黑体_GBK" w:cs="Times New Roman"/>
                <w:sz w:val="24"/>
                <w:szCs w:val="24"/>
                <w:highlight w:val="none"/>
                <w:vertAlign w:val="baseline"/>
                <w:lang w:val="en-US" w:eastAsia="zh-CN"/>
              </w:rPr>
            </w:pPr>
            <w:r>
              <w:rPr>
                <w:rFonts w:hint="default" w:ascii="Times New Roman" w:hAnsi="Times New Roman" w:eastAsia="方正黑体_GBK" w:cs="Times New Roman"/>
                <w:sz w:val="24"/>
                <w:szCs w:val="24"/>
                <w:highlight w:val="none"/>
                <w:vertAlign w:val="baseline"/>
                <w:lang w:val="en-US" w:eastAsia="zh-CN"/>
              </w:rPr>
              <w:t>评审子项</w:t>
            </w:r>
          </w:p>
        </w:tc>
        <w:tc>
          <w:tcPr>
            <w:tcW w:w="735" w:type="dxa"/>
            <w:noWrap w:val="0"/>
            <w:vAlign w:val="top"/>
          </w:tcPr>
          <w:p w14:paraId="1AC6D307">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方正黑体_GBK" w:cs="Times New Roman"/>
                <w:sz w:val="24"/>
                <w:szCs w:val="24"/>
                <w:highlight w:val="none"/>
                <w:vertAlign w:val="baseline"/>
                <w:lang w:val="en-US" w:eastAsia="zh-CN"/>
              </w:rPr>
            </w:pPr>
            <w:r>
              <w:rPr>
                <w:rFonts w:hint="default" w:ascii="Times New Roman" w:hAnsi="Times New Roman" w:eastAsia="方正黑体_GBK" w:cs="Times New Roman"/>
                <w:sz w:val="24"/>
                <w:szCs w:val="24"/>
                <w:highlight w:val="none"/>
                <w:vertAlign w:val="baseline"/>
                <w:lang w:val="en-US" w:eastAsia="zh-CN"/>
              </w:rPr>
              <w:t>分值</w:t>
            </w:r>
          </w:p>
        </w:tc>
        <w:tc>
          <w:tcPr>
            <w:tcW w:w="5117" w:type="dxa"/>
            <w:noWrap w:val="0"/>
            <w:vAlign w:val="top"/>
          </w:tcPr>
          <w:p w14:paraId="2A04AA1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方正黑体_GBK" w:cs="Times New Roman"/>
                <w:sz w:val="24"/>
                <w:szCs w:val="24"/>
                <w:highlight w:val="none"/>
                <w:vertAlign w:val="baseline"/>
                <w:lang w:val="en-US" w:eastAsia="zh-CN"/>
              </w:rPr>
            </w:pPr>
            <w:r>
              <w:rPr>
                <w:rFonts w:hint="default" w:ascii="Times New Roman" w:hAnsi="Times New Roman" w:eastAsia="方正黑体_GBK" w:cs="Times New Roman"/>
                <w:sz w:val="24"/>
                <w:szCs w:val="24"/>
                <w:highlight w:val="none"/>
                <w:vertAlign w:val="baseline"/>
                <w:lang w:val="en-US" w:eastAsia="zh-CN"/>
              </w:rPr>
              <w:t>评审标准</w:t>
            </w:r>
          </w:p>
        </w:tc>
      </w:tr>
      <w:tr w14:paraId="1D09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1194" w:type="dxa"/>
            <w:vMerge w:val="restart"/>
            <w:noWrap w:val="0"/>
            <w:vAlign w:val="top"/>
          </w:tcPr>
          <w:p w14:paraId="028FF424">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技术部分（35分）</w:t>
            </w:r>
          </w:p>
        </w:tc>
        <w:tc>
          <w:tcPr>
            <w:tcW w:w="1260" w:type="dxa"/>
            <w:noWrap w:val="0"/>
            <w:vAlign w:val="top"/>
          </w:tcPr>
          <w:p w14:paraId="04E4C363">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运维实施方案</w:t>
            </w:r>
          </w:p>
        </w:tc>
        <w:tc>
          <w:tcPr>
            <w:tcW w:w="735" w:type="dxa"/>
            <w:noWrap w:val="0"/>
            <w:vAlign w:val="top"/>
          </w:tcPr>
          <w:p w14:paraId="43AF3B50">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20分</w:t>
            </w:r>
          </w:p>
        </w:tc>
        <w:tc>
          <w:tcPr>
            <w:tcW w:w="5117" w:type="dxa"/>
            <w:noWrap w:val="0"/>
            <w:vAlign w:val="top"/>
          </w:tcPr>
          <w:p w14:paraId="2C7F7025">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根据采购需求内容的要求，对投标人提供的运维实施方案（含巡检、维护、测试、故障处置流程等）进行评审：1.方案科学合理，内容详细全面，流程规范，针对性强，完全满足且优于采购需求，得</w:t>
            </w:r>
            <w:r>
              <w:rPr>
                <w:rFonts w:hint="default" w:ascii="Times New Roman" w:hAnsi="Times New Roman" w:eastAsia="仿宋" w:cs="Times New Roman"/>
                <w:sz w:val="24"/>
                <w:szCs w:val="24"/>
                <w:highlight w:val="none"/>
                <w:vertAlign w:val="baseline"/>
                <w:lang w:val="en-US" w:eastAsia="zh-CN"/>
              </w:rPr>
              <w:t>20</w:t>
            </w:r>
            <w:r>
              <w:rPr>
                <w:rFonts w:hint="default" w:ascii="Times New Roman" w:hAnsi="Times New Roman" w:eastAsia="仿宋" w:cs="Times New Roman"/>
                <w:sz w:val="24"/>
                <w:szCs w:val="24"/>
                <w:highlight w:val="none"/>
                <w:vertAlign w:val="baseline"/>
              </w:rPr>
              <w:t xml:space="preserve">分；2.方案较合理，内容较详细，流程较规范，完全满足采购需求，得 </w:t>
            </w:r>
            <w:r>
              <w:rPr>
                <w:rFonts w:hint="default" w:ascii="Times New Roman" w:hAnsi="Times New Roman" w:eastAsia="仿宋" w:cs="Times New Roman"/>
                <w:sz w:val="24"/>
                <w:szCs w:val="24"/>
                <w:highlight w:val="none"/>
                <w:vertAlign w:val="baseline"/>
                <w:lang w:val="en-US" w:eastAsia="zh-CN"/>
              </w:rPr>
              <w:t>15</w:t>
            </w:r>
            <w:r>
              <w:rPr>
                <w:rFonts w:hint="default" w:ascii="Times New Roman" w:hAnsi="Times New Roman" w:eastAsia="仿宋" w:cs="Times New Roman"/>
                <w:sz w:val="24"/>
                <w:szCs w:val="24"/>
                <w:highlight w:val="none"/>
                <w:vertAlign w:val="baseline"/>
              </w:rPr>
              <w:t xml:space="preserve"> 分；3.方案合理性一般，内容简单，流程不完整，不完全满足采购需求，得</w:t>
            </w:r>
            <w:r>
              <w:rPr>
                <w:rFonts w:hint="default" w:ascii="Times New Roman" w:hAnsi="Times New Roman" w:eastAsia="仿宋" w:cs="Times New Roman"/>
                <w:sz w:val="24"/>
                <w:szCs w:val="24"/>
                <w:highlight w:val="none"/>
                <w:vertAlign w:val="baseline"/>
                <w:lang w:val="en-US" w:eastAsia="zh-CN"/>
              </w:rPr>
              <w:t>10</w:t>
            </w:r>
            <w:r>
              <w:rPr>
                <w:rFonts w:hint="default" w:ascii="Times New Roman" w:hAnsi="Times New Roman" w:eastAsia="仿宋" w:cs="Times New Roman"/>
                <w:sz w:val="24"/>
                <w:szCs w:val="24"/>
                <w:highlight w:val="none"/>
                <w:vertAlign w:val="baseline"/>
              </w:rPr>
              <w:t>分；4.未提供方案的，得0分。</w:t>
            </w:r>
          </w:p>
        </w:tc>
      </w:tr>
      <w:tr w14:paraId="344B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continue"/>
            <w:noWrap w:val="0"/>
            <w:vAlign w:val="top"/>
          </w:tcPr>
          <w:p w14:paraId="2A467FB1">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rPr>
            </w:pPr>
          </w:p>
        </w:tc>
        <w:tc>
          <w:tcPr>
            <w:tcW w:w="1260" w:type="dxa"/>
            <w:noWrap w:val="0"/>
            <w:vAlign w:val="top"/>
          </w:tcPr>
          <w:p w14:paraId="5632F95A">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应急保障方案</w:t>
            </w:r>
          </w:p>
        </w:tc>
        <w:tc>
          <w:tcPr>
            <w:tcW w:w="735" w:type="dxa"/>
            <w:noWrap w:val="0"/>
            <w:vAlign w:val="top"/>
          </w:tcPr>
          <w:p w14:paraId="1320F1D4">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15分</w:t>
            </w:r>
          </w:p>
        </w:tc>
        <w:tc>
          <w:tcPr>
            <w:tcW w:w="5117" w:type="dxa"/>
            <w:noWrap w:val="0"/>
            <w:vAlign w:val="top"/>
          </w:tcPr>
          <w:p w14:paraId="1BAC56AB">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根据采购需求内容的要求，对投标人提供的核应急保障方案（含故障应急、核事故应急处置保障等）进行评审：1.方案完善，</w:t>
            </w:r>
            <w:r>
              <w:rPr>
                <w:rFonts w:hint="default" w:ascii="Times New Roman" w:hAnsi="Times New Roman" w:eastAsia="仿宋" w:cs="Times New Roman"/>
                <w:sz w:val="24"/>
                <w:szCs w:val="24"/>
                <w:highlight w:val="none"/>
                <w:vertAlign w:val="baseline"/>
                <w:lang w:eastAsia="zh-CN"/>
              </w:rPr>
              <w:t>应急</w:t>
            </w:r>
            <w:r>
              <w:rPr>
                <w:rFonts w:hint="default" w:ascii="Times New Roman" w:hAnsi="Times New Roman" w:eastAsia="仿宋" w:cs="Times New Roman"/>
                <w:sz w:val="24"/>
                <w:szCs w:val="24"/>
                <w:highlight w:val="none"/>
                <w:vertAlign w:val="baseline"/>
              </w:rPr>
              <w:t xml:space="preserve">响应机制明确，保障措施到位，完全满足且优于采购需求，得 </w:t>
            </w:r>
            <w:r>
              <w:rPr>
                <w:rFonts w:hint="default" w:ascii="Times New Roman" w:hAnsi="Times New Roman" w:eastAsia="仿宋" w:cs="Times New Roman"/>
                <w:sz w:val="24"/>
                <w:szCs w:val="24"/>
                <w:highlight w:val="none"/>
                <w:vertAlign w:val="baseline"/>
                <w:lang w:val="en-US" w:eastAsia="zh-CN"/>
              </w:rPr>
              <w:t>15</w:t>
            </w:r>
            <w:r>
              <w:rPr>
                <w:rFonts w:hint="default" w:ascii="Times New Roman" w:hAnsi="Times New Roman" w:eastAsia="仿宋" w:cs="Times New Roman"/>
                <w:sz w:val="24"/>
                <w:szCs w:val="24"/>
                <w:highlight w:val="none"/>
                <w:vertAlign w:val="baseline"/>
              </w:rPr>
              <w:t>分；2.方案较完善，</w:t>
            </w:r>
            <w:r>
              <w:rPr>
                <w:rFonts w:hint="default" w:ascii="Times New Roman" w:hAnsi="Times New Roman" w:eastAsia="仿宋" w:cs="Times New Roman"/>
                <w:sz w:val="24"/>
                <w:szCs w:val="24"/>
                <w:highlight w:val="none"/>
                <w:vertAlign w:val="baseline"/>
                <w:lang w:eastAsia="zh-CN"/>
              </w:rPr>
              <w:t>应急</w:t>
            </w:r>
            <w:r>
              <w:rPr>
                <w:rFonts w:hint="default" w:ascii="Times New Roman" w:hAnsi="Times New Roman" w:eastAsia="仿宋" w:cs="Times New Roman"/>
                <w:sz w:val="24"/>
                <w:szCs w:val="24"/>
                <w:highlight w:val="none"/>
                <w:vertAlign w:val="baseline"/>
              </w:rPr>
              <w:t>响应机制较明确，保障措施较到位，完全满足采购需求，得</w:t>
            </w:r>
            <w:r>
              <w:rPr>
                <w:rFonts w:hint="default" w:ascii="Times New Roman" w:hAnsi="Times New Roman" w:eastAsia="仿宋" w:cs="Times New Roman"/>
                <w:sz w:val="24"/>
                <w:szCs w:val="24"/>
                <w:highlight w:val="none"/>
                <w:vertAlign w:val="baseline"/>
                <w:lang w:val="en-US" w:eastAsia="zh-CN"/>
              </w:rPr>
              <w:t>10</w:t>
            </w:r>
            <w:r>
              <w:rPr>
                <w:rFonts w:hint="default" w:ascii="Times New Roman" w:hAnsi="Times New Roman" w:eastAsia="仿宋" w:cs="Times New Roman"/>
                <w:sz w:val="24"/>
                <w:szCs w:val="24"/>
                <w:highlight w:val="none"/>
                <w:vertAlign w:val="baseline"/>
              </w:rPr>
              <w:t>分；3.方案不完善，</w:t>
            </w:r>
            <w:r>
              <w:rPr>
                <w:rFonts w:hint="default" w:ascii="Times New Roman" w:hAnsi="Times New Roman" w:eastAsia="仿宋" w:cs="Times New Roman"/>
                <w:sz w:val="24"/>
                <w:szCs w:val="24"/>
                <w:highlight w:val="none"/>
                <w:vertAlign w:val="baseline"/>
                <w:lang w:eastAsia="zh-CN"/>
              </w:rPr>
              <w:t>应急</w:t>
            </w:r>
            <w:r>
              <w:rPr>
                <w:rFonts w:hint="default" w:ascii="Times New Roman" w:hAnsi="Times New Roman" w:eastAsia="仿宋" w:cs="Times New Roman"/>
                <w:sz w:val="24"/>
                <w:szCs w:val="24"/>
                <w:highlight w:val="none"/>
                <w:vertAlign w:val="baseline"/>
              </w:rPr>
              <w:t>响应机制模糊，保障措施不足，不完全满足采购需求，得</w:t>
            </w:r>
            <w:r>
              <w:rPr>
                <w:rFonts w:hint="default" w:ascii="Times New Roman" w:hAnsi="Times New Roman" w:eastAsia="仿宋" w:cs="Times New Roman"/>
                <w:sz w:val="24"/>
                <w:szCs w:val="24"/>
                <w:highlight w:val="none"/>
                <w:vertAlign w:val="baseline"/>
                <w:lang w:val="en-US" w:eastAsia="zh-CN"/>
              </w:rPr>
              <w:t>5</w:t>
            </w:r>
            <w:r>
              <w:rPr>
                <w:rFonts w:hint="default" w:ascii="Times New Roman" w:hAnsi="Times New Roman" w:eastAsia="仿宋" w:cs="Times New Roman"/>
                <w:sz w:val="24"/>
                <w:szCs w:val="24"/>
                <w:highlight w:val="none"/>
                <w:vertAlign w:val="baseline"/>
              </w:rPr>
              <w:t>分；4.未提供方案的，得0分。</w:t>
            </w:r>
          </w:p>
        </w:tc>
      </w:tr>
      <w:tr w14:paraId="1725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1194" w:type="dxa"/>
            <w:vMerge w:val="restart"/>
            <w:noWrap w:val="0"/>
            <w:vAlign w:val="top"/>
          </w:tcPr>
          <w:p w14:paraId="5AFEB9A9">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商务部分（50分）</w:t>
            </w:r>
          </w:p>
        </w:tc>
        <w:tc>
          <w:tcPr>
            <w:tcW w:w="1260" w:type="dxa"/>
            <w:noWrap w:val="0"/>
            <w:vAlign w:val="top"/>
          </w:tcPr>
          <w:p w14:paraId="46F3A967">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项目业绩</w:t>
            </w:r>
          </w:p>
        </w:tc>
        <w:tc>
          <w:tcPr>
            <w:tcW w:w="735" w:type="dxa"/>
            <w:noWrap w:val="0"/>
            <w:vAlign w:val="top"/>
          </w:tcPr>
          <w:p w14:paraId="5D165B02">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20分</w:t>
            </w:r>
          </w:p>
        </w:tc>
        <w:tc>
          <w:tcPr>
            <w:tcW w:w="5117" w:type="dxa"/>
            <w:noWrap w:val="0"/>
            <w:vAlign w:val="top"/>
          </w:tcPr>
          <w:p w14:paraId="05275AE8">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投标人自202</w:t>
            </w:r>
            <w:r>
              <w:rPr>
                <w:rFonts w:hint="default" w:ascii="Times New Roman" w:hAnsi="Times New Roman" w:eastAsia="仿宋" w:cs="Times New Roman"/>
                <w:sz w:val="24"/>
                <w:szCs w:val="24"/>
                <w:highlight w:val="none"/>
                <w:vertAlign w:val="baseline"/>
                <w:lang w:val="en-US" w:eastAsia="zh-CN"/>
              </w:rPr>
              <w:t>1</w:t>
            </w:r>
            <w:r>
              <w:rPr>
                <w:rFonts w:hint="default" w:ascii="Times New Roman" w:hAnsi="Times New Roman" w:eastAsia="仿宋" w:cs="Times New Roman"/>
                <w:sz w:val="24"/>
                <w:szCs w:val="24"/>
                <w:highlight w:val="none"/>
                <w:vertAlign w:val="baseline"/>
              </w:rPr>
              <w:t>年1月1日至今（以合同签订时间为准）承接过核与辐射</w:t>
            </w:r>
            <w:r>
              <w:rPr>
                <w:rFonts w:hint="default" w:ascii="Times New Roman" w:hAnsi="Times New Roman" w:eastAsia="仿宋" w:cs="Times New Roman"/>
                <w:sz w:val="24"/>
                <w:szCs w:val="24"/>
                <w:highlight w:val="none"/>
                <w:vertAlign w:val="baseline"/>
                <w:lang w:val="en-US" w:eastAsia="zh-CN"/>
              </w:rPr>
              <w:t>类运维或会务系统运维</w:t>
            </w:r>
            <w:r>
              <w:rPr>
                <w:rFonts w:hint="default" w:ascii="Times New Roman" w:hAnsi="Times New Roman" w:eastAsia="仿宋" w:cs="Times New Roman"/>
                <w:sz w:val="24"/>
                <w:szCs w:val="24"/>
                <w:highlight w:val="none"/>
                <w:vertAlign w:val="baseline"/>
              </w:rPr>
              <w:t>相关项目业绩，</w:t>
            </w:r>
            <w:r>
              <w:rPr>
                <w:rFonts w:hint="default" w:ascii="Times New Roman" w:hAnsi="Times New Roman" w:eastAsia="仿宋" w:cs="Times New Roman"/>
                <w:sz w:val="24"/>
                <w:szCs w:val="24"/>
                <w:highlight w:val="none"/>
              </w:rPr>
              <w:t>项目名称须有</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运维”字样，</w:t>
            </w:r>
            <w:r>
              <w:rPr>
                <w:rFonts w:hint="default" w:ascii="Times New Roman" w:hAnsi="Times New Roman" w:eastAsia="仿宋" w:cs="Times New Roman"/>
                <w:sz w:val="24"/>
                <w:szCs w:val="24"/>
                <w:highlight w:val="none"/>
                <w:vertAlign w:val="baseline"/>
              </w:rPr>
              <w:t>每提供一份业绩得</w:t>
            </w:r>
            <w:r>
              <w:rPr>
                <w:rFonts w:hint="default" w:ascii="Times New Roman" w:hAnsi="Times New Roman" w:eastAsia="仿宋" w:cs="Times New Roman"/>
                <w:sz w:val="24"/>
                <w:szCs w:val="24"/>
                <w:highlight w:val="none"/>
                <w:vertAlign w:val="baseline"/>
                <w:lang w:val="en-US" w:eastAsia="zh-CN"/>
              </w:rPr>
              <w:t>5</w:t>
            </w:r>
            <w:r>
              <w:rPr>
                <w:rFonts w:hint="default" w:ascii="Times New Roman" w:hAnsi="Times New Roman" w:eastAsia="仿宋" w:cs="Times New Roman"/>
                <w:sz w:val="24"/>
                <w:szCs w:val="24"/>
                <w:highlight w:val="none"/>
                <w:vertAlign w:val="baseline"/>
              </w:rPr>
              <w:t>分，最高得</w:t>
            </w:r>
            <w:r>
              <w:rPr>
                <w:rFonts w:hint="default" w:ascii="Times New Roman" w:hAnsi="Times New Roman" w:eastAsia="仿宋" w:cs="Times New Roman"/>
                <w:sz w:val="24"/>
                <w:szCs w:val="24"/>
                <w:highlight w:val="none"/>
                <w:vertAlign w:val="baseline"/>
                <w:lang w:val="en-US" w:eastAsia="zh-CN"/>
              </w:rPr>
              <w:t>20</w:t>
            </w:r>
            <w:r>
              <w:rPr>
                <w:rFonts w:hint="default" w:ascii="Times New Roman" w:hAnsi="Times New Roman" w:eastAsia="仿宋" w:cs="Times New Roman"/>
                <w:sz w:val="24"/>
                <w:szCs w:val="24"/>
                <w:highlight w:val="none"/>
                <w:vertAlign w:val="baseline"/>
              </w:rPr>
              <w:t>分。</w:t>
            </w:r>
          </w:p>
          <w:p w14:paraId="3EF4D93C">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注：提供加盖公章的合同关键信息（含签订合同双方的单位名称、合同项目名称、服务内容与含签订合同双方的落款盖章、签订日期的关键页）复印件作为得分依据。</w:t>
            </w:r>
          </w:p>
        </w:tc>
      </w:tr>
      <w:tr w14:paraId="4E5C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194" w:type="dxa"/>
            <w:vMerge w:val="continue"/>
            <w:noWrap w:val="0"/>
            <w:vAlign w:val="top"/>
          </w:tcPr>
          <w:p w14:paraId="7CE28A51">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rPr>
            </w:pPr>
          </w:p>
        </w:tc>
        <w:tc>
          <w:tcPr>
            <w:tcW w:w="1260" w:type="dxa"/>
            <w:noWrap w:val="0"/>
            <w:vAlign w:val="top"/>
          </w:tcPr>
          <w:p w14:paraId="2CEA990C">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认证情况</w:t>
            </w:r>
          </w:p>
        </w:tc>
        <w:tc>
          <w:tcPr>
            <w:tcW w:w="735" w:type="dxa"/>
            <w:noWrap w:val="0"/>
            <w:vAlign w:val="top"/>
          </w:tcPr>
          <w:p w14:paraId="0B36FF00">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6分</w:t>
            </w:r>
          </w:p>
        </w:tc>
        <w:tc>
          <w:tcPr>
            <w:tcW w:w="5117" w:type="dxa"/>
            <w:noWrap w:val="0"/>
            <w:vAlign w:val="top"/>
          </w:tcPr>
          <w:p w14:paraId="1D732D5B">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供应商具有质量管理体系认证、环境管理体系认证，每个证书3分，满分6分。</w:t>
            </w:r>
          </w:p>
          <w:p w14:paraId="5E38F460">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注：投标文件中提供上述证书复印件及证书信息在官方指定网站查询的网页截图并加盖供应商公章，未按要求提供的不得分。</w:t>
            </w:r>
          </w:p>
        </w:tc>
      </w:tr>
      <w:tr w14:paraId="02F2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continue"/>
            <w:noWrap w:val="0"/>
            <w:vAlign w:val="top"/>
          </w:tcPr>
          <w:p w14:paraId="66FEA9E4">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rPr>
            </w:pPr>
          </w:p>
        </w:tc>
        <w:tc>
          <w:tcPr>
            <w:tcW w:w="1260" w:type="dxa"/>
            <w:noWrap w:val="0"/>
            <w:vAlign w:val="top"/>
          </w:tcPr>
          <w:p w14:paraId="62060E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kern w:val="2"/>
                <w:sz w:val="24"/>
                <w:szCs w:val="24"/>
                <w:highlight w:val="none"/>
                <w:vertAlign w:val="baseline"/>
                <w:lang w:val="en" w:eastAsia="zh-CN" w:bidi="ar-SA"/>
              </w:rPr>
              <w:t>参与本项目工作人员情况</w:t>
            </w:r>
          </w:p>
        </w:tc>
        <w:tc>
          <w:tcPr>
            <w:tcW w:w="735" w:type="dxa"/>
            <w:noWrap w:val="0"/>
            <w:vAlign w:val="top"/>
          </w:tcPr>
          <w:p w14:paraId="02932EA5">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24分</w:t>
            </w:r>
          </w:p>
        </w:tc>
        <w:tc>
          <w:tcPr>
            <w:tcW w:w="5117" w:type="dxa"/>
            <w:noWrap w:val="0"/>
            <w:vAlign w:val="top"/>
          </w:tcPr>
          <w:p w14:paraId="3889CF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0"/>
              <w:textAlignment w:val="auto"/>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供应商拟派本项目的项目负责人：</w:t>
            </w:r>
          </w:p>
          <w:p w14:paraId="5BA6AF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0"/>
              <w:textAlignment w:val="auto"/>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①项目负责人具有环境保护、核与辐射、物理类中级（或以上）职称的，得3分；</w:t>
            </w:r>
          </w:p>
          <w:p w14:paraId="0654CD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0"/>
              <w:textAlignment w:val="auto"/>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②在①基础上，项目负责人具有5年以上核与辐射行业从业经验的，得3分，具有3年以上核与辐射行业从业经验的，得2分，具有1年以上核与辐射行业从业经验的，得1分，其余不得分，最高得3分；</w:t>
            </w:r>
          </w:p>
          <w:p w14:paraId="4C1411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③项目团队人员具有环境保护、核与辐射、物理类初级（或以上）职称的，每提供1个得1分，最高得6分。</w:t>
            </w:r>
          </w:p>
          <w:p w14:paraId="1EE24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④在③基础上，项目团队成员具有省级（含）以上生态环境主管部门或下属环境辐射监测机构颁发的辐射环境监测人员技术考核合格证（ X-γ辐射剂量率、α、β表面污染、中子剂量当量率），每提供1个得1分，最高得6分；具有生态环境部核与辐射安全中心颁发的核安全应急与安保（核工程领域）证书，每有1个得1分，最高得6分。本小项最高得12分。</w:t>
            </w:r>
          </w:p>
          <w:p w14:paraId="10E713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0"/>
              <w:textAlignment w:val="auto"/>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本项最高得24分。</w:t>
            </w:r>
          </w:p>
          <w:p w14:paraId="5A9804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0"/>
              <w:textAlignment w:val="auto"/>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注：</w:t>
            </w:r>
          </w:p>
          <w:p w14:paraId="76B99F7E">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说明：须提供人员相关证书及投标截止时间前六个月内任意一个月的社会保险缴交证明，没有提供不计分。</w:t>
            </w:r>
          </w:p>
        </w:tc>
      </w:tr>
      <w:tr w14:paraId="550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top"/>
          </w:tcPr>
          <w:p w14:paraId="08927025">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报价得分（15分）</w:t>
            </w:r>
          </w:p>
        </w:tc>
        <w:tc>
          <w:tcPr>
            <w:tcW w:w="1260" w:type="dxa"/>
            <w:noWrap w:val="0"/>
            <w:vAlign w:val="top"/>
          </w:tcPr>
          <w:p w14:paraId="26747D3F">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投标报价得分</w:t>
            </w:r>
          </w:p>
        </w:tc>
        <w:tc>
          <w:tcPr>
            <w:tcW w:w="735" w:type="dxa"/>
            <w:noWrap w:val="0"/>
            <w:vAlign w:val="top"/>
          </w:tcPr>
          <w:p w14:paraId="4092F7DD">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15分</w:t>
            </w:r>
          </w:p>
        </w:tc>
        <w:tc>
          <w:tcPr>
            <w:tcW w:w="5117" w:type="dxa"/>
            <w:noWrap w:val="0"/>
            <w:vAlign w:val="top"/>
          </w:tcPr>
          <w:p w14:paraId="13ED086D">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取满足采购文件要求且价格扣除后的最低投标报价作为评标基准价，其价格分为满分。其他投标供应商的价格分统一按照下列公式计算：价格扣除后的投标报价得分=（评标基准价/价格扣除后的投标报价）×15（对符合规定的小型和微型企业（监狱企业、残疾人福利单位视同小型、微型企业）报价给予10%的价格扣除。）</w:t>
            </w:r>
          </w:p>
        </w:tc>
      </w:tr>
    </w:tbl>
    <w:p w14:paraId="714776B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auto"/>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738E0"/>
    <w:rsid w:val="087738E0"/>
    <w:rsid w:val="5B57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2026-04-07T08:05:00Z</dcterms:created>
  <dc:creator>李耀明</dc:creator>
  <cp:lastModifiedBy>李耀明</cp:lastModifiedBy>
  <dcterms:modified xsi:type="dcterms:W3CDTF">2026-04-07T08:06:44Z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3DE148E0CA2E4C95B815F1D786A3D797_11</vt:lpwstr>
  </property>
  <property fmtid="{D5CDD505-2E9C-101B-9397-08002B2CF9AE}" pid="4" name="KSOTemplateDocerSaveRecord">
    <vt:lpwstr>eyJoZGlkIjoiMDM3NGU3YmU1ODYyYjdmN2E3ZWRhMmM0MjY3M2IwZTIiLCJ1c2VySWQiOiIzNDIwMDI0OTEifQ==</vt:lpwstr>
  </property>
</Properties>
</file>