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1D61D3">
      <w:pPr>
        <w:rPr>
          <w:rFonts w:hint="default" w:ascii="Times New Roman" w:hAnsi="Times New Roman" w:eastAsia="仿宋" w:cs="Times New Roman"/>
          <w:color w:val="auto"/>
          <w:sz w:val="32"/>
          <w:szCs w:val="32"/>
        </w:rPr>
      </w:pPr>
      <w:r>
        <w:rPr>
          <w:rFonts w:hint="default" w:ascii="Times New Roman" w:hAnsi="Times New Roman" w:eastAsia="黑体" w:cs="Times New Roman"/>
          <w:color w:val="auto"/>
          <w:sz w:val="32"/>
          <w:szCs w:val="32"/>
        </w:rPr>
        <w:t>附件</w:t>
      </w:r>
      <w:r>
        <w:rPr>
          <w:rFonts w:hint="default" w:ascii="Times New Roman" w:hAnsi="Times New Roman" w:eastAsia="黑体" w:cs="Times New Roman"/>
          <w:color w:val="auto"/>
          <w:sz w:val="32"/>
          <w:szCs w:val="32"/>
          <w:lang w:val="en-US" w:eastAsia="zh-CN"/>
        </w:rPr>
        <w:t>2</w:t>
      </w:r>
    </w:p>
    <w:p w14:paraId="014EC8F1">
      <w:pPr>
        <w:jc w:val="center"/>
        <w:rPr>
          <w:rFonts w:hint="eastAsia" w:ascii="方正小标宋简体" w:hAnsi="方正小标宋简体" w:eastAsia="方正小标宋简体" w:cs="方正小标宋简体"/>
          <w:bCs/>
          <w:color w:val="auto"/>
          <w:sz w:val="36"/>
          <w:szCs w:val="36"/>
          <w:lang w:eastAsia="zh-CN"/>
        </w:rPr>
      </w:pPr>
      <w:bookmarkStart w:id="0" w:name="_GoBack"/>
      <w:r>
        <w:rPr>
          <w:rFonts w:hint="eastAsia" w:ascii="方正小标宋简体" w:hAnsi="方正小标宋简体" w:eastAsia="方正小标宋简体" w:cs="方正小标宋简体"/>
          <w:bCs/>
          <w:color w:val="auto"/>
          <w:sz w:val="36"/>
          <w:szCs w:val="36"/>
        </w:rPr>
        <w:t>江门市蓬江区饮用水源保护区隔离防护设施维护项目综合评分</w:t>
      </w:r>
      <w:r>
        <w:rPr>
          <w:rFonts w:hint="eastAsia" w:ascii="方正小标宋简体" w:hAnsi="方正小标宋简体" w:eastAsia="方正小标宋简体" w:cs="方正小标宋简体"/>
          <w:bCs/>
          <w:color w:val="auto"/>
          <w:sz w:val="36"/>
          <w:szCs w:val="36"/>
          <w:lang w:eastAsia="zh-CN"/>
        </w:rPr>
        <w:t>表</w:t>
      </w:r>
    </w:p>
    <w:bookmarkEnd w:id="0"/>
    <w:tbl>
      <w:tblPr>
        <w:tblStyle w:val="4"/>
        <w:tblpPr w:leftFromText="180" w:rightFromText="180" w:vertAnchor="text" w:horzAnchor="page" w:tblpX="1687" w:tblpY="117"/>
        <w:tblOverlap w:val="never"/>
        <w:tblW w:w="146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6"/>
        <w:gridCol w:w="1482"/>
        <w:gridCol w:w="786"/>
        <w:gridCol w:w="8028"/>
        <w:gridCol w:w="1254"/>
        <w:gridCol w:w="1071"/>
        <w:gridCol w:w="1179"/>
      </w:tblGrid>
      <w:tr w14:paraId="0687E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36" w:type="dxa"/>
            <w:vMerge w:val="restart"/>
            <w:tcBorders>
              <w:top w:val="single" w:color="auto" w:sz="4" w:space="0"/>
              <w:left w:val="single" w:color="auto" w:sz="4" w:space="0"/>
              <w:right w:val="single" w:color="auto" w:sz="4" w:space="0"/>
            </w:tcBorders>
            <w:noWrap w:val="0"/>
            <w:vAlign w:val="center"/>
          </w:tcPr>
          <w:p w14:paraId="19ADB178">
            <w:pPr>
              <w:pStyle w:val="2"/>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 w:eastAsia="仿宋_GB2312" w:cs="Times New Roman"/>
                <w:b/>
                <w:bCs/>
                <w:color w:val="auto"/>
                <w:sz w:val="24"/>
                <w:szCs w:val="24"/>
                <w:lang w:val="en-US" w:eastAsia="zh-CN"/>
              </w:rPr>
            </w:pPr>
            <w:r>
              <w:rPr>
                <w:rFonts w:hint="eastAsia" w:ascii="仿宋_GB2312" w:hAnsi="仿宋" w:eastAsia="仿宋_GB2312" w:cs="Times New Roman"/>
                <w:b/>
                <w:bCs/>
                <w:color w:val="auto"/>
                <w:sz w:val="24"/>
                <w:szCs w:val="24"/>
                <w:lang w:val="en-US" w:eastAsia="zh-CN"/>
              </w:rPr>
              <w:t>评审项目</w:t>
            </w:r>
          </w:p>
        </w:tc>
        <w:tc>
          <w:tcPr>
            <w:tcW w:w="1482" w:type="dxa"/>
            <w:vMerge w:val="restart"/>
            <w:tcBorders>
              <w:top w:val="single" w:color="auto" w:sz="4" w:space="0"/>
              <w:left w:val="single" w:color="auto" w:sz="4" w:space="0"/>
              <w:right w:val="single" w:color="auto" w:sz="4" w:space="0"/>
            </w:tcBorders>
            <w:noWrap w:val="0"/>
            <w:vAlign w:val="center"/>
          </w:tcPr>
          <w:p w14:paraId="33BAEF76">
            <w:pPr>
              <w:pStyle w:val="2"/>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 w:eastAsia="仿宋_GB2312" w:cs="Times New Roman"/>
                <w:b/>
                <w:bCs/>
                <w:color w:val="auto"/>
                <w:sz w:val="24"/>
                <w:szCs w:val="24"/>
              </w:rPr>
            </w:pPr>
            <w:r>
              <w:rPr>
                <w:rFonts w:hint="eastAsia" w:ascii="仿宋_GB2312" w:hAnsi="仿宋" w:eastAsia="仿宋_GB2312" w:cs="Times New Roman"/>
                <w:b/>
                <w:bCs/>
                <w:color w:val="auto"/>
                <w:sz w:val="24"/>
                <w:szCs w:val="24"/>
              </w:rPr>
              <w:t>评审标准</w:t>
            </w:r>
          </w:p>
        </w:tc>
        <w:tc>
          <w:tcPr>
            <w:tcW w:w="786" w:type="dxa"/>
            <w:vMerge w:val="restart"/>
            <w:tcBorders>
              <w:top w:val="single" w:color="auto" w:sz="4" w:space="0"/>
              <w:left w:val="single" w:color="auto" w:sz="4" w:space="0"/>
              <w:right w:val="single" w:color="auto" w:sz="4" w:space="0"/>
            </w:tcBorders>
            <w:noWrap w:val="0"/>
            <w:vAlign w:val="center"/>
          </w:tcPr>
          <w:p w14:paraId="44A0BFC7">
            <w:pPr>
              <w:pStyle w:val="2"/>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 w:eastAsia="仿宋_GB2312" w:cs="Times New Roman"/>
                <w:b/>
                <w:bCs/>
                <w:color w:val="auto"/>
                <w:sz w:val="24"/>
                <w:szCs w:val="24"/>
              </w:rPr>
            </w:pPr>
            <w:r>
              <w:rPr>
                <w:rFonts w:hint="eastAsia" w:ascii="仿宋_GB2312" w:hAnsi="仿宋" w:eastAsia="仿宋_GB2312" w:cs="Times New Roman"/>
                <w:b/>
                <w:bCs/>
                <w:color w:val="auto"/>
                <w:sz w:val="24"/>
                <w:szCs w:val="24"/>
              </w:rPr>
              <w:t>分值</w:t>
            </w:r>
          </w:p>
        </w:tc>
        <w:tc>
          <w:tcPr>
            <w:tcW w:w="8028" w:type="dxa"/>
            <w:vMerge w:val="restart"/>
            <w:tcBorders>
              <w:top w:val="single" w:color="auto" w:sz="4" w:space="0"/>
              <w:left w:val="single" w:color="auto" w:sz="4" w:space="0"/>
              <w:right w:val="single" w:color="auto" w:sz="4" w:space="0"/>
            </w:tcBorders>
            <w:noWrap w:val="0"/>
            <w:vAlign w:val="center"/>
          </w:tcPr>
          <w:p w14:paraId="577B61F6">
            <w:pPr>
              <w:pStyle w:val="2"/>
              <w:keepNext w:val="0"/>
              <w:keepLines w:val="0"/>
              <w:pageBreakBefore w:val="0"/>
              <w:widowControl w:val="0"/>
              <w:kinsoku/>
              <w:wordWrap/>
              <w:overflowPunct/>
              <w:topLinePunct w:val="0"/>
              <w:autoSpaceDE/>
              <w:autoSpaceDN/>
              <w:bidi w:val="0"/>
              <w:spacing w:line="240" w:lineRule="atLeast"/>
              <w:jc w:val="center"/>
              <w:textAlignment w:val="auto"/>
              <w:rPr>
                <w:rFonts w:hint="default" w:ascii="仿宋_GB2312" w:hAnsi="仿宋" w:eastAsia="仿宋_GB2312" w:cs="Times New Roman"/>
                <w:b/>
                <w:bCs/>
                <w:color w:val="auto"/>
                <w:sz w:val="24"/>
                <w:szCs w:val="24"/>
                <w:lang w:val="en-US" w:eastAsia="zh-CN"/>
              </w:rPr>
            </w:pPr>
            <w:r>
              <w:rPr>
                <w:rFonts w:hint="eastAsia" w:ascii="仿宋_GB2312" w:hAnsi="仿宋" w:eastAsia="仿宋_GB2312" w:cs="Times New Roman"/>
                <w:b/>
                <w:bCs/>
                <w:color w:val="auto"/>
                <w:sz w:val="24"/>
                <w:szCs w:val="24"/>
                <w:lang w:val="en-US" w:eastAsia="zh-CN"/>
              </w:rPr>
              <w:t>标评因素</w:t>
            </w:r>
          </w:p>
        </w:tc>
        <w:tc>
          <w:tcPr>
            <w:tcW w:w="3504" w:type="dxa"/>
            <w:gridSpan w:val="3"/>
            <w:tcBorders>
              <w:top w:val="single" w:color="auto" w:sz="4" w:space="0"/>
              <w:left w:val="single" w:color="auto" w:sz="4" w:space="0"/>
              <w:bottom w:val="single" w:color="auto" w:sz="4" w:space="0"/>
              <w:right w:val="single" w:color="auto" w:sz="4" w:space="0"/>
            </w:tcBorders>
            <w:noWrap w:val="0"/>
            <w:vAlign w:val="center"/>
          </w:tcPr>
          <w:p w14:paraId="2D61943C">
            <w:pPr>
              <w:pStyle w:val="2"/>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 w:eastAsia="仿宋_GB2312" w:cs="Times New Roman"/>
                <w:b/>
                <w:bCs/>
                <w:color w:val="auto"/>
                <w:sz w:val="24"/>
                <w:szCs w:val="24"/>
                <w:lang w:val="en-US" w:eastAsia="zh-CN"/>
              </w:rPr>
            </w:pPr>
            <w:r>
              <w:rPr>
                <w:rFonts w:hint="eastAsia" w:ascii="仿宋_GB2312" w:hAnsi="仿宋" w:eastAsia="仿宋_GB2312" w:cs="Times New Roman"/>
                <w:b/>
                <w:bCs/>
                <w:color w:val="auto"/>
                <w:sz w:val="24"/>
                <w:szCs w:val="24"/>
                <w:lang w:val="en-US" w:eastAsia="zh-CN"/>
              </w:rPr>
              <w:t>评分</w:t>
            </w:r>
          </w:p>
        </w:tc>
      </w:tr>
      <w:tr w14:paraId="44394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9" w:hRule="atLeast"/>
          <w:jc w:val="center"/>
        </w:trPr>
        <w:tc>
          <w:tcPr>
            <w:tcW w:w="836" w:type="dxa"/>
            <w:vMerge w:val="continue"/>
            <w:tcBorders>
              <w:left w:val="single" w:color="auto" w:sz="4" w:space="0"/>
              <w:bottom w:val="single" w:color="auto" w:sz="4" w:space="0"/>
              <w:right w:val="single" w:color="auto" w:sz="4" w:space="0"/>
            </w:tcBorders>
            <w:noWrap w:val="0"/>
            <w:vAlign w:val="center"/>
          </w:tcPr>
          <w:p w14:paraId="4FC4A6F8">
            <w:pPr>
              <w:pStyle w:val="2"/>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 w:eastAsia="仿宋_GB2312" w:cs="Times New Roman"/>
                <w:b/>
                <w:bCs/>
                <w:color w:val="auto"/>
                <w:sz w:val="24"/>
                <w:szCs w:val="24"/>
                <w:lang w:val="en-US" w:eastAsia="zh-CN"/>
              </w:rPr>
            </w:pPr>
          </w:p>
        </w:tc>
        <w:tc>
          <w:tcPr>
            <w:tcW w:w="1482" w:type="dxa"/>
            <w:vMerge w:val="continue"/>
            <w:tcBorders>
              <w:left w:val="single" w:color="auto" w:sz="4" w:space="0"/>
              <w:bottom w:val="single" w:color="auto" w:sz="4" w:space="0"/>
              <w:right w:val="single" w:color="auto" w:sz="4" w:space="0"/>
            </w:tcBorders>
            <w:noWrap w:val="0"/>
            <w:vAlign w:val="center"/>
          </w:tcPr>
          <w:p w14:paraId="76123FAF">
            <w:pPr>
              <w:pStyle w:val="2"/>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 w:eastAsia="仿宋_GB2312" w:cs="Times New Roman"/>
                <w:b/>
                <w:bCs/>
                <w:color w:val="auto"/>
                <w:sz w:val="24"/>
                <w:szCs w:val="24"/>
              </w:rPr>
            </w:pPr>
          </w:p>
        </w:tc>
        <w:tc>
          <w:tcPr>
            <w:tcW w:w="786" w:type="dxa"/>
            <w:vMerge w:val="continue"/>
            <w:tcBorders>
              <w:left w:val="single" w:color="auto" w:sz="4" w:space="0"/>
              <w:bottom w:val="single" w:color="auto" w:sz="4" w:space="0"/>
              <w:right w:val="single" w:color="auto" w:sz="4" w:space="0"/>
            </w:tcBorders>
            <w:noWrap w:val="0"/>
            <w:vAlign w:val="center"/>
          </w:tcPr>
          <w:p w14:paraId="40A767F4">
            <w:pPr>
              <w:pStyle w:val="2"/>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 w:eastAsia="仿宋_GB2312" w:cs="Times New Roman"/>
                <w:b/>
                <w:bCs/>
                <w:color w:val="auto"/>
                <w:sz w:val="24"/>
                <w:szCs w:val="24"/>
              </w:rPr>
            </w:pPr>
          </w:p>
        </w:tc>
        <w:tc>
          <w:tcPr>
            <w:tcW w:w="8028" w:type="dxa"/>
            <w:vMerge w:val="continue"/>
            <w:tcBorders>
              <w:left w:val="single" w:color="auto" w:sz="4" w:space="0"/>
              <w:bottom w:val="single" w:color="auto" w:sz="4" w:space="0"/>
              <w:right w:val="single" w:color="auto" w:sz="4" w:space="0"/>
            </w:tcBorders>
            <w:noWrap w:val="0"/>
            <w:vAlign w:val="center"/>
          </w:tcPr>
          <w:p w14:paraId="4DF2A7AB">
            <w:pPr>
              <w:pStyle w:val="2"/>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 w:eastAsia="仿宋_GB2312" w:cs="Times New Roman"/>
                <w:b/>
                <w:bCs/>
                <w:color w:val="auto"/>
                <w:sz w:val="24"/>
                <w:szCs w:val="24"/>
                <w:lang w:val="en-US" w:eastAsia="zh-CN"/>
              </w:rPr>
            </w:pPr>
          </w:p>
        </w:tc>
        <w:tc>
          <w:tcPr>
            <w:tcW w:w="1254" w:type="dxa"/>
            <w:tcBorders>
              <w:top w:val="single" w:color="auto" w:sz="4" w:space="0"/>
              <w:left w:val="single" w:color="auto" w:sz="4" w:space="0"/>
              <w:bottom w:val="single" w:color="auto" w:sz="4" w:space="0"/>
              <w:right w:val="single" w:color="auto" w:sz="4" w:space="0"/>
            </w:tcBorders>
            <w:noWrap w:val="0"/>
            <w:vAlign w:val="center"/>
          </w:tcPr>
          <w:p w14:paraId="20FA163B">
            <w:pPr>
              <w:autoSpaceDE w:val="0"/>
              <w:autoSpaceDN w:val="0"/>
              <w:adjustRightInd w:val="0"/>
              <w:snapToGrid w:val="0"/>
              <w:spacing w:line="300" w:lineRule="exact"/>
              <w:ind w:left="-111" w:leftChars="-37" w:right="-105" w:rightChars="-35"/>
              <w:jc w:val="center"/>
              <w:rPr>
                <w:rFonts w:hint="eastAsia" w:ascii="黑体" w:hAnsi="黑体" w:eastAsia="黑体"/>
                <w:color w:val="auto"/>
                <w:kern w:val="0"/>
                <w:sz w:val="21"/>
                <w:szCs w:val="21"/>
              </w:rPr>
            </w:pPr>
            <w:r>
              <w:rPr>
                <w:rFonts w:hint="eastAsia" w:ascii="黑体" w:hAnsi="黑体" w:eastAsia="黑体"/>
                <w:color w:val="auto"/>
                <w:kern w:val="0"/>
                <w:sz w:val="21"/>
                <w:szCs w:val="21"/>
              </w:rPr>
              <w:t>供应商1</w:t>
            </w:r>
          </w:p>
          <w:p w14:paraId="2CAAA677">
            <w:pPr>
              <w:pStyle w:val="2"/>
              <w:keepNext w:val="0"/>
              <w:keepLines w:val="0"/>
              <w:pageBreakBefore w:val="0"/>
              <w:widowControl w:val="0"/>
              <w:kinsoku/>
              <w:wordWrap/>
              <w:overflowPunct/>
              <w:topLinePunct w:val="0"/>
              <w:autoSpaceDE/>
              <w:autoSpaceDN/>
              <w:bidi w:val="0"/>
              <w:spacing w:line="240" w:lineRule="atLeast"/>
              <w:jc w:val="center"/>
              <w:textAlignment w:val="auto"/>
              <w:rPr>
                <w:rFonts w:hint="default" w:ascii="仿宋_GB2312" w:hAnsi="仿宋" w:eastAsia="仿宋_GB2312" w:cs="Times New Roman"/>
                <w:b/>
                <w:bCs/>
                <w:color w:val="auto"/>
                <w:sz w:val="24"/>
                <w:szCs w:val="24"/>
                <w:lang w:val="en-US" w:eastAsia="zh-CN"/>
              </w:rPr>
            </w:pPr>
            <w:r>
              <w:rPr>
                <w:rFonts w:hint="eastAsia" w:ascii="黑体" w:hAnsi="黑体" w:eastAsia="黑体"/>
                <w:color w:val="auto"/>
                <w:kern w:val="0"/>
                <w:sz w:val="21"/>
                <w:szCs w:val="21"/>
              </w:rPr>
              <w:t>得分（分）</w:t>
            </w:r>
          </w:p>
        </w:tc>
        <w:tc>
          <w:tcPr>
            <w:tcW w:w="1071" w:type="dxa"/>
            <w:tcBorders>
              <w:top w:val="single" w:color="auto" w:sz="4" w:space="0"/>
              <w:left w:val="single" w:color="auto" w:sz="4" w:space="0"/>
              <w:bottom w:val="single" w:color="auto" w:sz="4" w:space="0"/>
              <w:right w:val="single" w:color="auto" w:sz="4" w:space="0"/>
            </w:tcBorders>
            <w:noWrap w:val="0"/>
            <w:vAlign w:val="center"/>
          </w:tcPr>
          <w:p w14:paraId="729D3E93">
            <w:pPr>
              <w:autoSpaceDE w:val="0"/>
              <w:autoSpaceDN w:val="0"/>
              <w:adjustRightInd w:val="0"/>
              <w:snapToGrid w:val="0"/>
              <w:spacing w:line="300" w:lineRule="exact"/>
              <w:ind w:left="-111" w:leftChars="-37" w:right="-105" w:rightChars="-35"/>
              <w:jc w:val="center"/>
              <w:rPr>
                <w:rFonts w:hint="eastAsia" w:ascii="黑体" w:hAnsi="黑体" w:eastAsia="黑体"/>
                <w:color w:val="auto"/>
                <w:kern w:val="0"/>
                <w:sz w:val="21"/>
                <w:szCs w:val="21"/>
                <w:lang w:eastAsia="zh-CN"/>
              </w:rPr>
            </w:pPr>
            <w:r>
              <w:rPr>
                <w:rFonts w:hint="eastAsia" w:ascii="黑体" w:hAnsi="黑体" w:eastAsia="黑体"/>
                <w:color w:val="auto"/>
                <w:kern w:val="0"/>
                <w:sz w:val="21"/>
                <w:szCs w:val="21"/>
              </w:rPr>
              <w:t>供应商</w:t>
            </w:r>
            <w:r>
              <w:rPr>
                <w:rFonts w:hint="eastAsia" w:ascii="黑体" w:hAnsi="黑体" w:eastAsia="黑体"/>
                <w:color w:val="auto"/>
                <w:kern w:val="0"/>
                <w:sz w:val="21"/>
                <w:szCs w:val="21"/>
                <w:lang w:val="en-US" w:eastAsia="zh-CN"/>
              </w:rPr>
              <w:t>2</w:t>
            </w:r>
          </w:p>
          <w:p w14:paraId="240B3C6D">
            <w:pPr>
              <w:pStyle w:val="2"/>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 w:eastAsia="仿宋_GB2312" w:cs="Times New Roman"/>
                <w:b/>
                <w:bCs/>
                <w:color w:val="auto"/>
                <w:sz w:val="24"/>
                <w:szCs w:val="24"/>
                <w:lang w:val="en-US" w:eastAsia="zh-CN"/>
              </w:rPr>
            </w:pPr>
            <w:r>
              <w:rPr>
                <w:rFonts w:hint="eastAsia" w:ascii="黑体" w:hAnsi="黑体" w:eastAsia="黑体"/>
                <w:color w:val="auto"/>
                <w:kern w:val="0"/>
                <w:sz w:val="21"/>
                <w:szCs w:val="21"/>
              </w:rPr>
              <w:t>得分（分）</w:t>
            </w:r>
          </w:p>
        </w:tc>
        <w:tc>
          <w:tcPr>
            <w:tcW w:w="1179" w:type="dxa"/>
            <w:tcBorders>
              <w:top w:val="single" w:color="auto" w:sz="4" w:space="0"/>
              <w:left w:val="single" w:color="auto" w:sz="4" w:space="0"/>
              <w:bottom w:val="single" w:color="auto" w:sz="4" w:space="0"/>
              <w:right w:val="single" w:color="auto" w:sz="4" w:space="0"/>
            </w:tcBorders>
            <w:noWrap w:val="0"/>
            <w:vAlign w:val="center"/>
          </w:tcPr>
          <w:p w14:paraId="6C3A7077">
            <w:pPr>
              <w:autoSpaceDE w:val="0"/>
              <w:autoSpaceDN w:val="0"/>
              <w:adjustRightInd w:val="0"/>
              <w:snapToGrid w:val="0"/>
              <w:spacing w:line="300" w:lineRule="exact"/>
              <w:ind w:left="-111" w:leftChars="-37" w:right="-105" w:rightChars="-35"/>
              <w:jc w:val="center"/>
              <w:rPr>
                <w:rFonts w:hint="eastAsia" w:ascii="黑体" w:hAnsi="黑体" w:eastAsia="黑体"/>
                <w:color w:val="auto"/>
                <w:kern w:val="0"/>
                <w:sz w:val="21"/>
                <w:szCs w:val="21"/>
                <w:lang w:eastAsia="zh-CN"/>
              </w:rPr>
            </w:pPr>
            <w:r>
              <w:rPr>
                <w:rFonts w:hint="eastAsia" w:ascii="黑体" w:hAnsi="黑体" w:eastAsia="黑体"/>
                <w:color w:val="auto"/>
                <w:kern w:val="0"/>
                <w:sz w:val="21"/>
                <w:szCs w:val="21"/>
              </w:rPr>
              <w:t>供应商</w:t>
            </w:r>
            <w:r>
              <w:rPr>
                <w:rFonts w:hint="eastAsia" w:ascii="黑体" w:hAnsi="黑体" w:eastAsia="黑体"/>
                <w:color w:val="auto"/>
                <w:kern w:val="0"/>
                <w:sz w:val="21"/>
                <w:szCs w:val="21"/>
                <w:lang w:val="en-US" w:eastAsia="zh-CN"/>
              </w:rPr>
              <w:t>3</w:t>
            </w:r>
          </w:p>
          <w:p w14:paraId="26702608">
            <w:pPr>
              <w:pStyle w:val="2"/>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 w:eastAsia="仿宋_GB2312" w:cs="Times New Roman"/>
                <w:b/>
                <w:bCs/>
                <w:color w:val="auto"/>
                <w:sz w:val="24"/>
                <w:szCs w:val="24"/>
                <w:lang w:val="en-US" w:eastAsia="zh-CN"/>
              </w:rPr>
            </w:pPr>
            <w:r>
              <w:rPr>
                <w:rFonts w:hint="eastAsia" w:ascii="黑体" w:hAnsi="黑体" w:eastAsia="黑体"/>
                <w:color w:val="auto"/>
                <w:kern w:val="0"/>
                <w:sz w:val="21"/>
                <w:szCs w:val="21"/>
              </w:rPr>
              <w:t>得分（分）</w:t>
            </w:r>
          </w:p>
        </w:tc>
      </w:tr>
      <w:tr w14:paraId="65159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4" w:hRule="atLeast"/>
          <w:jc w:val="center"/>
        </w:trPr>
        <w:tc>
          <w:tcPr>
            <w:tcW w:w="836" w:type="dxa"/>
            <w:vMerge w:val="restart"/>
            <w:tcBorders>
              <w:top w:val="single" w:color="auto" w:sz="4" w:space="0"/>
              <w:left w:val="single" w:color="auto" w:sz="4" w:space="0"/>
              <w:right w:val="single" w:color="auto" w:sz="4" w:space="0"/>
            </w:tcBorders>
            <w:noWrap w:val="0"/>
            <w:vAlign w:val="center"/>
          </w:tcPr>
          <w:p w14:paraId="573EB9FB">
            <w:pPr>
              <w:pStyle w:val="2"/>
              <w:spacing w:line="240" w:lineRule="auto"/>
              <w:jc w:val="center"/>
              <w:rPr>
                <w:rFonts w:hint="eastAsia" w:ascii="仿宋_GB2312" w:hAnsi="仿宋" w:eastAsia="仿宋_GB2312" w:cs="Times New Roman"/>
                <w:color w:val="auto"/>
                <w:sz w:val="24"/>
                <w:szCs w:val="24"/>
              </w:rPr>
            </w:pPr>
            <w:r>
              <w:rPr>
                <w:rFonts w:hint="eastAsia" w:ascii="仿宋_GB2312" w:hAnsi="仿宋" w:eastAsia="仿宋_GB2312" w:cs="Times New Roman"/>
                <w:color w:val="auto"/>
                <w:sz w:val="24"/>
                <w:szCs w:val="24"/>
                <w:lang w:eastAsia="zh-CN"/>
              </w:rPr>
              <w:t>报价</w:t>
            </w:r>
            <w:r>
              <w:rPr>
                <w:rFonts w:hint="eastAsia" w:ascii="仿宋_GB2312" w:hAnsi="仿宋" w:eastAsia="仿宋_GB2312" w:cs="Times New Roman"/>
                <w:color w:val="auto"/>
                <w:sz w:val="24"/>
                <w:szCs w:val="24"/>
              </w:rPr>
              <w:t>分（</w:t>
            </w:r>
            <w:r>
              <w:rPr>
                <w:rFonts w:hint="eastAsia" w:ascii="仿宋_GB2312" w:hAnsi="仿宋" w:eastAsia="仿宋_GB2312" w:cs="Times New Roman"/>
                <w:color w:val="auto"/>
                <w:sz w:val="24"/>
                <w:szCs w:val="24"/>
                <w:lang w:val="en-US" w:eastAsia="zh-CN"/>
              </w:rPr>
              <w:t>5</w:t>
            </w:r>
            <w:r>
              <w:rPr>
                <w:rFonts w:hint="eastAsia" w:ascii="仿宋_GB2312" w:hAnsi="仿宋" w:eastAsia="仿宋_GB2312" w:cs="Times New Roman"/>
                <w:color w:val="auto"/>
                <w:sz w:val="24"/>
                <w:szCs w:val="24"/>
              </w:rPr>
              <w:t>0分）</w:t>
            </w:r>
          </w:p>
        </w:tc>
        <w:tc>
          <w:tcPr>
            <w:tcW w:w="1482" w:type="dxa"/>
            <w:tcBorders>
              <w:top w:val="single" w:color="auto" w:sz="4" w:space="0"/>
              <w:left w:val="single" w:color="auto" w:sz="4" w:space="0"/>
              <w:bottom w:val="single" w:color="auto" w:sz="4" w:space="0"/>
              <w:right w:val="single" w:color="auto" w:sz="4" w:space="0"/>
            </w:tcBorders>
            <w:noWrap w:val="0"/>
            <w:vAlign w:val="center"/>
          </w:tcPr>
          <w:p w14:paraId="4087B1EB">
            <w:pPr>
              <w:pStyle w:val="2"/>
              <w:spacing w:line="240" w:lineRule="auto"/>
              <w:jc w:val="center"/>
              <w:rPr>
                <w:rFonts w:hint="eastAsia" w:ascii="仿宋_GB2312" w:hAnsi="仿宋" w:eastAsia="仿宋_GB2312" w:cs="Times New Roman"/>
                <w:color w:val="auto"/>
                <w:sz w:val="24"/>
                <w:szCs w:val="24"/>
              </w:rPr>
            </w:pPr>
            <w:r>
              <w:rPr>
                <w:rFonts w:hint="eastAsia" w:ascii="仿宋_GB2312" w:hAnsi="仿宋" w:eastAsia="仿宋_GB2312" w:cs="Times New Roman"/>
                <w:color w:val="auto"/>
                <w:sz w:val="24"/>
                <w:szCs w:val="24"/>
              </w:rPr>
              <w:t>报价得分</w:t>
            </w:r>
          </w:p>
        </w:tc>
        <w:tc>
          <w:tcPr>
            <w:tcW w:w="786" w:type="dxa"/>
            <w:tcBorders>
              <w:top w:val="single" w:color="auto" w:sz="4" w:space="0"/>
              <w:left w:val="single" w:color="auto" w:sz="4" w:space="0"/>
              <w:right w:val="single" w:color="auto" w:sz="4" w:space="0"/>
            </w:tcBorders>
            <w:noWrap w:val="0"/>
            <w:vAlign w:val="center"/>
          </w:tcPr>
          <w:p w14:paraId="4E47EA8B">
            <w:pPr>
              <w:pStyle w:val="2"/>
              <w:spacing w:line="240" w:lineRule="auto"/>
              <w:jc w:val="center"/>
              <w:rPr>
                <w:rFonts w:hint="eastAsia" w:ascii="仿宋_GB2312" w:hAnsi="仿宋" w:eastAsia="仿宋_GB2312" w:cs="Times New Roman"/>
                <w:color w:val="auto"/>
                <w:sz w:val="24"/>
                <w:szCs w:val="24"/>
              </w:rPr>
            </w:pPr>
            <w:r>
              <w:rPr>
                <w:rFonts w:hint="eastAsia" w:ascii="仿宋_GB2312" w:hAnsi="仿宋" w:eastAsia="仿宋_GB2312" w:cs="Times New Roman"/>
                <w:color w:val="auto"/>
                <w:sz w:val="24"/>
                <w:szCs w:val="24"/>
                <w:lang w:val="en-US" w:eastAsia="zh-CN"/>
              </w:rPr>
              <w:t>4</w:t>
            </w:r>
            <w:r>
              <w:rPr>
                <w:rFonts w:hint="eastAsia" w:ascii="仿宋_GB2312" w:hAnsi="仿宋" w:eastAsia="仿宋_GB2312" w:cs="Times New Roman"/>
                <w:color w:val="auto"/>
                <w:sz w:val="24"/>
                <w:szCs w:val="24"/>
              </w:rPr>
              <w:t>0</w:t>
            </w:r>
          </w:p>
        </w:tc>
        <w:tc>
          <w:tcPr>
            <w:tcW w:w="8028" w:type="dxa"/>
            <w:tcBorders>
              <w:top w:val="single" w:color="auto" w:sz="4" w:space="0"/>
              <w:left w:val="single" w:color="auto" w:sz="4" w:space="0"/>
              <w:right w:val="single" w:color="auto" w:sz="4" w:space="0"/>
            </w:tcBorders>
            <w:noWrap w:val="0"/>
            <w:vAlign w:val="center"/>
          </w:tcPr>
          <w:p w14:paraId="2BBA4110">
            <w:pPr>
              <w:pStyle w:val="2"/>
              <w:keepNext w:val="0"/>
              <w:keepLines w:val="0"/>
              <w:pageBreakBefore w:val="0"/>
              <w:widowControl w:val="0"/>
              <w:kinsoku/>
              <w:wordWrap/>
              <w:overflowPunct/>
              <w:topLinePunct w:val="0"/>
              <w:autoSpaceDE/>
              <w:autoSpaceDN/>
              <w:bidi w:val="0"/>
              <w:adjustRightInd/>
              <w:snapToGrid/>
              <w:spacing w:line="240" w:lineRule="auto"/>
              <w:ind w:firstLine="480" w:firstLineChars="200"/>
              <w:jc w:val="both"/>
              <w:textAlignment w:val="auto"/>
              <w:rPr>
                <w:rFonts w:hint="eastAsia" w:ascii="仿宋_GB2312" w:hAnsi="仿宋" w:eastAsia="仿宋_GB2312" w:cs="Times New Roman"/>
                <w:color w:val="auto"/>
                <w:sz w:val="24"/>
                <w:szCs w:val="24"/>
              </w:rPr>
            </w:pPr>
            <w:r>
              <w:rPr>
                <w:rFonts w:hint="eastAsia" w:ascii="仿宋_GB2312" w:hAnsi="仿宋" w:eastAsia="仿宋_GB2312" w:cs="Times New Roman"/>
                <w:color w:val="auto"/>
                <w:sz w:val="24"/>
                <w:szCs w:val="24"/>
              </w:rPr>
              <w:t>采用低价优先法计算，即满足采购需求且报价最低的为基准价，该项价格得分为满分。其他供应商的价格得分统一按照下列公式计算：供应商价格得分=(基准价／报价)×</w:t>
            </w:r>
            <w:r>
              <w:rPr>
                <w:rFonts w:hint="eastAsia" w:ascii="仿宋_GB2312" w:hAnsi="仿宋" w:eastAsia="仿宋_GB2312" w:cs="Times New Roman"/>
                <w:color w:val="auto"/>
                <w:sz w:val="24"/>
                <w:szCs w:val="24"/>
                <w:lang w:val="en-US" w:eastAsia="zh-CN"/>
              </w:rPr>
              <w:t>40</w:t>
            </w:r>
            <w:r>
              <w:rPr>
                <w:rFonts w:hint="eastAsia" w:ascii="仿宋_GB2312" w:hAnsi="仿宋" w:eastAsia="仿宋_GB2312" w:cs="Times New Roman"/>
                <w:color w:val="auto"/>
                <w:sz w:val="24"/>
                <w:szCs w:val="24"/>
              </w:rPr>
              <w:t>，价格得分四舍五入后保留小数点后两位有效数。</w:t>
            </w:r>
          </w:p>
        </w:tc>
        <w:tc>
          <w:tcPr>
            <w:tcW w:w="1254" w:type="dxa"/>
            <w:tcBorders>
              <w:top w:val="single" w:color="auto" w:sz="4" w:space="0"/>
              <w:left w:val="single" w:color="auto" w:sz="4" w:space="0"/>
              <w:right w:val="single" w:color="auto" w:sz="4" w:space="0"/>
            </w:tcBorders>
            <w:noWrap w:val="0"/>
            <w:vAlign w:val="center"/>
          </w:tcPr>
          <w:p w14:paraId="27024AD9">
            <w:pPr>
              <w:pStyle w:val="2"/>
              <w:spacing w:line="240" w:lineRule="auto"/>
              <w:jc w:val="center"/>
              <w:rPr>
                <w:rFonts w:hint="default" w:ascii="仿宋_GB2312" w:hAnsi="仿宋" w:eastAsia="仿宋_GB2312" w:cs="Times New Roman"/>
                <w:color w:val="auto"/>
                <w:sz w:val="24"/>
                <w:szCs w:val="24"/>
                <w:lang w:val="en-US" w:eastAsia="zh-CN"/>
              </w:rPr>
            </w:pPr>
          </w:p>
        </w:tc>
        <w:tc>
          <w:tcPr>
            <w:tcW w:w="1071" w:type="dxa"/>
            <w:tcBorders>
              <w:top w:val="single" w:color="auto" w:sz="4" w:space="0"/>
              <w:left w:val="single" w:color="auto" w:sz="4" w:space="0"/>
              <w:right w:val="single" w:color="auto" w:sz="4" w:space="0"/>
            </w:tcBorders>
            <w:noWrap w:val="0"/>
            <w:vAlign w:val="center"/>
          </w:tcPr>
          <w:p w14:paraId="4394EA6E">
            <w:pPr>
              <w:pStyle w:val="2"/>
              <w:spacing w:line="240" w:lineRule="auto"/>
              <w:jc w:val="center"/>
              <w:rPr>
                <w:rFonts w:hint="default" w:ascii="仿宋_GB2312" w:hAnsi="仿宋" w:eastAsia="仿宋_GB2312" w:cs="Times New Roman"/>
                <w:color w:val="auto"/>
                <w:sz w:val="24"/>
                <w:szCs w:val="24"/>
                <w:lang w:val="en-US" w:eastAsia="zh-CN"/>
              </w:rPr>
            </w:pPr>
          </w:p>
        </w:tc>
        <w:tc>
          <w:tcPr>
            <w:tcW w:w="1179" w:type="dxa"/>
            <w:tcBorders>
              <w:top w:val="single" w:color="auto" w:sz="4" w:space="0"/>
              <w:left w:val="single" w:color="auto" w:sz="4" w:space="0"/>
              <w:right w:val="single" w:color="auto" w:sz="4" w:space="0"/>
            </w:tcBorders>
            <w:noWrap w:val="0"/>
            <w:vAlign w:val="center"/>
          </w:tcPr>
          <w:p w14:paraId="7428CA36">
            <w:pPr>
              <w:pStyle w:val="2"/>
              <w:spacing w:line="240" w:lineRule="auto"/>
              <w:jc w:val="center"/>
              <w:rPr>
                <w:rFonts w:hint="default" w:ascii="仿宋_GB2312" w:hAnsi="仿宋" w:eastAsia="仿宋_GB2312" w:cs="Times New Roman"/>
                <w:color w:val="auto"/>
                <w:sz w:val="24"/>
                <w:szCs w:val="24"/>
                <w:lang w:val="en-US" w:eastAsia="zh-CN"/>
              </w:rPr>
            </w:pPr>
          </w:p>
        </w:tc>
      </w:tr>
      <w:tr w14:paraId="3D801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4" w:hRule="atLeast"/>
          <w:jc w:val="center"/>
        </w:trPr>
        <w:tc>
          <w:tcPr>
            <w:tcW w:w="836" w:type="dxa"/>
            <w:vMerge w:val="continue"/>
            <w:tcBorders>
              <w:left w:val="single" w:color="auto" w:sz="4" w:space="0"/>
              <w:bottom w:val="single" w:color="auto" w:sz="4" w:space="0"/>
              <w:right w:val="single" w:color="auto" w:sz="4" w:space="0"/>
            </w:tcBorders>
            <w:noWrap w:val="0"/>
            <w:vAlign w:val="center"/>
          </w:tcPr>
          <w:p w14:paraId="7F1830ED">
            <w:pPr>
              <w:pStyle w:val="2"/>
              <w:spacing w:line="240" w:lineRule="auto"/>
              <w:jc w:val="center"/>
              <w:rPr>
                <w:color w:val="auto"/>
              </w:rPr>
            </w:pPr>
          </w:p>
        </w:tc>
        <w:tc>
          <w:tcPr>
            <w:tcW w:w="1482" w:type="dxa"/>
            <w:tcBorders>
              <w:top w:val="single" w:color="auto" w:sz="4" w:space="0"/>
              <w:left w:val="single" w:color="auto" w:sz="4" w:space="0"/>
              <w:bottom w:val="single" w:color="auto" w:sz="4" w:space="0"/>
              <w:right w:val="single" w:color="auto" w:sz="4" w:space="0"/>
            </w:tcBorders>
            <w:noWrap w:val="0"/>
            <w:vAlign w:val="center"/>
          </w:tcPr>
          <w:p w14:paraId="3161A67D">
            <w:pPr>
              <w:pStyle w:val="2"/>
              <w:spacing w:line="240" w:lineRule="auto"/>
              <w:jc w:val="center"/>
              <w:rPr>
                <w:rFonts w:hint="eastAsia" w:ascii="仿宋_GB2312" w:hAnsi="仿宋" w:eastAsia="仿宋_GB2312" w:cs="Times New Roman"/>
                <w:color w:val="auto"/>
                <w:sz w:val="24"/>
                <w:szCs w:val="24"/>
                <w:lang w:eastAsia="zh-CN"/>
              </w:rPr>
            </w:pPr>
            <w:r>
              <w:rPr>
                <w:rFonts w:hint="eastAsia" w:ascii="仿宋_GB2312" w:hAnsi="仿宋" w:eastAsia="仿宋_GB2312" w:cs="Times New Roman"/>
                <w:color w:val="auto"/>
                <w:sz w:val="24"/>
                <w:szCs w:val="24"/>
                <w:lang w:eastAsia="zh-CN"/>
              </w:rPr>
              <w:t>报价材料得分</w:t>
            </w:r>
          </w:p>
        </w:tc>
        <w:tc>
          <w:tcPr>
            <w:tcW w:w="786" w:type="dxa"/>
            <w:tcBorders>
              <w:left w:val="single" w:color="auto" w:sz="4" w:space="0"/>
              <w:bottom w:val="single" w:color="auto" w:sz="4" w:space="0"/>
              <w:right w:val="single" w:color="auto" w:sz="4" w:space="0"/>
            </w:tcBorders>
            <w:noWrap w:val="0"/>
            <w:vAlign w:val="center"/>
          </w:tcPr>
          <w:p w14:paraId="749F3CD9">
            <w:pPr>
              <w:pStyle w:val="2"/>
              <w:spacing w:line="240" w:lineRule="auto"/>
              <w:jc w:val="center"/>
              <w:rPr>
                <w:rFonts w:hint="default" w:ascii="仿宋_GB2312" w:hAnsi="仿宋" w:eastAsia="仿宋_GB2312" w:cs="Times New Roman"/>
                <w:color w:val="auto"/>
                <w:sz w:val="24"/>
                <w:szCs w:val="24"/>
                <w:lang w:val="en-US" w:eastAsia="zh-CN"/>
              </w:rPr>
            </w:pPr>
            <w:r>
              <w:rPr>
                <w:rFonts w:hint="eastAsia" w:ascii="仿宋_GB2312" w:hAnsi="仿宋" w:eastAsia="仿宋_GB2312" w:cs="Times New Roman"/>
                <w:color w:val="auto"/>
                <w:sz w:val="24"/>
                <w:szCs w:val="24"/>
                <w:lang w:val="en-US" w:eastAsia="zh-CN"/>
              </w:rPr>
              <w:t>10</w:t>
            </w:r>
          </w:p>
        </w:tc>
        <w:tc>
          <w:tcPr>
            <w:tcW w:w="8028" w:type="dxa"/>
            <w:tcBorders>
              <w:left w:val="single" w:color="auto" w:sz="4" w:space="0"/>
              <w:bottom w:val="single" w:color="auto" w:sz="4" w:space="0"/>
              <w:right w:val="single" w:color="auto" w:sz="4" w:space="0"/>
            </w:tcBorders>
            <w:noWrap w:val="0"/>
            <w:vAlign w:val="center"/>
          </w:tcPr>
          <w:p w14:paraId="7501170B">
            <w:pPr>
              <w:pStyle w:val="2"/>
              <w:spacing w:line="240" w:lineRule="auto"/>
              <w:jc w:val="left"/>
              <w:rPr>
                <w:rFonts w:hint="default" w:ascii="仿宋_GB2312" w:hAnsi="仿宋" w:eastAsia="仿宋_GB2312" w:cs="Times New Roman"/>
                <w:color w:val="auto"/>
                <w:sz w:val="24"/>
                <w:szCs w:val="24"/>
                <w:lang w:val="en-US" w:eastAsia="zh-CN"/>
              </w:rPr>
            </w:pPr>
            <w:r>
              <w:rPr>
                <w:rFonts w:hint="eastAsia" w:ascii="仿宋_GB2312" w:hAnsi="仿宋" w:eastAsia="仿宋_GB2312" w:cs="Times New Roman"/>
                <w:color w:val="auto"/>
                <w:sz w:val="24"/>
                <w:szCs w:val="24"/>
                <w:lang w:val="en-US" w:eastAsia="zh-CN"/>
              </w:rPr>
              <w:t xml:space="preserve">    </w:t>
            </w:r>
            <w:r>
              <w:rPr>
                <w:rFonts w:hint="eastAsia" w:ascii="仿宋_GB2312" w:hAnsi="仿宋" w:eastAsia="仿宋_GB2312" w:cs="Times New Roman"/>
                <w:color w:val="auto"/>
                <w:sz w:val="24"/>
                <w:szCs w:val="24"/>
                <w:lang w:eastAsia="zh-CN"/>
              </w:rPr>
              <w:t>报价材料应含：</w:t>
            </w:r>
            <w:r>
              <w:rPr>
                <w:rFonts w:hint="eastAsia" w:ascii="仿宋_GB2312" w:hAnsi="仿宋" w:eastAsia="仿宋_GB2312" w:cs="Times New Roman"/>
                <w:color w:val="auto"/>
                <w:sz w:val="24"/>
                <w:szCs w:val="24"/>
              </w:rPr>
              <w:t>（1）报价</w:t>
            </w:r>
            <w:r>
              <w:rPr>
                <w:rFonts w:hint="eastAsia" w:ascii="仿宋_GB2312" w:hAnsi="仿宋" w:eastAsia="仿宋_GB2312" w:cs="Times New Roman"/>
                <w:color w:val="auto"/>
                <w:sz w:val="24"/>
                <w:szCs w:val="24"/>
                <w:lang w:eastAsia="zh-CN"/>
              </w:rPr>
              <w:t>单</w:t>
            </w:r>
            <w:r>
              <w:rPr>
                <w:rFonts w:hint="eastAsia" w:ascii="仿宋_GB2312" w:hAnsi="仿宋" w:eastAsia="仿宋_GB2312" w:cs="Times New Roman"/>
                <w:color w:val="auto"/>
                <w:sz w:val="24"/>
                <w:szCs w:val="24"/>
              </w:rPr>
              <w:t>。报价应为全包价；（2）法定代表人或经营者身份证复印件、代表授权书及受托人身份证复印件；（3）营业执照副本复印件；（4）相关资质（资格）或业绩证明材料。</w:t>
            </w:r>
            <w:r>
              <w:rPr>
                <w:rFonts w:hint="eastAsia" w:ascii="仿宋_GB2312" w:hAnsi="仿宋" w:eastAsia="仿宋_GB2312" w:cs="Times New Roman"/>
                <w:color w:val="auto"/>
                <w:sz w:val="24"/>
                <w:szCs w:val="24"/>
                <w:lang w:eastAsia="zh-CN"/>
              </w:rPr>
              <w:t>缺一项扣</w:t>
            </w:r>
            <w:r>
              <w:rPr>
                <w:rFonts w:hint="eastAsia" w:ascii="仿宋_GB2312" w:hAnsi="仿宋" w:eastAsia="仿宋_GB2312" w:cs="Times New Roman"/>
                <w:color w:val="auto"/>
                <w:sz w:val="24"/>
                <w:szCs w:val="24"/>
                <w:lang w:val="en-US" w:eastAsia="zh-CN"/>
              </w:rPr>
              <w:t>2.5分。</w:t>
            </w:r>
          </w:p>
        </w:tc>
        <w:tc>
          <w:tcPr>
            <w:tcW w:w="1254" w:type="dxa"/>
            <w:tcBorders>
              <w:left w:val="single" w:color="auto" w:sz="4" w:space="0"/>
              <w:bottom w:val="single" w:color="auto" w:sz="4" w:space="0"/>
              <w:right w:val="single" w:color="auto" w:sz="4" w:space="0"/>
            </w:tcBorders>
            <w:noWrap w:val="0"/>
            <w:vAlign w:val="center"/>
          </w:tcPr>
          <w:p w14:paraId="2C7CFF0F">
            <w:pPr>
              <w:pStyle w:val="2"/>
              <w:spacing w:line="240" w:lineRule="auto"/>
              <w:jc w:val="center"/>
              <w:rPr>
                <w:rFonts w:hint="eastAsia" w:ascii="仿宋_GB2312" w:hAnsi="仿宋" w:eastAsia="仿宋_GB2312" w:cs="Times New Roman"/>
                <w:color w:val="auto"/>
                <w:sz w:val="24"/>
                <w:szCs w:val="24"/>
              </w:rPr>
            </w:pPr>
          </w:p>
        </w:tc>
        <w:tc>
          <w:tcPr>
            <w:tcW w:w="1071" w:type="dxa"/>
            <w:tcBorders>
              <w:left w:val="single" w:color="auto" w:sz="4" w:space="0"/>
              <w:bottom w:val="single" w:color="auto" w:sz="4" w:space="0"/>
              <w:right w:val="single" w:color="auto" w:sz="4" w:space="0"/>
            </w:tcBorders>
            <w:noWrap w:val="0"/>
            <w:vAlign w:val="center"/>
          </w:tcPr>
          <w:p w14:paraId="0557B76C">
            <w:pPr>
              <w:pStyle w:val="2"/>
              <w:spacing w:line="240" w:lineRule="auto"/>
              <w:jc w:val="center"/>
              <w:rPr>
                <w:rFonts w:hint="eastAsia" w:ascii="仿宋_GB2312" w:hAnsi="仿宋" w:eastAsia="仿宋_GB2312" w:cs="Times New Roman"/>
                <w:color w:val="auto"/>
                <w:sz w:val="24"/>
                <w:szCs w:val="24"/>
              </w:rPr>
            </w:pPr>
          </w:p>
        </w:tc>
        <w:tc>
          <w:tcPr>
            <w:tcW w:w="1179" w:type="dxa"/>
            <w:tcBorders>
              <w:left w:val="single" w:color="auto" w:sz="4" w:space="0"/>
              <w:bottom w:val="single" w:color="auto" w:sz="4" w:space="0"/>
              <w:right w:val="single" w:color="auto" w:sz="4" w:space="0"/>
            </w:tcBorders>
            <w:noWrap w:val="0"/>
            <w:vAlign w:val="center"/>
          </w:tcPr>
          <w:p w14:paraId="16686032">
            <w:pPr>
              <w:pStyle w:val="2"/>
              <w:spacing w:line="240" w:lineRule="auto"/>
              <w:jc w:val="center"/>
              <w:rPr>
                <w:rFonts w:hint="eastAsia" w:ascii="仿宋_GB2312" w:hAnsi="仿宋" w:eastAsia="仿宋_GB2312" w:cs="Times New Roman"/>
                <w:color w:val="auto"/>
                <w:sz w:val="24"/>
                <w:szCs w:val="24"/>
              </w:rPr>
            </w:pPr>
          </w:p>
        </w:tc>
      </w:tr>
      <w:tr w14:paraId="5CF7A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836" w:type="dxa"/>
            <w:vMerge w:val="restart"/>
            <w:tcBorders>
              <w:left w:val="single" w:color="auto" w:sz="4" w:space="0"/>
              <w:right w:val="single" w:color="auto" w:sz="4" w:space="0"/>
            </w:tcBorders>
            <w:noWrap w:val="0"/>
            <w:vAlign w:val="center"/>
          </w:tcPr>
          <w:p w14:paraId="07EE964D">
            <w:pPr>
              <w:pStyle w:val="2"/>
              <w:spacing w:line="240" w:lineRule="auto"/>
              <w:jc w:val="center"/>
              <w:rPr>
                <w:rFonts w:hint="eastAsia" w:ascii="仿宋_GB2312" w:hAnsi="仿宋" w:eastAsia="仿宋_GB2312" w:cs="Times New Roman"/>
                <w:color w:val="auto"/>
                <w:sz w:val="24"/>
                <w:szCs w:val="24"/>
                <w:lang w:eastAsia="zh-CN"/>
              </w:rPr>
            </w:pPr>
            <w:r>
              <w:rPr>
                <w:rFonts w:hint="eastAsia" w:ascii="仿宋_GB2312" w:hAnsi="仿宋" w:eastAsia="仿宋_GB2312" w:cs="Times New Roman"/>
                <w:color w:val="auto"/>
                <w:sz w:val="24"/>
                <w:szCs w:val="24"/>
                <w:lang w:eastAsia="zh-CN"/>
              </w:rPr>
              <w:t>商务分</w:t>
            </w:r>
          </w:p>
          <w:p w14:paraId="27F61F3E">
            <w:pPr>
              <w:pStyle w:val="2"/>
              <w:spacing w:line="240" w:lineRule="auto"/>
              <w:jc w:val="center"/>
              <w:rPr>
                <w:rFonts w:hint="eastAsia" w:ascii="仿宋_GB2312" w:hAnsi="仿宋" w:eastAsia="仿宋_GB2312" w:cs="Times New Roman"/>
                <w:color w:val="auto"/>
                <w:sz w:val="24"/>
                <w:szCs w:val="24"/>
                <w:lang w:eastAsia="zh-CN"/>
              </w:rPr>
            </w:pPr>
            <w:r>
              <w:rPr>
                <w:rFonts w:hint="eastAsia" w:ascii="仿宋_GB2312" w:hAnsi="仿宋" w:eastAsia="仿宋_GB2312" w:cs="Times New Roman"/>
                <w:color w:val="auto"/>
                <w:sz w:val="24"/>
                <w:szCs w:val="24"/>
                <w:lang w:eastAsia="zh-CN"/>
              </w:rPr>
              <w:t>（</w:t>
            </w:r>
            <w:r>
              <w:rPr>
                <w:rFonts w:hint="eastAsia" w:ascii="仿宋_GB2312" w:hAnsi="仿宋" w:eastAsia="仿宋_GB2312" w:cs="Times New Roman"/>
                <w:color w:val="auto"/>
                <w:sz w:val="24"/>
                <w:szCs w:val="24"/>
                <w:lang w:val="en-US" w:eastAsia="zh-CN"/>
              </w:rPr>
              <w:t>50分</w:t>
            </w:r>
            <w:r>
              <w:rPr>
                <w:rFonts w:hint="eastAsia" w:ascii="仿宋_GB2312" w:hAnsi="仿宋" w:eastAsia="仿宋_GB2312" w:cs="Times New Roman"/>
                <w:color w:val="auto"/>
                <w:sz w:val="24"/>
                <w:szCs w:val="24"/>
                <w:lang w:eastAsia="zh-CN"/>
              </w:rPr>
              <w:t>）</w:t>
            </w:r>
          </w:p>
        </w:tc>
        <w:tc>
          <w:tcPr>
            <w:tcW w:w="1482" w:type="dxa"/>
            <w:tcBorders>
              <w:top w:val="single" w:color="auto" w:sz="4" w:space="0"/>
              <w:left w:val="single" w:color="auto" w:sz="4" w:space="0"/>
              <w:right w:val="single" w:color="auto" w:sz="4" w:space="0"/>
            </w:tcBorders>
            <w:noWrap w:val="0"/>
            <w:vAlign w:val="center"/>
          </w:tcPr>
          <w:p w14:paraId="45FA9027">
            <w:pPr>
              <w:pStyle w:val="2"/>
              <w:spacing w:line="240" w:lineRule="auto"/>
              <w:jc w:val="center"/>
              <w:rPr>
                <w:rFonts w:hint="eastAsia" w:ascii="仿宋_GB2312" w:hAnsi="仿宋" w:eastAsia="仿宋_GB2312" w:cs="Times New Roman"/>
                <w:color w:val="auto"/>
                <w:sz w:val="24"/>
                <w:szCs w:val="24"/>
              </w:rPr>
            </w:pPr>
            <w:r>
              <w:rPr>
                <w:rFonts w:hint="eastAsia" w:ascii="仿宋_GB2312" w:hAnsi="仿宋" w:eastAsia="仿宋_GB2312" w:cs="Times New Roman"/>
                <w:color w:val="auto"/>
                <w:sz w:val="24"/>
                <w:szCs w:val="24"/>
              </w:rPr>
              <w:t>供应商</w:t>
            </w:r>
            <w:r>
              <w:rPr>
                <w:rFonts w:hint="eastAsia" w:ascii="仿宋_GB2312" w:hAnsi="仿宋" w:eastAsia="仿宋_GB2312" w:cs="Times New Roman"/>
                <w:color w:val="auto"/>
                <w:sz w:val="24"/>
                <w:szCs w:val="24"/>
                <w:lang w:eastAsia="zh-CN"/>
              </w:rPr>
              <w:t>资质</w:t>
            </w:r>
            <w:r>
              <w:rPr>
                <w:rFonts w:hint="eastAsia" w:ascii="仿宋_GB2312" w:hAnsi="仿宋" w:eastAsia="仿宋_GB2312" w:cs="Times New Roman"/>
                <w:color w:val="auto"/>
                <w:sz w:val="24"/>
                <w:szCs w:val="24"/>
              </w:rPr>
              <w:t>情况</w:t>
            </w:r>
          </w:p>
        </w:tc>
        <w:tc>
          <w:tcPr>
            <w:tcW w:w="786" w:type="dxa"/>
            <w:tcBorders>
              <w:top w:val="single" w:color="auto" w:sz="4" w:space="0"/>
              <w:left w:val="single" w:color="auto" w:sz="4" w:space="0"/>
              <w:right w:val="single" w:color="auto" w:sz="4" w:space="0"/>
            </w:tcBorders>
            <w:noWrap w:val="0"/>
            <w:vAlign w:val="center"/>
          </w:tcPr>
          <w:p w14:paraId="1EBE264F">
            <w:pPr>
              <w:pStyle w:val="2"/>
              <w:spacing w:line="240" w:lineRule="auto"/>
              <w:jc w:val="center"/>
              <w:rPr>
                <w:rFonts w:hint="default" w:ascii="仿宋_GB2312" w:hAnsi="仿宋" w:eastAsia="仿宋_GB2312" w:cs="Times New Roman"/>
                <w:color w:val="auto"/>
                <w:sz w:val="24"/>
                <w:szCs w:val="24"/>
                <w:lang w:val="en-US" w:eastAsia="zh-CN"/>
              </w:rPr>
            </w:pPr>
            <w:r>
              <w:rPr>
                <w:rFonts w:hint="eastAsia" w:ascii="仿宋_GB2312" w:hAnsi="仿宋" w:eastAsia="仿宋_GB2312" w:cs="Times New Roman"/>
                <w:color w:val="auto"/>
                <w:sz w:val="24"/>
                <w:szCs w:val="24"/>
                <w:lang w:val="en-US" w:eastAsia="zh-CN"/>
              </w:rPr>
              <w:t>10</w:t>
            </w:r>
          </w:p>
        </w:tc>
        <w:tc>
          <w:tcPr>
            <w:tcW w:w="8028" w:type="dxa"/>
            <w:tcBorders>
              <w:top w:val="single" w:color="auto" w:sz="4" w:space="0"/>
              <w:left w:val="single" w:color="auto" w:sz="4" w:space="0"/>
              <w:bottom w:val="single" w:color="auto" w:sz="4" w:space="0"/>
              <w:right w:val="single" w:color="auto" w:sz="4" w:space="0"/>
            </w:tcBorders>
            <w:noWrap w:val="0"/>
            <w:vAlign w:val="center"/>
          </w:tcPr>
          <w:p w14:paraId="2A36F9CB">
            <w:pPr>
              <w:pStyle w:val="2"/>
              <w:keepNext w:val="0"/>
              <w:keepLines w:val="0"/>
              <w:pageBreakBefore w:val="0"/>
              <w:widowControl w:val="0"/>
              <w:kinsoku/>
              <w:wordWrap/>
              <w:overflowPunct/>
              <w:topLinePunct w:val="0"/>
              <w:autoSpaceDE/>
              <w:autoSpaceDN/>
              <w:bidi w:val="0"/>
              <w:adjustRightInd/>
              <w:snapToGrid/>
              <w:spacing w:line="240" w:lineRule="auto"/>
              <w:ind w:firstLine="480" w:firstLineChars="200"/>
              <w:jc w:val="both"/>
              <w:textAlignment w:val="auto"/>
              <w:rPr>
                <w:rFonts w:hint="eastAsia" w:ascii="仿宋_GB2312" w:hAnsi="仿宋" w:eastAsia="仿宋_GB2312" w:cs="Times New Roman"/>
                <w:color w:val="auto"/>
                <w:sz w:val="24"/>
                <w:szCs w:val="24"/>
              </w:rPr>
            </w:pPr>
            <w:r>
              <w:rPr>
                <w:rFonts w:hint="eastAsia" w:ascii="仿宋_GB2312" w:hAnsi="仿宋" w:eastAsia="仿宋_GB2312" w:cs="Times New Roman"/>
                <w:color w:val="auto"/>
                <w:sz w:val="24"/>
                <w:szCs w:val="24"/>
              </w:rPr>
              <w:t>供应商</w:t>
            </w:r>
            <w:r>
              <w:rPr>
                <w:rFonts w:hint="eastAsia" w:ascii="仿宋_GB2312" w:hAnsi="仿宋" w:eastAsia="仿宋_GB2312" w:cs="Times New Roman"/>
                <w:color w:val="auto"/>
                <w:sz w:val="24"/>
                <w:szCs w:val="24"/>
                <w:lang w:eastAsia="zh-CN"/>
              </w:rPr>
              <w:t>具备相应承担围挡建设、维护能力，共</w:t>
            </w:r>
            <w:r>
              <w:rPr>
                <w:rFonts w:hint="eastAsia" w:ascii="仿宋_GB2312" w:hAnsi="仿宋" w:eastAsia="仿宋_GB2312" w:cs="Times New Roman"/>
                <w:color w:val="auto"/>
                <w:sz w:val="24"/>
                <w:szCs w:val="24"/>
                <w:lang w:val="en-US" w:eastAsia="zh-CN"/>
              </w:rPr>
              <w:t>10分。</w:t>
            </w:r>
          </w:p>
        </w:tc>
        <w:tc>
          <w:tcPr>
            <w:tcW w:w="1254" w:type="dxa"/>
            <w:tcBorders>
              <w:top w:val="single" w:color="auto" w:sz="4" w:space="0"/>
              <w:left w:val="single" w:color="auto" w:sz="4" w:space="0"/>
              <w:right w:val="single" w:color="auto" w:sz="4" w:space="0"/>
            </w:tcBorders>
            <w:noWrap w:val="0"/>
            <w:vAlign w:val="center"/>
          </w:tcPr>
          <w:p w14:paraId="56336BEE">
            <w:pPr>
              <w:pStyle w:val="2"/>
              <w:spacing w:line="240" w:lineRule="auto"/>
              <w:jc w:val="center"/>
              <w:rPr>
                <w:rFonts w:hint="default" w:ascii="仿宋_GB2312" w:hAnsi="仿宋" w:eastAsia="仿宋_GB2312" w:cs="Times New Roman"/>
                <w:color w:val="auto"/>
                <w:sz w:val="24"/>
                <w:szCs w:val="24"/>
                <w:lang w:val="en-US" w:eastAsia="zh-CN"/>
              </w:rPr>
            </w:pPr>
          </w:p>
        </w:tc>
        <w:tc>
          <w:tcPr>
            <w:tcW w:w="1071" w:type="dxa"/>
            <w:tcBorders>
              <w:top w:val="single" w:color="auto" w:sz="4" w:space="0"/>
              <w:left w:val="single" w:color="auto" w:sz="4" w:space="0"/>
              <w:right w:val="single" w:color="auto" w:sz="4" w:space="0"/>
            </w:tcBorders>
            <w:noWrap w:val="0"/>
            <w:vAlign w:val="center"/>
          </w:tcPr>
          <w:p w14:paraId="37AD16D6">
            <w:pPr>
              <w:spacing w:line="240" w:lineRule="auto"/>
              <w:jc w:val="center"/>
              <w:rPr>
                <w:rFonts w:hint="default" w:ascii="仿宋_GB2312" w:hAnsi="仿宋" w:eastAsia="仿宋_GB2312" w:cs="Times New Roman"/>
                <w:color w:val="auto"/>
                <w:sz w:val="24"/>
                <w:szCs w:val="24"/>
                <w:lang w:val="en-US" w:eastAsia="zh-CN"/>
              </w:rPr>
            </w:pPr>
          </w:p>
        </w:tc>
        <w:tc>
          <w:tcPr>
            <w:tcW w:w="1179" w:type="dxa"/>
            <w:tcBorders>
              <w:top w:val="single" w:color="auto" w:sz="4" w:space="0"/>
              <w:left w:val="single" w:color="auto" w:sz="4" w:space="0"/>
              <w:right w:val="single" w:color="auto" w:sz="4" w:space="0"/>
            </w:tcBorders>
            <w:noWrap w:val="0"/>
            <w:vAlign w:val="center"/>
          </w:tcPr>
          <w:p w14:paraId="5A617C91">
            <w:pPr>
              <w:spacing w:line="240" w:lineRule="auto"/>
              <w:jc w:val="center"/>
              <w:rPr>
                <w:rFonts w:hint="default" w:ascii="仿宋_GB2312" w:hAnsi="仿宋" w:eastAsia="仿宋_GB2312" w:cs="Times New Roman"/>
                <w:color w:val="auto"/>
                <w:sz w:val="24"/>
                <w:szCs w:val="24"/>
                <w:lang w:val="en-US" w:eastAsia="zh-CN"/>
              </w:rPr>
            </w:pPr>
          </w:p>
        </w:tc>
      </w:tr>
      <w:tr w14:paraId="09C82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9" w:hRule="atLeast"/>
          <w:jc w:val="center"/>
        </w:trPr>
        <w:tc>
          <w:tcPr>
            <w:tcW w:w="836" w:type="dxa"/>
            <w:vMerge w:val="continue"/>
            <w:tcBorders>
              <w:left w:val="single" w:color="auto" w:sz="4" w:space="0"/>
              <w:right w:val="single" w:color="auto" w:sz="4" w:space="0"/>
            </w:tcBorders>
            <w:noWrap w:val="0"/>
            <w:vAlign w:val="center"/>
          </w:tcPr>
          <w:p w14:paraId="57E8730F">
            <w:pPr>
              <w:pStyle w:val="2"/>
              <w:spacing w:line="240" w:lineRule="auto"/>
              <w:jc w:val="center"/>
              <w:rPr>
                <w:rFonts w:hint="eastAsia" w:ascii="仿宋_GB2312" w:hAnsi="仿宋" w:eastAsia="仿宋_GB2312" w:cs="Times New Roman"/>
                <w:color w:val="auto"/>
                <w:sz w:val="24"/>
                <w:szCs w:val="24"/>
                <w:lang w:eastAsia="zh-CN"/>
              </w:rPr>
            </w:pPr>
          </w:p>
        </w:tc>
        <w:tc>
          <w:tcPr>
            <w:tcW w:w="1482" w:type="dxa"/>
            <w:tcBorders>
              <w:top w:val="single" w:color="auto" w:sz="4" w:space="0"/>
              <w:left w:val="single" w:color="auto" w:sz="4" w:space="0"/>
              <w:right w:val="single" w:color="auto" w:sz="4" w:space="0"/>
            </w:tcBorders>
            <w:noWrap w:val="0"/>
            <w:vAlign w:val="center"/>
          </w:tcPr>
          <w:p w14:paraId="5240EBD1">
            <w:pPr>
              <w:pStyle w:val="2"/>
              <w:spacing w:line="240" w:lineRule="auto"/>
              <w:jc w:val="center"/>
              <w:rPr>
                <w:rFonts w:hint="eastAsia" w:ascii="仿宋_GB2312" w:hAnsi="仿宋" w:eastAsia="仿宋_GB2312" w:cs="Times New Roman"/>
                <w:color w:val="auto"/>
                <w:sz w:val="24"/>
                <w:szCs w:val="24"/>
                <w:lang w:eastAsia="zh-CN"/>
              </w:rPr>
            </w:pPr>
            <w:r>
              <w:rPr>
                <w:rFonts w:hint="eastAsia" w:ascii="仿宋_GB2312" w:hAnsi="仿宋" w:eastAsia="仿宋_GB2312" w:cs="Times New Roman"/>
                <w:color w:val="auto"/>
                <w:sz w:val="24"/>
                <w:szCs w:val="24"/>
                <w:lang w:eastAsia="zh-CN"/>
              </w:rPr>
              <w:t>供应商信誉情况</w:t>
            </w:r>
          </w:p>
        </w:tc>
        <w:tc>
          <w:tcPr>
            <w:tcW w:w="786" w:type="dxa"/>
            <w:tcBorders>
              <w:top w:val="single" w:color="auto" w:sz="4" w:space="0"/>
              <w:left w:val="single" w:color="auto" w:sz="4" w:space="0"/>
              <w:right w:val="single" w:color="auto" w:sz="4" w:space="0"/>
            </w:tcBorders>
            <w:noWrap w:val="0"/>
            <w:vAlign w:val="center"/>
          </w:tcPr>
          <w:p w14:paraId="5950E822">
            <w:pPr>
              <w:pStyle w:val="2"/>
              <w:spacing w:line="240" w:lineRule="auto"/>
              <w:jc w:val="center"/>
              <w:rPr>
                <w:rFonts w:hint="default" w:ascii="仿宋_GB2312" w:hAnsi="仿宋" w:eastAsia="仿宋_GB2312" w:cs="Times New Roman"/>
                <w:color w:val="auto"/>
                <w:sz w:val="24"/>
                <w:szCs w:val="24"/>
                <w:lang w:val="en-US" w:eastAsia="zh-CN"/>
              </w:rPr>
            </w:pPr>
            <w:r>
              <w:rPr>
                <w:rFonts w:hint="eastAsia" w:ascii="仿宋_GB2312" w:hAnsi="仿宋" w:eastAsia="仿宋_GB2312" w:cs="Times New Roman"/>
                <w:color w:val="auto"/>
                <w:sz w:val="24"/>
                <w:szCs w:val="24"/>
                <w:lang w:val="en-US" w:eastAsia="zh-CN"/>
              </w:rPr>
              <w:t>10</w:t>
            </w:r>
          </w:p>
        </w:tc>
        <w:tc>
          <w:tcPr>
            <w:tcW w:w="8028" w:type="dxa"/>
            <w:tcBorders>
              <w:top w:val="single" w:color="auto" w:sz="4" w:space="0"/>
              <w:left w:val="single" w:color="auto" w:sz="4" w:space="0"/>
              <w:bottom w:val="single" w:color="auto" w:sz="4" w:space="0"/>
              <w:right w:val="single" w:color="auto" w:sz="4" w:space="0"/>
            </w:tcBorders>
            <w:noWrap w:val="0"/>
            <w:vAlign w:val="center"/>
          </w:tcPr>
          <w:p w14:paraId="34C68DB1">
            <w:pPr>
              <w:pStyle w:val="2"/>
              <w:keepNext w:val="0"/>
              <w:keepLines w:val="0"/>
              <w:pageBreakBefore w:val="0"/>
              <w:widowControl w:val="0"/>
              <w:kinsoku/>
              <w:wordWrap/>
              <w:overflowPunct/>
              <w:topLinePunct w:val="0"/>
              <w:autoSpaceDE/>
              <w:autoSpaceDN/>
              <w:bidi w:val="0"/>
              <w:adjustRightInd/>
              <w:snapToGrid/>
              <w:spacing w:line="240" w:lineRule="auto"/>
              <w:ind w:firstLine="480" w:firstLineChars="200"/>
              <w:jc w:val="both"/>
              <w:textAlignment w:val="auto"/>
              <w:rPr>
                <w:rFonts w:hint="default" w:ascii="仿宋_GB2312" w:hAnsi="仿宋" w:eastAsia="仿宋_GB2312" w:cs="Times New Roman"/>
                <w:color w:val="auto"/>
                <w:sz w:val="24"/>
                <w:szCs w:val="24"/>
                <w:lang w:val="en-US" w:eastAsia="zh-CN"/>
              </w:rPr>
            </w:pPr>
            <w:r>
              <w:rPr>
                <w:rFonts w:hint="eastAsia" w:ascii="仿宋_GB2312" w:hAnsi="仿宋" w:eastAsia="仿宋_GB2312" w:cs="Times New Roman"/>
                <w:color w:val="auto"/>
                <w:sz w:val="24"/>
                <w:szCs w:val="24"/>
              </w:rPr>
              <w:t>供应商未被列入“信用中国”网站“记录失信被执行人或重大税收违法失信主体或政府采购严重违法失信行为”记录名单；不处于中国政府采购网（www.ccgp.gov.cn）“政府采购严重违法失信行为信息记录”中的禁止参加政府采购活动期间</w:t>
            </w:r>
            <w:r>
              <w:rPr>
                <w:rFonts w:hint="eastAsia" w:ascii="仿宋_GB2312" w:hAnsi="仿宋" w:eastAsia="仿宋_GB2312" w:cs="Times New Roman"/>
                <w:color w:val="auto"/>
                <w:sz w:val="24"/>
                <w:szCs w:val="24"/>
                <w:lang w:eastAsia="zh-CN"/>
              </w:rPr>
              <w:t>，共</w:t>
            </w:r>
            <w:r>
              <w:rPr>
                <w:rFonts w:hint="eastAsia" w:ascii="仿宋_GB2312" w:hAnsi="仿宋" w:eastAsia="仿宋_GB2312" w:cs="Times New Roman"/>
                <w:color w:val="auto"/>
                <w:sz w:val="24"/>
                <w:szCs w:val="24"/>
                <w:lang w:val="en-US" w:eastAsia="zh-CN"/>
              </w:rPr>
              <w:t>10分。</w:t>
            </w:r>
          </w:p>
        </w:tc>
        <w:tc>
          <w:tcPr>
            <w:tcW w:w="1254" w:type="dxa"/>
            <w:tcBorders>
              <w:top w:val="single" w:color="auto" w:sz="4" w:space="0"/>
              <w:left w:val="single" w:color="auto" w:sz="4" w:space="0"/>
              <w:right w:val="single" w:color="auto" w:sz="4" w:space="0"/>
            </w:tcBorders>
            <w:noWrap w:val="0"/>
            <w:vAlign w:val="center"/>
          </w:tcPr>
          <w:p w14:paraId="3DC9DF65">
            <w:pPr>
              <w:pStyle w:val="2"/>
              <w:spacing w:line="240" w:lineRule="auto"/>
              <w:jc w:val="center"/>
              <w:rPr>
                <w:rFonts w:hint="default" w:ascii="仿宋_GB2312" w:hAnsi="仿宋" w:eastAsia="仿宋_GB2312" w:cs="Times New Roman"/>
                <w:color w:val="auto"/>
                <w:sz w:val="24"/>
                <w:szCs w:val="24"/>
                <w:lang w:val="en-US" w:eastAsia="zh-CN"/>
              </w:rPr>
            </w:pPr>
          </w:p>
        </w:tc>
        <w:tc>
          <w:tcPr>
            <w:tcW w:w="1071" w:type="dxa"/>
            <w:tcBorders>
              <w:top w:val="single" w:color="auto" w:sz="4" w:space="0"/>
              <w:left w:val="single" w:color="auto" w:sz="4" w:space="0"/>
              <w:right w:val="single" w:color="auto" w:sz="4" w:space="0"/>
            </w:tcBorders>
            <w:noWrap w:val="0"/>
            <w:vAlign w:val="center"/>
          </w:tcPr>
          <w:p w14:paraId="17D095AB">
            <w:pPr>
              <w:spacing w:line="240" w:lineRule="auto"/>
              <w:jc w:val="center"/>
              <w:rPr>
                <w:rFonts w:hint="default" w:ascii="仿宋_GB2312" w:hAnsi="仿宋" w:eastAsia="仿宋_GB2312" w:cs="Times New Roman"/>
                <w:color w:val="auto"/>
                <w:sz w:val="24"/>
                <w:szCs w:val="24"/>
                <w:lang w:val="en-US" w:eastAsia="zh-CN"/>
              </w:rPr>
            </w:pPr>
          </w:p>
        </w:tc>
        <w:tc>
          <w:tcPr>
            <w:tcW w:w="1179" w:type="dxa"/>
            <w:tcBorders>
              <w:top w:val="single" w:color="auto" w:sz="4" w:space="0"/>
              <w:left w:val="single" w:color="auto" w:sz="4" w:space="0"/>
              <w:right w:val="single" w:color="auto" w:sz="4" w:space="0"/>
            </w:tcBorders>
            <w:noWrap w:val="0"/>
            <w:vAlign w:val="center"/>
          </w:tcPr>
          <w:p w14:paraId="596476C7">
            <w:pPr>
              <w:spacing w:line="240" w:lineRule="auto"/>
              <w:jc w:val="center"/>
              <w:rPr>
                <w:rFonts w:hint="default" w:ascii="仿宋_GB2312" w:hAnsi="仿宋" w:eastAsia="仿宋_GB2312" w:cs="Times New Roman"/>
                <w:color w:val="auto"/>
                <w:sz w:val="24"/>
                <w:szCs w:val="24"/>
                <w:lang w:val="en-US" w:eastAsia="zh-CN"/>
              </w:rPr>
            </w:pPr>
          </w:p>
        </w:tc>
      </w:tr>
      <w:tr w14:paraId="2128F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4" w:hRule="atLeast"/>
          <w:jc w:val="center"/>
        </w:trPr>
        <w:tc>
          <w:tcPr>
            <w:tcW w:w="836" w:type="dxa"/>
            <w:vMerge w:val="continue"/>
            <w:tcBorders>
              <w:left w:val="single" w:color="auto" w:sz="4" w:space="0"/>
              <w:right w:val="single" w:color="auto" w:sz="4" w:space="0"/>
            </w:tcBorders>
            <w:noWrap w:val="0"/>
            <w:vAlign w:val="center"/>
          </w:tcPr>
          <w:p w14:paraId="1A0B8ACA">
            <w:pPr>
              <w:pStyle w:val="2"/>
              <w:keepNext w:val="0"/>
              <w:keepLines w:val="0"/>
              <w:pageBreakBefore w:val="0"/>
              <w:widowControl w:val="0"/>
              <w:kinsoku/>
              <w:wordWrap/>
              <w:overflowPunct/>
              <w:topLinePunct w:val="0"/>
              <w:autoSpaceDE/>
              <w:autoSpaceDN/>
              <w:bidi w:val="0"/>
              <w:adjustRightInd/>
              <w:snapToGrid/>
              <w:spacing w:line="240" w:lineRule="auto"/>
              <w:ind w:firstLine="420" w:firstLineChars="200"/>
              <w:jc w:val="both"/>
              <w:textAlignment w:val="auto"/>
              <w:rPr>
                <w:color w:val="auto"/>
              </w:rPr>
            </w:pPr>
          </w:p>
        </w:tc>
        <w:tc>
          <w:tcPr>
            <w:tcW w:w="1482" w:type="dxa"/>
            <w:tcBorders>
              <w:left w:val="single" w:color="auto" w:sz="4" w:space="0"/>
              <w:bottom w:val="single" w:color="auto" w:sz="4" w:space="0"/>
              <w:right w:val="single" w:color="auto" w:sz="4" w:space="0"/>
            </w:tcBorders>
            <w:noWrap w:val="0"/>
            <w:vAlign w:val="center"/>
          </w:tcPr>
          <w:p w14:paraId="5DE54635">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color w:val="auto"/>
              </w:rPr>
            </w:pPr>
            <w:r>
              <w:rPr>
                <w:rFonts w:hint="eastAsia" w:ascii="仿宋_GB2312" w:hAnsi="仿宋" w:eastAsia="仿宋_GB2312" w:cs="Times New Roman"/>
                <w:color w:val="auto"/>
                <w:sz w:val="24"/>
                <w:szCs w:val="24"/>
              </w:rPr>
              <w:t>供应商业绩情况</w:t>
            </w:r>
          </w:p>
        </w:tc>
        <w:tc>
          <w:tcPr>
            <w:tcW w:w="786" w:type="dxa"/>
            <w:tcBorders>
              <w:left w:val="single" w:color="auto" w:sz="4" w:space="0"/>
              <w:bottom w:val="single" w:color="auto" w:sz="4" w:space="0"/>
              <w:right w:val="single" w:color="auto" w:sz="4" w:space="0"/>
            </w:tcBorders>
            <w:noWrap w:val="0"/>
            <w:vAlign w:val="center"/>
          </w:tcPr>
          <w:p w14:paraId="664D7EBF">
            <w:pPr>
              <w:pStyle w:val="2"/>
              <w:spacing w:line="240" w:lineRule="auto"/>
              <w:jc w:val="center"/>
              <w:rPr>
                <w:rFonts w:hint="default" w:eastAsia="宋体"/>
                <w:color w:val="auto"/>
                <w:lang w:val="en-US" w:eastAsia="zh-CN"/>
              </w:rPr>
            </w:pPr>
            <w:r>
              <w:rPr>
                <w:rFonts w:hint="eastAsia" w:ascii="仿宋_GB2312" w:hAnsi="仿宋" w:eastAsia="仿宋_GB2312" w:cs="Times New Roman"/>
                <w:color w:val="auto"/>
                <w:sz w:val="24"/>
                <w:szCs w:val="24"/>
                <w:lang w:val="en-US" w:eastAsia="zh-CN"/>
              </w:rPr>
              <w:t>30</w:t>
            </w:r>
          </w:p>
        </w:tc>
        <w:tc>
          <w:tcPr>
            <w:tcW w:w="8028" w:type="dxa"/>
            <w:tcBorders>
              <w:top w:val="single" w:color="auto" w:sz="4" w:space="0"/>
              <w:left w:val="single" w:color="auto" w:sz="4" w:space="0"/>
              <w:bottom w:val="single" w:color="auto" w:sz="4" w:space="0"/>
              <w:right w:val="single" w:color="auto" w:sz="4" w:space="0"/>
            </w:tcBorders>
            <w:noWrap w:val="0"/>
            <w:vAlign w:val="center"/>
          </w:tcPr>
          <w:p w14:paraId="1F29A78F">
            <w:pPr>
              <w:pStyle w:val="2"/>
              <w:widowControl w:val="0"/>
              <w:ind w:firstLine="480" w:firstLineChars="200"/>
              <w:jc w:val="both"/>
              <w:rPr>
                <w:rFonts w:hint="eastAsia" w:ascii="仿宋_GB2312" w:hAnsi="仿宋" w:eastAsia="仿宋_GB2312" w:cs="Times New Roman"/>
                <w:color w:val="auto"/>
                <w:kern w:val="2"/>
                <w:sz w:val="24"/>
                <w:szCs w:val="24"/>
              </w:rPr>
            </w:pPr>
            <w:r>
              <w:rPr>
                <w:rFonts w:hint="eastAsia" w:ascii="仿宋_GB2312" w:hAnsi="仿宋" w:eastAsia="仿宋_GB2312" w:cs="Times New Roman"/>
                <w:color w:val="auto"/>
                <w:kern w:val="2"/>
                <w:sz w:val="24"/>
                <w:szCs w:val="24"/>
              </w:rPr>
              <w:t>投标人提供自2020年1月1日至今的类似项目业绩，每提供1份得</w:t>
            </w:r>
            <w:r>
              <w:rPr>
                <w:rFonts w:hint="eastAsia" w:ascii="仿宋_GB2312" w:hAnsi="仿宋" w:eastAsia="仿宋_GB2312" w:cs="Times New Roman"/>
                <w:color w:val="auto"/>
                <w:kern w:val="2"/>
                <w:sz w:val="24"/>
                <w:szCs w:val="24"/>
                <w:lang w:val="en-US" w:eastAsia="zh-CN"/>
              </w:rPr>
              <w:t>5</w:t>
            </w:r>
            <w:r>
              <w:rPr>
                <w:rFonts w:hint="eastAsia" w:ascii="仿宋_GB2312" w:hAnsi="仿宋" w:eastAsia="仿宋_GB2312" w:cs="Times New Roman"/>
                <w:color w:val="auto"/>
                <w:kern w:val="2"/>
                <w:sz w:val="24"/>
                <w:szCs w:val="24"/>
              </w:rPr>
              <w:t>分，本项满分</w:t>
            </w:r>
            <w:r>
              <w:rPr>
                <w:rFonts w:hint="eastAsia" w:ascii="仿宋_GB2312" w:hAnsi="仿宋" w:eastAsia="仿宋_GB2312" w:cs="Times New Roman"/>
                <w:color w:val="auto"/>
                <w:kern w:val="2"/>
                <w:sz w:val="24"/>
                <w:szCs w:val="24"/>
                <w:lang w:val="en-US" w:eastAsia="zh-CN"/>
              </w:rPr>
              <w:t>30</w:t>
            </w:r>
            <w:r>
              <w:rPr>
                <w:rFonts w:hint="eastAsia" w:ascii="仿宋_GB2312" w:hAnsi="仿宋" w:eastAsia="仿宋_GB2312" w:cs="Times New Roman"/>
                <w:color w:val="auto"/>
                <w:kern w:val="2"/>
                <w:sz w:val="24"/>
                <w:szCs w:val="24"/>
              </w:rPr>
              <w:t>分。</w:t>
            </w:r>
          </w:p>
          <w:p w14:paraId="2255FFFE">
            <w:pPr>
              <w:pStyle w:val="2"/>
              <w:widowControl w:val="0"/>
              <w:ind w:firstLine="480" w:firstLineChars="200"/>
              <w:jc w:val="both"/>
              <w:rPr>
                <w:rFonts w:hint="eastAsia" w:ascii="仿宋_GB2312" w:hAnsi="仿宋" w:eastAsia="仿宋_GB2312" w:cs="Times New Roman"/>
                <w:color w:val="auto"/>
                <w:sz w:val="24"/>
                <w:szCs w:val="24"/>
              </w:rPr>
            </w:pPr>
            <w:r>
              <w:rPr>
                <w:rFonts w:hint="eastAsia" w:ascii="仿宋_GB2312" w:hAnsi="仿宋" w:eastAsia="仿宋_GB2312" w:cs="Times New Roman"/>
                <w:color w:val="auto"/>
                <w:kern w:val="2"/>
                <w:sz w:val="24"/>
                <w:szCs w:val="24"/>
              </w:rPr>
              <w:t>提供加盖投标单位公章的合同</w:t>
            </w:r>
            <w:r>
              <w:rPr>
                <w:rFonts w:hint="eastAsia" w:ascii="仿宋_GB2312" w:hAnsi="仿宋" w:eastAsia="仿宋_GB2312" w:cs="Times New Roman"/>
                <w:color w:val="auto"/>
                <w:kern w:val="2"/>
                <w:sz w:val="24"/>
                <w:szCs w:val="24"/>
                <w:lang w:eastAsia="zh-CN"/>
              </w:rPr>
              <w:t>或协议</w:t>
            </w:r>
            <w:r>
              <w:rPr>
                <w:rFonts w:hint="eastAsia" w:ascii="仿宋_GB2312" w:hAnsi="仿宋" w:eastAsia="仿宋_GB2312" w:cs="Times New Roman"/>
                <w:color w:val="auto"/>
                <w:kern w:val="2"/>
                <w:sz w:val="24"/>
                <w:szCs w:val="24"/>
              </w:rPr>
              <w:t>复印件（内容须包含首页、签字盖章页）</w:t>
            </w:r>
          </w:p>
        </w:tc>
        <w:tc>
          <w:tcPr>
            <w:tcW w:w="1254" w:type="dxa"/>
            <w:tcBorders>
              <w:left w:val="single" w:color="auto" w:sz="4" w:space="0"/>
              <w:bottom w:val="single" w:color="auto" w:sz="4" w:space="0"/>
              <w:right w:val="single" w:color="auto" w:sz="4" w:space="0"/>
            </w:tcBorders>
            <w:noWrap w:val="0"/>
            <w:vAlign w:val="center"/>
          </w:tcPr>
          <w:p w14:paraId="59748859">
            <w:pPr>
              <w:pStyle w:val="2"/>
              <w:keepNext w:val="0"/>
              <w:keepLines w:val="0"/>
              <w:pageBreakBefore w:val="0"/>
              <w:widowControl w:val="0"/>
              <w:kinsoku/>
              <w:wordWrap/>
              <w:overflowPunct/>
              <w:topLinePunct w:val="0"/>
              <w:autoSpaceDE/>
              <w:autoSpaceDN/>
              <w:bidi w:val="0"/>
              <w:adjustRightInd/>
              <w:snapToGrid/>
              <w:spacing w:line="240" w:lineRule="auto"/>
              <w:ind w:firstLine="480" w:firstLineChars="200"/>
              <w:jc w:val="both"/>
              <w:textAlignment w:val="auto"/>
              <w:rPr>
                <w:rFonts w:hint="default" w:ascii="仿宋_GB2312" w:hAnsi="仿宋" w:eastAsia="仿宋_GB2312" w:cs="Times New Roman"/>
                <w:color w:val="auto"/>
                <w:sz w:val="24"/>
                <w:szCs w:val="24"/>
                <w:lang w:val="en-US" w:eastAsia="zh-CN"/>
              </w:rPr>
            </w:pPr>
          </w:p>
        </w:tc>
        <w:tc>
          <w:tcPr>
            <w:tcW w:w="1071" w:type="dxa"/>
            <w:tcBorders>
              <w:left w:val="single" w:color="auto" w:sz="4" w:space="0"/>
              <w:bottom w:val="single" w:color="auto" w:sz="4" w:space="0"/>
              <w:right w:val="single" w:color="auto" w:sz="4" w:space="0"/>
            </w:tcBorders>
            <w:noWrap w:val="0"/>
            <w:vAlign w:val="center"/>
          </w:tcPr>
          <w:p w14:paraId="2E4F8910">
            <w:pPr>
              <w:pStyle w:val="2"/>
              <w:keepNext w:val="0"/>
              <w:keepLines w:val="0"/>
              <w:pageBreakBefore w:val="0"/>
              <w:widowControl w:val="0"/>
              <w:kinsoku/>
              <w:wordWrap/>
              <w:overflowPunct/>
              <w:topLinePunct w:val="0"/>
              <w:autoSpaceDE/>
              <w:autoSpaceDN/>
              <w:bidi w:val="0"/>
              <w:adjustRightInd/>
              <w:snapToGrid/>
              <w:spacing w:line="240" w:lineRule="auto"/>
              <w:ind w:firstLine="480" w:firstLineChars="200"/>
              <w:jc w:val="both"/>
              <w:textAlignment w:val="auto"/>
              <w:rPr>
                <w:rFonts w:hint="eastAsia" w:ascii="仿宋_GB2312" w:hAnsi="仿宋" w:eastAsia="仿宋_GB2312" w:cs="Times New Roman"/>
                <w:color w:val="auto"/>
                <w:sz w:val="24"/>
                <w:szCs w:val="24"/>
                <w:lang w:val="en-US" w:eastAsia="zh-CN"/>
              </w:rPr>
            </w:pPr>
          </w:p>
        </w:tc>
        <w:tc>
          <w:tcPr>
            <w:tcW w:w="1179" w:type="dxa"/>
            <w:tcBorders>
              <w:left w:val="single" w:color="auto" w:sz="4" w:space="0"/>
              <w:bottom w:val="single" w:color="auto" w:sz="4" w:space="0"/>
              <w:right w:val="single" w:color="auto" w:sz="4" w:space="0"/>
            </w:tcBorders>
            <w:noWrap w:val="0"/>
            <w:vAlign w:val="center"/>
          </w:tcPr>
          <w:p w14:paraId="7F25EBBF">
            <w:pPr>
              <w:pStyle w:val="2"/>
              <w:keepNext w:val="0"/>
              <w:keepLines w:val="0"/>
              <w:pageBreakBefore w:val="0"/>
              <w:widowControl w:val="0"/>
              <w:kinsoku/>
              <w:wordWrap/>
              <w:overflowPunct/>
              <w:topLinePunct w:val="0"/>
              <w:autoSpaceDE/>
              <w:autoSpaceDN/>
              <w:bidi w:val="0"/>
              <w:adjustRightInd/>
              <w:snapToGrid/>
              <w:spacing w:line="240" w:lineRule="auto"/>
              <w:ind w:firstLine="480" w:firstLineChars="200"/>
              <w:jc w:val="both"/>
              <w:textAlignment w:val="auto"/>
              <w:rPr>
                <w:rFonts w:hint="eastAsia" w:ascii="仿宋_GB2312" w:hAnsi="仿宋" w:eastAsia="仿宋_GB2312" w:cs="Times New Roman"/>
                <w:color w:val="auto"/>
                <w:sz w:val="24"/>
                <w:szCs w:val="24"/>
                <w:lang w:val="en-US" w:eastAsia="zh-CN"/>
              </w:rPr>
            </w:pPr>
          </w:p>
        </w:tc>
      </w:tr>
      <w:tr w14:paraId="0C3C5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11132" w:type="dxa"/>
            <w:gridSpan w:val="4"/>
            <w:tcBorders>
              <w:left w:val="single" w:color="auto" w:sz="4" w:space="0"/>
              <w:right w:val="single" w:color="auto" w:sz="4" w:space="0"/>
            </w:tcBorders>
            <w:noWrap w:val="0"/>
            <w:vAlign w:val="center"/>
          </w:tcPr>
          <w:p w14:paraId="310A0DF7">
            <w:pPr>
              <w:pStyle w:val="2"/>
              <w:spacing w:line="240" w:lineRule="auto"/>
              <w:jc w:val="center"/>
              <w:rPr>
                <w:rFonts w:hint="eastAsia" w:ascii="仿宋_GB2312" w:hAnsi="仿宋" w:eastAsia="仿宋_GB2312" w:cs="Times New Roman"/>
                <w:color w:val="auto"/>
                <w:sz w:val="24"/>
                <w:szCs w:val="24"/>
              </w:rPr>
            </w:pPr>
            <w:r>
              <w:rPr>
                <w:rFonts w:hint="eastAsia" w:ascii="仿宋_GB2312" w:hAnsi="仿宋" w:eastAsia="仿宋_GB2312" w:cs="Times New Roman"/>
                <w:color w:val="auto"/>
                <w:sz w:val="24"/>
                <w:szCs w:val="24"/>
                <w:lang w:val="en-US" w:eastAsia="zh-CN"/>
              </w:rPr>
              <w:t>总得分</w:t>
            </w:r>
          </w:p>
        </w:tc>
        <w:tc>
          <w:tcPr>
            <w:tcW w:w="1254" w:type="dxa"/>
            <w:tcBorders>
              <w:top w:val="single" w:color="auto" w:sz="4" w:space="0"/>
              <w:left w:val="single" w:color="auto" w:sz="4" w:space="0"/>
              <w:bottom w:val="single" w:color="auto" w:sz="4" w:space="0"/>
              <w:right w:val="single" w:color="auto" w:sz="4" w:space="0"/>
            </w:tcBorders>
            <w:noWrap w:val="0"/>
            <w:vAlign w:val="center"/>
          </w:tcPr>
          <w:p w14:paraId="23B84C15">
            <w:pPr>
              <w:pStyle w:val="2"/>
              <w:spacing w:line="240" w:lineRule="auto"/>
              <w:jc w:val="center"/>
              <w:rPr>
                <w:rFonts w:hint="default" w:ascii="仿宋_GB2312" w:hAnsi="仿宋" w:eastAsia="仿宋_GB2312" w:cs="Times New Roman"/>
                <w:color w:val="auto"/>
                <w:sz w:val="24"/>
                <w:szCs w:val="24"/>
                <w:lang w:val="en-US" w:eastAsia="zh-CN"/>
              </w:rPr>
            </w:pPr>
          </w:p>
        </w:tc>
        <w:tc>
          <w:tcPr>
            <w:tcW w:w="1071" w:type="dxa"/>
            <w:tcBorders>
              <w:top w:val="single" w:color="auto" w:sz="4" w:space="0"/>
              <w:left w:val="single" w:color="auto" w:sz="4" w:space="0"/>
              <w:bottom w:val="single" w:color="auto" w:sz="4" w:space="0"/>
              <w:right w:val="single" w:color="auto" w:sz="4" w:space="0"/>
            </w:tcBorders>
            <w:noWrap w:val="0"/>
            <w:vAlign w:val="center"/>
          </w:tcPr>
          <w:p w14:paraId="4C8A77EB">
            <w:pPr>
              <w:pStyle w:val="2"/>
              <w:spacing w:line="240" w:lineRule="auto"/>
              <w:jc w:val="center"/>
              <w:rPr>
                <w:rFonts w:hint="default" w:ascii="仿宋_GB2312" w:hAnsi="仿宋" w:eastAsia="仿宋_GB2312" w:cs="Times New Roman"/>
                <w:color w:val="auto"/>
                <w:sz w:val="24"/>
                <w:szCs w:val="24"/>
                <w:lang w:val="en-US" w:eastAsia="zh-CN"/>
              </w:rPr>
            </w:pPr>
          </w:p>
        </w:tc>
        <w:tc>
          <w:tcPr>
            <w:tcW w:w="1179" w:type="dxa"/>
            <w:tcBorders>
              <w:top w:val="single" w:color="auto" w:sz="4" w:space="0"/>
              <w:left w:val="single" w:color="auto" w:sz="4" w:space="0"/>
              <w:bottom w:val="single" w:color="auto" w:sz="4" w:space="0"/>
              <w:right w:val="single" w:color="auto" w:sz="4" w:space="0"/>
            </w:tcBorders>
            <w:noWrap w:val="0"/>
            <w:vAlign w:val="center"/>
          </w:tcPr>
          <w:p w14:paraId="70FB2AA4">
            <w:pPr>
              <w:pStyle w:val="2"/>
              <w:spacing w:line="240" w:lineRule="auto"/>
              <w:jc w:val="center"/>
              <w:rPr>
                <w:rFonts w:hint="default" w:ascii="仿宋_GB2312" w:hAnsi="仿宋" w:eastAsia="仿宋_GB2312" w:cs="Times New Roman"/>
                <w:color w:val="auto"/>
                <w:sz w:val="24"/>
                <w:szCs w:val="24"/>
                <w:lang w:val="en-US" w:eastAsia="zh-CN"/>
              </w:rPr>
            </w:pPr>
          </w:p>
        </w:tc>
      </w:tr>
    </w:tbl>
    <w:p w14:paraId="277D6973">
      <w:pPr>
        <w:rPr>
          <w:rFonts w:hint="default" w:eastAsia="仿宋_GB2312"/>
          <w:lang w:val="en-US" w:eastAsia="zh-CN"/>
        </w:rPr>
      </w:pPr>
      <w:r>
        <w:rPr>
          <w:rFonts w:hint="eastAsia"/>
          <w:lang w:eastAsia="zh-CN"/>
        </w:rPr>
        <w:t>评审员签名：</w:t>
      </w:r>
      <w:r>
        <w:rPr>
          <w:rFonts w:hint="eastAsia"/>
          <w:lang w:val="en-US" w:eastAsia="zh-CN"/>
        </w:rPr>
        <w:t xml:space="preserve">                                                                日期：  年  月  日</w:t>
      </w: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altName w:val="Arial Unicode MS"/>
    <w:panose1 w:val="02000000000000000000"/>
    <w:charset w:val="86"/>
    <w:family w:val="auto"/>
    <w:pitch w:val="default"/>
    <w:sig w:usb0="00000000" w:usb1="00000000" w:usb2="00000012"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15765F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0"/>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Plain Text"/>
    <w:basedOn w:val="1"/>
    <w:uiPriority w:val="0"/>
    <w:rPr>
      <w:rFonts w:ascii="宋体" w:hAnsi="Courier New" w:eastAsia="宋体"/>
      <w:sz w:val="21"/>
    </w:rPr>
  </w:style>
  <w:style w:type="paragraph" w:styleId="3">
    <w:name w:val="footer"/>
    <w:basedOn w:val="1"/>
    <w:qFormat/>
    <w:uiPriority w:val="0"/>
    <w:pPr>
      <w:tabs>
        <w:tab w:val="center" w:pos="4153"/>
        <w:tab w:val="right" w:pos="8306"/>
      </w:tabs>
      <w:autoSpaceDE w:val="0"/>
      <w:autoSpaceDN w:val="0"/>
      <w:adjustRightInd w:val="0"/>
      <w:snapToGrid w:val="0"/>
      <w:jc w:val="left"/>
      <w:textAlignment w:val="baseline"/>
    </w:pPr>
    <w:rPr>
      <w:rFonts w:ascii="宋体" w:eastAsia="宋体"/>
      <w:kern w:val="0"/>
      <w:sz w:val="18"/>
    </w:rPr>
  </w:style>
  <w:style w:type="character" w:styleId="6">
    <w:name w:val="page number"/>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3</TotalTime>
  <ScaleCrop>false</ScaleCrop>
  <LinksUpToDate>false</LinksUpToDate>
  <CharactersWithSpaces>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陈紫容</cp:lastModifiedBy>
  <dcterms:modified xsi:type="dcterms:W3CDTF">2026-05-06T08:30:49Z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eyJoZGlkIjoiMjM0MGU0ZmI2NTdkMDMyYmE3NWY1OWFmOGJmMWIyY2QifQ==</vt:lpwstr>
  </property>
  <property fmtid="{D5CDD505-2E9C-101B-9397-08002B2CF9AE}" pid="4" name="ICV">
    <vt:lpwstr>F6C42A3B26DD496C8F01B0AC7C81C6EB_12</vt:lpwstr>
  </property>
</Properties>
</file>