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A3CC4">
      <w:pPr>
        <w:jc w:val="both"/>
        <w:rPr>
          <w:rFonts w:hint="default" w:ascii="Times New Roman" w:hAnsi="Times New Roman" w:eastAsia="方正黑体_GBK" w:cs="Times New Roman"/>
          <w:i w:val="0"/>
          <w:iCs w:val="0"/>
          <w:caps w:val="0"/>
          <w:color w:val="auto"/>
          <w:spacing w:val="0"/>
          <w:sz w:val="30"/>
          <w:szCs w:val="30"/>
          <w:shd w:val="clear" w:color="auto" w:fill="FFFFFF"/>
          <w:lang w:val="en-US" w:eastAsia="zh-CN"/>
        </w:rPr>
      </w:pPr>
      <w:r>
        <w:rPr>
          <w:rFonts w:hint="default" w:ascii="Times New Roman" w:hAnsi="Times New Roman" w:eastAsia="方正黑体_GBK" w:cs="Times New Roman"/>
          <w:i w:val="0"/>
          <w:iCs w:val="0"/>
          <w:caps w:val="0"/>
          <w:color w:val="auto"/>
          <w:spacing w:val="0"/>
          <w:sz w:val="30"/>
          <w:szCs w:val="30"/>
          <w:shd w:val="clear" w:color="auto" w:fill="FFFFFF"/>
          <w:lang w:eastAsia="zh-CN"/>
        </w:rPr>
        <w:t>附件</w:t>
      </w:r>
      <w:r>
        <w:rPr>
          <w:rFonts w:hint="default" w:ascii="Times New Roman" w:hAnsi="Times New Roman" w:eastAsia="方正黑体_GBK" w:cs="Times New Roman"/>
          <w:i w:val="0"/>
          <w:iCs w:val="0"/>
          <w:caps w:val="0"/>
          <w:color w:val="auto"/>
          <w:spacing w:val="0"/>
          <w:sz w:val="30"/>
          <w:szCs w:val="30"/>
          <w:shd w:val="clear" w:color="auto" w:fill="FFFFFF"/>
          <w:lang w:val="en-US" w:eastAsia="zh-CN"/>
        </w:rPr>
        <w:t xml:space="preserve">2 </w:t>
      </w:r>
    </w:p>
    <w:p w14:paraId="792C2E31">
      <w:pPr>
        <w:jc w:val="center"/>
        <w:rPr>
          <w:rFonts w:hint="default" w:ascii="Times New Roman" w:hAnsi="Times New Roman" w:eastAsia="方正大标宋_GBK" w:cs="Times New Roman"/>
          <w:b w:val="0"/>
          <w:bCs/>
          <w:i w:val="0"/>
          <w:iCs w:val="0"/>
          <w:caps w:val="0"/>
          <w:color w:val="auto"/>
          <w:spacing w:val="0"/>
          <w:sz w:val="42"/>
          <w:szCs w:val="42"/>
          <w:shd w:val="clear" w:color="auto" w:fill="FFFFFF"/>
          <w:lang w:val="en-US" w:eastAsia="zh-CN"/>
        </w:rPr>
      </w:pPr>
      <w:bookmarkStart w:id="0" w:name="_GoBack"/>
      <w:r>
        <w:rPr>
          <w:rFonts w:hint="default" w:ascii="Times New Roman" w:hAnsi="Times New Roman" w:eastAsia="方正大标宋_GBK" w:cs="Times New Roman"/>
          <w:b w:val="0"/>
          <w:bCs/>
          <w:i w:val="0"/>
          <w:iCs w:val="0"/>
          <w:caps w:val="0"/>
          <w:spacing w:val="0"/>
          <w:sz w:val="42"/>
          <w:szCs w:val="42"/>
          <w:shd w:val="clear" w:color="auto" w:fill="auto"/>
          <w:lang w:val="en" w:eastAsia="zh-CN"/>
        </w:rPr>
        <w:t>评分表</w:t>
      </w:r>
    </w:p>
    <w:bookmarkEnd w:id="0"/>
    <w:tbl>
      <w:tblPr>
        <w:tblStyle w:val="4"/>
        <w:tblW w:w="8420" w:type="dxa"/>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851"/>
        <w:gridCol w:w="1233"/>
        <w:gridCol w:w="836"/>
        <w:gridCol w:w="5500"/>
      </w:tblGrid>
      <w:tr w14:paraId="0C36F4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3" w:hRule="atLeast"/>
        </w:trPr>
        <w:tc>
          <w:tcPr>
            <w:tcW w:w="2920" w:type="dxa"/>
            <w:gridSpan w:val="3"/>
            <w:tcBorders>
              <w:tl2br w:val="nil"/>
              <w:tr2bl w:val="nil"/>
            </w:tcBorders>
            <w:noWrap w:val="0"/>
            <w:vAlign w:val="center"/>
          </w:tcPr>
          <w:p w14:paraId="75DAC4A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评审分项</w:t>
            </w:r>
          </w:p>
        </w:tc>
        <w:tc>
          <w:tcPr>
            <w:tcW w:w="5500" w:type="dxa"/>
            <w:vMerge w:val="restart"/>
            <w:tcBorders>
              <w:tl2br w:val="nil"/>
              <w:tr2bl w:val="nil"/>
            </w:tcBorders>
            <w:noWrap w:val="0"/>
            <w:vAlign w:val="center"/>
          </w:tcPr>
          <w:p w14:paraId="57644EF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评审说明</w:t>
            </w:r>
          </w:p>
        </w:tc>
      </w:tr>
      <w:tr w14:paraId="068B84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3" w:hRule="atLeast"/>
        </w:trPr>
        <w:tc>
          <w:tcPr>
            <w:tcW w:w="2084" w:type="dxa"/>
            <w:gridSpan w:val="2"/>
            <w:tcBorders>
              <w:tl2br w:val="nil"/>
              <w:tr2bl w:val="nil"/>
            </w:tcBorders>
            <w:noWrap w:val="0"/>
            <w:vAlign w:val="center"/>
          </w:tcPr>
          <w:p w14:paraId="45CC3B8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内容</w:t>
            </w:r>
          </w:p>
        </w:tc>
        <w:tc>
          <w:tcPr>
            <w:tcW w:w="836" w:type="dxa"/>
            <w:tcBorders>
              <w:tl2br w:val="nil"/>
              <w:tr2bl w:val="nil"/>
            </w:tcBorders>
            <w:noWrap w:val="0"/>
            <w:vAlign w:val="center"/>
          </w:tcPr>
          <w:p w14:paraId="65C45EB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分值</w:t>
            </w:r>
          </w:p>
        </w:tc>
        <w:tc>
          <w:tcPr>
            <w:tcW w:w="5500" w:type="dxa"/>
            <w:vMerge w:val="continue"/>
            <w:tcBorders>
              <w:tl2br w:val="nil"/>
              <w:tr2bl w:val="nil"/>
            </w:tcBorders>
            <w:noWrap w:val="0"/>
            <w:vAlign w:val="center"/>
          </w:tcPr>
          <w:p w14:paraId="692BE7B1">
            <w:pPr>
              <w:jc w:val="center"/>
              <w:rPr>
                <w:rFonts w:hint="default" w:ascii="Times New Roman" w:hAnsi="Times New Roman" w:eastAsia="宋体" w:cs="Times New Roman"/>
                <w:b w:val="0"/>
                <w:bCs w:val="0"/>
                <w:i w:val="0"/>
                <w:iCs w:val="0"/>
                <w:color w:val="000000"/>
                <w:sz w:val="21"/>
                <w:szCs w:val="21"/>
                <w:u w:val="none"/>
              </w:rPr>
            </w:pPr>
          </w:p>
        </w:tc>
      </w:tr>
      <w:tr w14:paraId="3BFDEF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3" w:hRule="atLeast"/>
        </w:trPr>
        <w:tc>
          <w:tcPr>
            <w:tcW w:w="851" w:type="dxa"/>
            <w:vMerge w:val="restart"/>
            <w:tcBorders>
              <w:tl2br w:val="nil"/>
              <w:tr2bl w:val="nil"/>
            </w:tcBorders>
            <w:noWrap w:val="0"/>
            <w:vAlign w:val="center"/>
          </w:tcPr>
          <w:p w14:paraId="324467D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技术部分（</w:t>
            </w:r>
            <w:r>
              <w:rPr>
                <w:rStyle w:val="6"/>
                <w:rFonts w:hint="eastAsia" w:ascii="Times New Roman" w:hAnsi="Times New Roman" w:eastAsia="宋体" w:cs="Times New Roman"/>
                <w:b w:val="0"/>
                <w:bCs w:val="0"/>
                <w:lang w:val="en-US" w:eastAsia="zh-CN" w:bidi="ar"/>
              </w:rPr>
              <w:t>35</w:t>
            </w:r>
            <w:r>
              <w:rPr>
                <w:rStyle w:val="7"/>
                <w:rFonts w:hint="default" w:ascii="Times New Roman" w:hAnsi="Times New Roman" w:eastAsia="宋体" w:cs="Times New Roman"/>
                <w:b w:val="0"/>
                <w:bCs w:val="0"/>
                <w:lang w:val="en-US" w:eastAsia="zh-CN" w:bidi="ar"/>
              </w:rPr>
              <w:t>分）</w:t>
            </w:r>
          </w:p>
        </w:tc>
        <w:tc>
          <w:tcPr>
            <w:tcW w:w="1233" w:type="dxa"/>
            <w:tcBorders>
              <w:tl2br w:val="nil"/>
              <w:tr2bl w:val="nil"/>
            </w:tcBorders>
            <w:noWrap w:val="0"/>
            <w:vAlign w:val="center"/>
          </w:tcPr>
          <w:p w14:paraId="1F190588">
            <w:pPr>
              <w:snapToGrid w:val="0"/>
              <w:spacing w:line="400" w:lineRule="exact"/>
              <w:jc w:val="center"/>
              <w:rPr>
                <w:rFonts w:hint="default" w:ascii="Times New Roman" w:hAnsi="Times New Roman" w:eastAsia="方正仿宋_GBK" w:cs="Times New Roman"/>
                <w:b w:val="0"/>
                <w:bCs w:val="0"/>
                <w:i w:val="0"/>
                <w:iCs w:val="0"/>
                <w:color w:val="auto"/>
                <w:sz w:val="24"/>
                <w:szCs w:val="24"/>
                <w:u w:val="none"/>
              </w:rPr>
            </w:pPr>
            <w:r>
              <w:rPr>
                <w:rFonts w:hint="default" w:ascii="Times New Roman" w:hAnsi="Times New Roman" w:eastAsia="方正仿宋_GBK" w:cs="Times New Roman"/>
                <w:b w:val="0"/>
                <w:bCs w:val="0"/>
                <w:color w:val="auto"/>
                <w:sz w:val="24"/>
                <w:szCs w:val="24"/>
              </w:rPr>
              <w:t>项目技术实施方案</w:t>
            </w:r>
          </w:p>
        </w:tc>
        <w:tc>
          <w:tcPr>
            <w:tcW w:w="836" w:type="dxa"/>
            <w:tcBorders>
              <w:tl2br w:val="nil"/>
              <w:tr2bl w:val="nil"/>
            </w:tcBorders>
            <w:noWrap w:val="0"/>
            <w:vAlign w:val="center"/>
          </w:tcPr>
          <w:p w14:paraId="44918CE6">
            <w:pPr>
              <w:snapToGrid w:val="0"/>
              <w:spacing w:line="400" w:lineRule="exact"/>
              <w:jc w:val="center"/>
              <w:rPr>
                <w:rFonts w:hint="default" w:ascii="Times New Roman" w:hAnsi="Times New Roman" w:eastAsia="方正仿宋_GBK" w:cs="Times New Roman"/>
                <w:b w:val="0"/>
                <w:bCs w:val="0"/>
                <w:i w:val="0"/>
                <w:iCs w:val="0"/>
                <w:color w:val="auto"/>
                <w:sz w:val="24"/>
                <w:szCs w:val="24"/>
                <w:u w:val="none"/>
              </w:rPr>
            </w:pPr>
            <w:r>
              <w:rPr>
                <w:rFonts w:hint="default" w:ascii="Times New Roman" w:hAnsi="Times New Roman" w:eastAsia="方正仿宋_GBK" w:cs="Times New Roman"/>
                <w:b w:val="0"/>
                <w:bCs w:val="0"/>
                <w:color w:val="auto"/>
                <w:sz w:val="24"/>
                <w:szCs w:val="24"/>
                <w:lang w:val="en-US" w:eastAsia="zh-CN"/>
              </w:rPr>
              <w:t>15</w:t>
            </w:r>
            <w:r>
              <w:rPr>
                <w:rFonts w:hint="default" w:ascii="Times New Roman" w:hAnsi="Times New Roman" w:eastAsia="方正仿宋_GBK" w:cs="Times New Roman"/>
                <w:b w:val="0"/>
                <w:bCs w:val="0"/>
                <w:color w:val="auto"/>
                <w:sz w:val="24"/>
                <w:szCs w:val="24"/>
              </w:rPr>
              <w:t>分</w:t>
            </w:r>
          </w:p>
        </w:tc>
        <w:tc>
          <w:tcPr>
            <w:tcW w:w="5500" w:type="dxa"/>
            <w:tcBorders>
              <w:tl2br w:val="nil"/>
              <w:tr2bl w:val="nil"/>
            </w:tcBorders>
            <w:noWrap w:val="0"/>
            <w:vAlign w:val="center"/>
          </w:tcPr>
          <w:p w14:paraId="16EC9BED">
            <w:pPr>
              <w:snapToGrid w:val="0"/>
              <w:spacing w:line="400" w:lineRule="exact"/>
              <w:rPr>
                <w:rFonts w:hint="default" w:ascii="Times New Roman" w:hAnsi="Times New Roman" w:eastAsia="方正仿宋_GBK" w:cs="Times New Roman"/>
                <w:b w:val="0"/>
                <w:bCs w:val="0"/>
                <w:i w:val="0"/>
                <w:iCs w:val="0"/>
                <w:color w:val="auto"/>
                <w:sz w:val="24"/>
                <w:szCs w:val="24"/>
                <w:u w:val="none"/>
                <w:lang w:eastAsia="zh-CN"/>
              </w:rPr>
            </w:pPr>
            <w:r>
              <w:rPr>
                <w:rFonts w:hint="default" w:ascii="Times New Roman" w:hAnsi="Times New Roman" w:eastAsia="方正仿宋_GBK" w:cs="Times New Roman"/>
                <w:b w:val="0"/>
                <w:bCs w:val="0"/>
                <w:color w:val="auto"/>
                <w:sz w:val="24"/>
                <w:szCs w:val="24"/>
              </w:rPr>
              <w:t>项目技术实施方案详细、全面，具备</w:t>
            </w:r>
            <w:r>
              <w:rPr>
                <w:rFonts w:hint="default" w:ascii="Times New Roman" w:hAnsi="Times New Roman" w:eastAsia="方正仿宋_GBK" w:cs="Times New Roman"/>
                <w:b w:val="0"/>
                <w:bCs w:val="0"/>
                <w:color w:val="auto"/>
                <w:sz w:val="24"/>
                <w:szCs w:val="24"/>
                <w:lang w:val="en-US" w:eastAsia="zh-CN"/>
              </w:rPr>
              <w:t>较强的</w:t>
            </w:r>
            <w:r>
              <w:rPr>
                <w:rFonts w:hint="default" w:ascii="Times New Roman" w:hAnsi="Times New Roman" w:eastAsia="方正仿宋_GBK" w:cs="Times New Roman"/>
                <w:b w:val="0"/>
                <w:bCs w:val="0"/>
                <w:color w:val="auto"/>
                <w:sz w:val="24"/>
                <w:szCs w:val="24"/>
              </w:rPr>
              <w:t>合理性、可行性、针对性，进度安排</w:t>
            </w:r>
            <w:r>
              <w:rPr>
                <w:rFonts w:hint="default" w:ascii="Times New Roman" w:hAnsi="Times New Roman" w:eastAsia="方正仿宋_GBK" w:cs="Times New Roman"/>
                <w:b w:val="0"/>
                <w:bCs w:val="0"/>
                <w:color w:val="auto"/>
                <w:sz w:val="24"/>
              </w:rPr>
              <w:t>与项目各时间节点衔接</w:t>
            </w:r>
            <w:r>
              <w:rPr>
                <w:rFonts w:hint="default" w:ascii="Times New Roman" w:hAnsi="Times New Roman" w:eastAsia="方正仿宋_GBK" w:cs="Times New Roman"/>
                <w:b w:val="0"/>
                <w:bCs w:val="0"/>
                <w:color w:val="auto"/>
                <w:sz w:val="24"/>
                <w:szCs w:val="24"/>
              </w:rPr>
              <w:t>的</w:t>
            </w:r>
            <w:r>
              <w:rPr>
                <w:rFonts w:hint="default" w:ascii="Times New Roman" w:hAnsi="Times New Roman" w:eastAsia="方正仿宋_GBK" w:cs="Times New Roman"/>
                <w:b w:val="0"/>
                <w:bCs w:val="0"/>
                <w:color w:val="auto"/>
                <w:sz w:val="24"/>
                <w:szCs w:val="24"/>
                <w:lang w:eastAsia="zh-CN"/>
              </w:rPr>
              <w:t>，得</w:t>
            </w:r>
            <w:r>
              <w:rPr>
                <w:rFonts w:hint="default" w:ascii="Times New Roman" w:hAnsi="Times New Roman" w:eastAsia="方正仿宋_GBK" w:cs="Times New Roman"/>
                <w:b w:val="0"/>
                <w:bCs w:val="0"/>
                <w:color w:val="auto"/>
                <w:sz w:val="24"/>
                <w:szCs w:val="24"/>
                <w:lang w:val="en-US" w:eastAsia="zh-CN"/>
              </w:rPr>
              <w:t>15分；</w:t>
            </w:r>
            <w:r>
              <w:rPr>
                <w:rFonts w:hint="default" w:ascii="Times New Roman" w:hAnsi="Times New Roman" w:eastAsia="方正仿宋_GBK" w:cs="Times New Roman"/>
                <w:b w:val="0"/>
                <w:bCs w:val="0"/>
                <w:color w:val="auto"/>
                <w:sz w:val="24"/>
                <w:szCs w:val="24"/>
              </w:rPr>
              <w:t>项目技术实施方案详细、全面，但合理性、可行性、针对性</w:t>
            </w:r>
            <w:r>
              <w:rPr>
                <w:rFonts w:hint="default" w:ascii="Times New Roman" w:hAnsi="Times New Roman" w:eastAsia="方正仿宋_GBK" w:cs="Times New Roman"/>
                <w:b w:val="0"/>
                <w:bCs w:val="0"/>
                <w:color w:val="auto"/>
                <w:sz w:val="24"/>
                <w:szCs w:val="24"/>
                <w:lang w:val="en-US" w:eastAsia="zh-CN"/>
              </w:rPr>
              <w:t>不足</w:t>
            </w:r>
            <w:r>
              <w:rPr>
                <w:rFonts w:hint="default" w:ascii="Times New Roman" w:hAnsi="Times New Roman" w:eastAsia="方正仿宋_GBK" w:cs="Times New Roman"/>
                <w:b w:val="0"/>
                <w:bCs w:val="0"/>
                <w:color w:val="auto"/>
                <w:sz w:val="24"/>
                <w:szCs w:val="24"/>
              </w:rPr>
              <w:t>，进度安排</w:t>
            </w:r>
            <w:r>
              <w:rPr>
                <w:rFonts w:hint="default" w:ascii="Times New Roman" w:hAnsi="Times New Roman" w:eastAsia="方正仿宋_GBK" w:cs="Times New Roman"/>
                <w:b w:val="0"/>
                <w:bCs w:val="0"/>
                <w:color w:val="auto"/>
                <w:sz w:val="24"/>
              </w:rPr>
              <w:t>仅涉及成果交付时间节点的</w:t>
            </w:r>
            <w:r>
              <w:rPr>
                <w:rFonts w:hint="default" w:ascii="Times New Roman" w:hAnsi="Times New Roman" w:eastAsia="方正仿宋_GBK" w:cs="Times New Roman"/>
                <w:b w:val="0"/>
                <w:bCs w:val="0"/>
                <w:color w:val="auto"/>
                <w:sz w:val="24"/>
                <w:lang w:eastAsia="zh-CN"/>
              </w:rPr>
              <w:t>，得</w:t>
            </w:r>
            <w:r>
              <w:rPr>
                <w:rFonts w:hint="default" w:ascii="Times New Roman" w:hAnsi="Times New Roman" w:eastAsia="方正仿宋_GBK" w:cs="Times New Roman"/>
                <w:b w:val="0"/>
                <w:bCs w:val="0"/>
                <w:color w:val="auto"/>
                <w:sz w:val="24"/>
                <w:lang w:val="en-US" w:eastAsia="zh-CN"/>
              </w:rPr>
              <w:t>11分</w:t>
            </w:r>
            <w:r>
              <w:rPr>
                <w:rFonts w:hint="default" w:ascii="Times New Roman" w:hAnsi="Times New Roman" w:eastAsia="方正仿宋_GBK" w:cs="Times New Roman"/>
                <w:b w:val="0"/>
                <w:bCs w:val="0"/>
                <w:color w:val="auto"/>
                <w:sz w:val="24"/>
                <w:szCs w:val="24"/>
              </w:rPr>
              <w:t>；项目技术实施方案不</w:t>
            </w:r>
            <w:r>
              <w:rPr>
                <w:rFonts w:hint="default" w:ascii="Times New Roman" w:hAnsi="Times New Roman" w:eastAsia="方正仿宋_GBK" w:cs="Times New Roman"/>
                <w:b w:val="0"/>
                <w:bCs w:val="0"/>
                <w:color w:val="auto"/>
                <w:sz w:val="24"/>
                <w:szCs w:val="24"/>
                <w:lang w:val="en-US" w:eastAsia="zh-CN"/>
              </w:rPr>
              <w:t>够</w:t>
            </w:r>
            <w:r>
              <w:rPr>
                <w:rFonts w:hint="default" w:ascii="Times New Roman" w:hAnsi="Times New Roman" w:eastAsia="方正仿宋_GBK" w:cs="Times New Roman"/>
                <w:b w:val="0"/>
                <w:bCs w:val="0"/>
                <w:color w:val="auto"/>
                <w:sz w:val="24"/>
                <w:szCs w:val="24"/>
              </w:rPr>
              <w:t>详细、全面，合理性、可行性、针对性</w:t>
            </w:r>
            <w:r>
              <w:rPr>
                <w:rFonts w:hint="default" w:ascii="Times New Roman" w:hAnsi="Times New Roman" w:eastAsia="方正仿宋_GBK" w:cs="Times New Roman"/>
                <w:b w:val="0"/>
                <w:bCs w:val="0"/>
                <w:color w:val="auto"/>
                <w:sz w:val="24"/>
                <w:szCs w:val="24"/>
                <w:lang w:val="en-US" w:eastAsia="zh-CN"/>
              </w:rPr>
              <w:t>不足</w:t>
            </w:r>
            <w:r>
              <w:rPr>
                <w:rFonts w:hint="default" w:ascii="Times New Roman" w:hAnsi="Times New Roman" w:eastAsia="方正仿宋_GBK" w:cs="Times New Roman"/>
                <w:b w:val="0"/>
                <w:bCs w:val="0"/>
                <w:color w:val="auto"/>
                <w:sz w:val="24"/>
                <w:szCs w:val="24"/>
              </w:rPr>
              <w:t>，进度安排未按项目需求时间衔接的</w:t>
            </w:r>
            <w:r>
              <w:rPr>
                <w:rFonts w:hint="default" w:ascii="Times New Roman" w:hAnsi="Times New Roman" w:eastAsia="方正仿宋_GBK" w:cs="Times New Roman"/>
                <w:b w:val="0"/>
                <w:bCs w:val="0"/>
                <w:color w:val="auto"/>
                <w:sz w:val="24"/>
                <w:szCs w:val="24"/>
                <w:lang w:eastAsia="zh-CN"/>
              </w:rPr>
              <w:t>，得</w:t>
            </w:r>
            <w:r>
              <w:rPr>
                <w:rFonts w:hint="default" w:ascii="Times New Roman" w:hAnsi="Times New Roman" w:eastAsia="方正仿宋_GBK" w:cs="Times New Roman"/>
                <w:b w:val="0"/>
                <w:bCs w:val="0"/>
                <w:color w:val="auto"/>
                <w:sz w:val="24"/>
                <w:szCs w:val="24"/>
                <w:lang w:val="en-US" w:eastAsia="zh-CN"/>
              </w:rPr>
              <w:t>7分</w:t>
            </w:r>
            <w:r>
              <w:rPr>
                <w:rFonts w:hint="default" w:ascii="Times New Roman" w:hAnsi="Times New Roman" w:eastAsia="方正仿宋_GBK" w:cs="Times New Roman"/>
                <w:b w:val="0"/>
                <w:bCs w:val="0"/>
                <w:color w:val="auto"/>
                <w:sz w:val="24"/>
                <w:szCs w:val="24"/>
              </w:rPr>
              <w:t>；</w:t>
            </w:r>
            <w:r>
              <w:rPr>
                <w:rFonts w:hint="default" w:ascii="Times New Roman" w:hAnsi="Times New Roman" w:eastAsia="方正仿宋_GBK" w:cs="Times New Roman"/>
                <w:b w:val="0"/>
                <w:bCs w:val="0"/>
                <w:color w:val="auto"/>
                <w:kern w:val="0"/>
                <w:sz w:val="24"/>
                <w:szCs w:val="24"/>
                <w:highlight w:val="none"/>
              </w:rPr>
              <w:t>未提供或提供的内容与本项目无关的</w:t>
            </w:r>
            <w:r>
              <w:rPr>
                <w:rFonts w:hint="default" w:ascii="Times New Roman" w:hAnsi="Times New Roman" w:eastAsia="方正仿宋_GBK" w:cs="Times New Roman"/>
                <w:b w:val="0"/>
                <w:bCs w:val="0"/>
                <w:color w:val="auto"/>
                <w:kern w:val="0"/>
                <w:sz w:val="24"/>
                <w:szCs w:val="24"/>
                <w:highlight w:val="none"/>
                <w:lang w:eastAsia="zh-CN"/>
              </w:rPr>
              <w:t>，得</w:t>
            </w:r>
            <w:r>
              <w:rPr>
                <w:rFonts w:hint="default" w:ascii="Times New Roman" w:hAnsi="Times New Roman" w:eastAsia="方正仿宋_GBK" w:cs="Times New Roman"/>
                <w:b w:val="0"/>
                <w:bCs w:val="0"/>
                <w:color w:val="auto"/>
                <w:kern w:val="0"/>
                <w:sz w:val="24"/>
                <w:szCs w:val="24"/>
                <w:highlight w:val="none"/>
                <w:lang w:val="en-US" w:eastAsia="zh-CN"/>
              </w:rPr>
              <w:t>0分。</w:t>
            </w:r>
          </w:p>
        </w:tc>
      </w:tr>
      <w:tr w14:paraId="2162A9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3" w:hRule="atLeast"/>
        </w:trPr>
        <w:tc>
          <w:tcPr>
            <w:tcW w:w="851" w:type="dxa"/>
            <w:vMerge w:val="continue"/>
            <w:tcBorders>
              <w:tl2br w:val="nil"/>
              <w:tr2bl w:val="nil"/>
            </w:tcBorders>
            <w:noWrap w:val="0"/>
            <w:vAlign w:val="center"/>
          </w:tcPr>
          <w:p w14:paraId="2700D2E3">
            <w:pPr>
              <w:jc w:val="center"/>
              <w:rPr>
                <w:rFonts w:hint="default" w:ascii="Times New Roman" w:hAnsi="Times New Roman" w:eastAsia="宋体" w:cs="Times New Roman"/>
                <w:b w:val="0"/>
                <w:bCs w:val="0"/>
                <w:i w:val="0"/>
                <w:iCs w:val="0"/>
                <w:color w:val="000000"/>
                <w:sz w:val="21"/>
                <w:szCs w:val="21"/>
                <w:u w:val="none"/>
              </w:rPr>
            </w:pPr>
          </w:p>
        </w:tc>
        <w:tc>
          <w:tcPr>
            <w:tcW w:w="1233" w:type="dxa"/>
            <w:tcBorders>
              <w:tl2br w:val="nil"/>
              <w:tr2bl w:val="nil"/>
            </w:tcBorders>
            <w:noWrap w:val="0"/>
            <w:vAlign w:val="center"/>
          </w:tcPr>
          <w:p w14:paraId="5561F8C3">
            <w:pPr>
              <w:snapToGrid w:val="0"/>
              <w:spacing w:line="400" w:lineRule="exact"/>
              <w:jc w:val="center"/>
              <w:rPr>
                <w:rFonts w:hint="default" w:ascii="Times New Roman" w:hAnsi="Times New Roman" w:eastAsia="方正仿宋_GBK" w:cs="Times New Roman"/>
                <w:b w:val="0"/>
                <w:bCs w:val="0"/>
                <w:i w:val="0"/>
                <w:iCs w:val="0"/>
                <w:color w:val="auto"/>
                <w:sz w:val="24"/>
                <w:szCs w:val="24"/>
                <w:u w:val="none"/>
              </w:rPr>
            </w:pPr>
            <w:r>
              <w:rPr>
                <w:rFonts w:hint="default" w:ascii="Times New Roman" w:hAnsi="Times New Roman" w:eastAsia="方正仿宋_GBK" w:cs="Times New Roman"/>
                <w:b w:val="0"/>
                <w:bCs w:val="0"/>
                <w:color w:val="auto"/>
                <w:sz w:val="24"/>
                <w:szCs w:val="24"/>
              </w:rPr>
              <w:t>对区域固废现状及存在问题的分析情况</w:t>
            </w:r>
          </w:p>
        </w:tc>
        <w:tc>
          <w:tcPr>
            <w:tcW w:w="836" w:type="dxa"/>
            <w:tcBorders>
              <w:tl2br w:val="nil"/>
              <w:tr2bl w:val="nil"/>
            </w:tcBorders>
            <w:noWrap w:val="0"/>
            <w:vAlign w:val="center"/>
          </w:tcPr>
          <w:p w14:paraId="4A22589D">
            <w:pPr>
              <w:snapToGrid w:val="0"/>
              <w:spacing w:line="400" w:lineRule="exact"/>
              <w:jc w:val="center"/>
              <w:rPr>
                <w:rFonts w:hint="default" w:ascii="Times New Roman" w:hAnsi="Times New Roman" w:eastAsia="方正仿宋_GBK" w:cs="Times New Roman"/>
                <w:b w:val="0"/>
                <w:bCs w:val="0"/>
                <w:i w:val="0"/>
                <w:iCs w:val="0"/>
                <w:color w:val="auto"/>
                <w:sz w:val="24"/>
                <w:szCs w:val="24"/>
                <w:u w:val="none"/>
              </w:rPr>
            </w:pPr>
            <w:r>
              <w:rPr>
                <w:rFonts w:hint="default" w:ascii="Times New Roman" w:hAnsi="Times New Roman" w:eastAsia="方正仿宋_GBK" w:cs="Times New Roman"/>
                <w:b w:val="0"/>
                <w:bCs w:val="0"/>
                <w:color w:val="auto"/>
                <w:sz w:val="24"/>
                <w:szCs w:val="24"/>
                <w:lang w:val="en-US" w:eastAsia="zh-CN"/>
              </w:rPr>
              <w:t>10</w:t>
            </w:r>
            <w:r>
              <w:rPr>
                <w:rFonts w:hint="default" w:ascii="Times New Roman" w:hAnsi="Times New Roman" w:eastAsia="方正仿宋_GBK" w:cs="Times New Roman"/>
                <w:b w:val="0"/>
                <w:bCs w:val="0"/>
                <w:color w:val="auto"/>
                <w:sz w:val="24"/>
                <w:szCs w:val="24"/>
              </w:rPr>
              <w:t>分</w:t>
            </w:r>
          </w:p>
        </w:tc>
        <w:tc>
          <w:tcPr>
            <w:tcW w:w="5500" w:type="dxa"/>
            <w:tcBorders>
              <w:tl2br w:val="nil"/>
              <w:tr2bl w:val="nil"/>
            </w:tcBorders>
            <w:noWrap w:val="0"/>
            <w:vAlign w:val="center"/>
          </w:tcPr>
          <w:p w14:paraId="514E0EBB">
            <w:pPr>
              <w:pStyle w:val="2"/>
              <w:snapToGrid w:val="0"/>
              <w:spacing w:line="400" w:lineRule="exact"/>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对</w:t>
            </w:r>
            <w:r>
              <w:rPr>
                <w:rFonts w:hint="default" w:ascii="Times New Roman" w:hAnsi="Times New Roman" w:eastAsia="方正仿宋_GBK" w:cs="Times New Roman"/>
                <w:b w:val="0"/>
                <w:bCs w:val="0"/>
                <w:color w:val="auto"/>
                <w:kern w:val="2"/>
                <w:sz w:val="24"/>
                <w:szCs w:val="24"/>
                <w:lang w:val="en-US" w:eastAsia="zh-CN"/>
              </w:rPr>
              <w:t>项目</w:t>
            </w:r>
            <w:r>
              <w:rPr>
                <w:rFonts w:hint="default" w:ascii="Times New Roman" w:hAnsi="Times New Roman" w:eastAsia="方正仿宋_GBK" w:cs="Times New Roman"/>
                <w:b w:val="0"/>
                <w:bCs w:val="0"/>
                <w:color w:val="auto"/>
                <w:sz w:val="24"/>
                <w:szCs w:val="24"/>
              </w:rPr>
              <w:t>区域固废现状了解充分，对存在问题分析精准</w:t>
            </w:r>
            <w:r>
              <w:rPr>
                <w:rFonts w:hint="default" w:ascii="Times New Roman" w:hAnsi="Times New Roman" w:eastAsia="方正仿宋_GBK" w:cs="Times New Roman"/>
                <w:b w:val="0"/>
                <w:bCs w:val="0"/>
                <w:color w:val="auto"/>
                <w:sz w:val="24"/>
                <w:szCs w:val="24"/>
                <w:lang w:val="en-US" w:eastAsia="zh-CN"/>
              </w:rPr>
              <w:t>的，得10分；</w:t>
            </w:r>
            <w:r>
              <w:rPr>
                <w:rFonts w:hint="default" w:ascii="Times New Roman" w:hAnsi="Times New Roman" w:eastAsia="方正仿宋_GBK" w:cs="Times New Roman"/>
                <w:b w:val="0"/>
                <w:bCs w:val="0"/>
                <w:color w:val="auto"/>
                <w:sz w:val="24"/>
                <w:szCs w:val="24"/>
              </w:rPr>
              <w:t>对</w:t>
            </w:r>
            <w:r>
              <w:rPr>
                <w:rFonts w:hint="default" w:ascii="Times New Roman" w:hAnsi="Times New Roman" w:eastAsia="方正仿宋_GBK" w:cs="Times New Roman"/>
                <w:b w:val="0"/>
                <w:bCs w:val="0"/>
                <w:color w:val="auto"/>
                <w:kern w:val="2"/>
                <w:sz w:val="24"/>
                <w:szCs w:val="24"/>
                <w:lang w:val="en-US" w:eastAsia="zh-CN"/>
              </w:rPr>
              <w:t>项目</w:t>
            </w:r>
            <w:r>
              <w:rPr>
                <w:rFonts w:hint="default" w:ascii="Times New Roman" w:hAnsi="Times New Roman" w:eastAsia="方正仿宋_GBK" w:cs="Times New Roman"/>
                <w:b w:val="0"/>
                <w:bCs w:val="0"/>
                <w:color w:val="auto"/>
                <w:sz w:val="24"/>
                <w:szCs w:val="24"/>
              </w:rPr>
              <w:t>区域固废现状了解较全面，</w:t>
            </w:r>
            <w:r>
              <w:rPr>
                <w:rFonts w:hint="default" w:ascii="Times New Roman" w:hAnsi="Times New Roman" w:eastAsia="方正仿宋_GBK" w:cs="Times New Roman"/>
                <w:b w:val="0"/>
                <w:bCs w:val="0"/>
                <w:color w:val="auto"/>
                <w:sz w:val="24"/>
                <w:szCs w:val="24"/>
                <w:lang w:val="en-US" w:eastAsia="zh-CN"/>
              </w:rPr>
              <w:t>但</w:t>
            </w:r>
            <w:r>
              <w:rPr>
                <w:rFonts w:hint="default" w:ascii="Times New Roman" w:hAnsi="Times New Roman" w:eastAsia="方正仿宋_GBK" w:cs="Times New Roman"/>
                <w:b w:val="0"/>
                <w:bCs w:val="0"/>
                <w:color w:val="auto"/>
                <w:sz w:val="24"/>
                <w:szCs w:val="24"/>
              </w:rPr>
              <w:t>对存在问题分析不够深入</w:t>
            </w:r>
            <w:r>
              <w:rPr>
                <w:rFonts w:hint="default" w:ascii="Times New Roman" w:hAnsi="Times New Roman" w:eastAsia="方正仿宋_GBK" w:cs="Times New Roman"/>
                <w:b w:val="0"/>
                <w:bCs w:val="0"/>
                <w:color w:val="auto"/>
                <w:sz w:val="24"/>
                <w:szCs w:val="24"/>
                <w:lang w:val="en-US" w:eastAsia="zh-CN"/>
              </w:rPr>
              <w:t>的，得6分</w:t>
            </w:r>
            <w:r>
              <w:rPr>
                <w:rFonts w:hint="default" w:ascii="Times New Roman" w:hAnsi="Times New Roman" w:eastAsia="方正仿宋_GBK" w:cs="Times New Roman"/>
                <w:b w:val="0"/>
                <w:bCs w:val="0"/>
                <w:color w:val="auto"/>
                <w:sz w:val="24"/>
                <w:szCs w:val="24"/>
              </w:rPr>
              <w:t>；</w:t>
            </w:r>
            <w:r>
              <w:rPr>
                <w:rFonts w:hint="default" w:ascii="Times New Roman" w:hAnsi="Times New Roman" w:eastAsia="方正仿宋_GBK" w:cs="Times New Roman"/>
                <w:b w:val="0"/>
                <w:bCs w:val="0"/>
                <w:color w:val="auto"/>
                <w:kern w:val="0"/>
                <w:sz w:val="24"/>
                <w:szCs w:val="24"/>
                <w:highlight w:val="none"/>
                <w:lang w:val="en-US" w:eastAsia="zh-CN"/>
              </w:rPr>
              <w:t>对</w:t>
            </w:r>
            <w:r>
              <w:rPr>
                <w:rFonts w:hint="default" w:ascii="Times New Roman" w:hAnsi="Times New Roman" w:eastAsia="方正仿宋_GBK" w:cs="Times New Roman"/>
                <w:b w:val="0"/>
                <w:bCs w:val="0"/>
                <w:color w:val="auto"/>
                <w:sz w:val="24"/>
                <w:szCs w:val="24"/>
              </w:rPr>
              <w:t>区域固废现状及存在问题</w:t>
            </w:r>
            <w:r>
              <w:rPr>
                <w:rFonts w:hint="default" w:ascii="Times New Roman" w:hAnsi="Times New Roman" w:eastAsia="方正仿宋_GBK" w:cs="Times New Roman"/>
                <w:b w:val="0"/>
                <w:bCs w:val="0"/>
                <w:color w:val="auto"/>
                <w:sz w:val="24"/>
                <w:szCs w:val="24"/>
                <w:lang w:val="en-US" w:eastAsia="zh-CN"/>
              </w:rPr>
              <w:t>不熟悉的，得3分</w:t>
            </w:r>
            <w:r>
              <w:rPr>
                <w:rFonts w:hint="default" w:ascii="Times New Roman" w:hAnsi="Times New Roman" w:eastAsia="方正仿宋_GBK" w:cs="Times New Roman"/>
                <w:b w:val="0"/>
                <w:bCs w:val="0"/>
                <w:color w:val="auto"/>
                <w:sz w:val="24"/>
                <w:szCs w:val="24"/>
              </w:rPr>
              <w:t>；</w:t>
            </w:r>
            <w:r>
              <w:rPr>
                <w:rFonts w:hint="default" w:ascii="Times New Roman" w:hAnsi="Times New Roman" w:eastAsia="方正仿宋_GBK" w:cs="Times New Roman"/>
                <w:b w:val="0"/>
                <w:bCs w:val="0"/>
                <w:color w:val="auto"/>
                <w:kern w:val="0"/>
                <w:sz w:val="24"/>
                <w:szCs w:val="24"/>
                <w:highlight w:val="none"/>
              </w:rPr>
              <w:t>未提供或提供的内容与本项目无关的</w:t>
            </w:r>
            <w:r>
              <w:rPr>
                <w:rFonts w:hint="default" w:ascii="Times New Roman" w:hAnsi="Times New Roman" w:eastAsia="方正仿宋_GBK" w:cs="Times New Roman"/>
                <w:b w:val="0"/>
                <w:bCs w:val="0"/>
                <w:color w:val="auto"/>
                <w:kern w:val="0"/>
                <w:sz w:val="24"/>
                <w:szCs w:val="24"/>
                <w:highlight w:val="none"/>
                <w:lang w:eastAsia="zh-CN"/>
              </w:rPr>
              <w:t>，得</w:t>
            </w:r>
            <w:r>
              <w:rPr>
                <w:rFonts w:hint="default" w:ascii="Times New Roman" w:hAnsi="Times New Roman" w:eastAsia="方正仿宋_GBK" w:cs="Times New Roman"/>
                <w:b w:val="0"/>
                <w:bCs w:val="0"/>
                <w:color w:val="auto"/>
                <w:kern w:val="0"/>
                <w:sz w:val="24"/>
                <w:szCs w:val="24"/>
                <w:highlight w:val="none"/>
                <w:lang w:val="en-US" w:eastAsia="zh-CN"/>
              </w:rPr>
              <w:t>0分。</w:t>
            </w:r>
          </w:p>
        </w:tc>
      </w:tr>
      <w:tr w14:paraId="2E51E5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3" w:hRule="atLeast"/>
        </w:trPr>
        <w:tc>
          <w:tcPr>
            <w:tcW w:w="851" w:type="dxa"/>
            <w:vMerge w:val="continue"/>
            <w:tcBorders>
              <w:tl2br w:val="nil"/>
              <w:tr2bl w:val="nil"/>
            </w:tcBorders>
            <w:noWrap w:val="0"/>
            <w:vAlign w:val="center"/>
          </w:tcPr>
          <w:p w14:paraId="32741478">
            <w:pPr>
              <w:jc w:val="center"/>
              <w:rPr>
                <w:rFonts w:hint="default" w:ascii="Times New Roman" w:hAnsi="Times New Roman" w:eastAsia="宋体" w:cs="Times New Roman"/>
                <w:b w:val="0"/>
                <w:bCs w:val="0"/>
                <w:i w:val="0"/>
                <w:iCs w:val="0"/>
                <w:color w:val="000000"/>
                <w:sz w:val="21"/>
                <w:szCs w:val="21"/>
                <w:u w:val="none"/>
              </w:rPr>
            </w:pPr>
          </w:p>
        </w:tc>
        <w:tc>
          <w:tcPr>
            <w:tcW w:w="1233" w:type="dxa"/>
            <w:tcBorders>
              <w:tl2br w:val="nil"/>
              <w:tr2bl w:val="nil"/>
            </w:tcBorders>
            <w:noWrap w:val="0"/>
            <w:vAlign w:val="center"/>
          </w:tcPr>
          <w:p w14:paraId="1F63BD7E">
            <w:pPr>
              <w:snapToGrid w:val="0"/>
              <w:spacing w:line="400" w:lineRule="exact"/>
              <w:jc w:val="center"/>
              <w:rPr>
                <w:rFonts w:hint="default" w:ascii="Times New Roman" w:hAnsi="Times New Roman" w:eastAsia="方正仿宋_GBK" w:cs="Times New Roman"/>
                <w:b w:val="0"/>
                <w:bCs w:val="0"/>
                <w:i w:val="0"/>
                <w:iCs w:val="0"/>
                <w:color w:val="auto"/>
                <w:sz w:val="24"/>
                <w:szCs w:val="24"/>
                <w:u w:val="none"/>
              </w:rPr>
            </w:pPr>
            <w:r>
              <w:rPr>
                <w:rFonts w:hint="default" w:ascii="Times New Roman" w:hAnsi="Times New Roman" w:eastAsia="方正仿宋_GBK" w:cs="Times New Roman"/>
                <w:b w:val="0"/>
                <w:bCs w:val="0"/>
                <w:color w:val="auto"/>
                <w:sz w:val="24"/>
                <w:szCs w:val="24"/>
              </w:rPr>
              <w:t>项目成果质量和进度控制保障措施</w:t>
            </w:r>
          </w:p>
        </w:tc>
        <w:tc>
          <w:tcPr>
            <w:tcW w:w="836" w:type="dxa"/>
            <w:tcBorders>
              <w:tl2br w:val="nil"/>
              <w:tr2bl w:val="nil"/>
            </w:tcBorders>
            <w:noWrap w:val="0"/>
            <w:vAlign w:val="center"/>
          </w:tcPr>
          <w:p w14:paraId="607D197E">
            <w:pPr>
              <w:snapToGrid w:val="0"/>
              <w:spacing w:line="400" w:lineRule="exact"/>
              <w:jc w:val="center"/>
              <w:rPr>
                <w:rFonts w:hint="default" w:ascii="Times New Roman" w:hAnsi="Times New Roman" w:eastAsia="方正仿宋_GBK" w:cs="Times New Roman"/>
                <w:b w:val="0"/>
                <w:bCs w:val="0"/>
                <w:i w:val="0"/>
                <w:iCs w:val="0"/>
                <w:color w:val="auto"/>
                <w:sz w:val="24"/>
                <w:szCs w:val="24"/>
                <w:u w:val="none"/>
              </w:rPr>
            </w:pPr>
            <w:r>
              <w:rPr>
                <w:rFonts w:hint="default" w:ascii="Times New Roman" w:hAnsi="Times New Roman" w:eastAsia="方正仿宋_GBK" w:cs="Times New Roman"/>
                <w:b w:val="0"/>
                <w:bCs w:val="0"/>
                <w:color w:val="auto"/>
                <w:sz w:val="24"/>
                <w:szCs w:val="24"/>
                <w:lang w:val="en-US" w:eastAsia="zh-CN"/>
              </w:rPr>
              <w:t>10</w:t>
            </w:r>
            <w:r>
              <w:rPr>
                <w:rFonts w:hint="default" w:ascii="Times New Roman" w:hAnsi="Times New Roman" w:eastAsia="方正仿宋_GBK" w:cs="Times New Roman"/>
                <w:b w:val="0"/>
                <w:bCs w:val="0"/>
                <w:color w:val="auto"/>
                <w:sz w:val="24"/>
                <w:szCs w:val="24"/>
              </w:rPr>
              <w:t>分</w:t>
            </w:r>
          </w:p>
        </w:tc>
        <w:tc>
          <w:tcPr>
            <w:tcW w:w="5500" w:type="dxa"/>
            <w:tcBorders>
              <w:tl2br w:val="nil"/>
              <w:tr2bl w:val="nil"/>
            </w:tcBorders>
            <w:noWrap w:val="0"/>
            <w:vAlign w:val="center"/>
          </w:tcPr>
          <w:p w14:paraId="51266449">
            <w:pPr>
              <w:pStyle w:val="2"/>
              <w:snapToGrid w:val="0"/>
              <w:spacing w:line="400" w:lineRule="exact"/>
              <w:rPr>
                <w:rFonts w:hint="default" w:ascii="Times New Roman" w:hAnsi="Times New Roman" w:eastAsia="方正仿宋_GBK" w:cs="Times New Roman"/>
                <w:b w:val="0"/>
                <w:bCs w:val="0"/>
                <w:color w:val="auto"/>
                <w:sz w:val="24"/>
                <w:szCs w:val="24"/>
                <w:lang w:eastAsia="zh-CN"/>
              </w:rPr>
            </w:pPr>
            <w:r>
              <w:rPr>
                <w:rFonts w:hint="default" w:ascii="Times New Roman" w:hAnsi="Times New Roman" w:eastAsia="方正仿宋_GBK" w:cs="Times New Roman"/>
                <w:b w:val="0"/>
                <w:bCs w:val="0"/>
                <w:color w:val="auto"/>
                <w:sz w:val="24"/>
                <w:szCs w:val="24"/>
              </w:rPr>
              <w:t>项目成果质量和进度控制保障措施全面、合理、</w:t>
            </w:r>
            <w:r>
              <w:rPr>
                <w:rFonts w:hint="default" w:ascii="Times New Roman" w:hAnsi="Times New Roman" w:eastAsia="方正仿宋_GBK" w:cs="Times New Roman"/>
                <w:b w:val="0"/>
                <w:bCs w:val="0"/>
                <w:color w:val="auto"/>
                <w:sz w:val="24"/>
                <w:szCs w:val="24"/>
                <w:lang w:val="en-US" w:eastAsia="zh-CN"/>
              </w:rPr>
              <w:t>可行</w:t>
            </w:r>
            <w:r>
              <w:rPr>
                <w:rFonts w:hint="default" w:ascii="Times New Roman" w:hAnsi="Times New Roman" w:eastAsia="方正仿宋_GBK" w:cs="Times New Roman"/>
                <w:b w:val="0"/>
                <w:bCs w:val="0"/>
                <w:color w:val="auto"/>
                <w:sz w:val="24"/>
                <w:szCs w:val="24"/>
              </w:rPr>
              <w:t>的</w:t>
            </w:r>
            <w:r>
              <w:rPr>
                <w:rFonts w:hint="default" w:ascii="Times New Roman" w:hAnsi="Times New Roman" w:eastAsia="方正仿宋_GBK" w:cs="Times New Roman"/>
                <w:b w:val="0"/>
                <w:bCs w:val="0"/>
                <w:color w:val="auto"/>
                <w:sz w:val="24"/>
                <w:szCs w:val="24"/>
                <w:lang w:eastAsia="zh-CN"/>
              </w:rPr>
              <w:t>，得</w:t>
            </w:r>
            <w:r>
              <w:rPr>
                <w:rFonts w:hint="default" w:ascii="Times New Roman" w:hAnsi="Times New Roman" w:eastAsia="方正仿宋_GBK" w:cs="Times New Roman"/>
                <w:b w:val="0"/>
                <w:bCs w:val="0"/>
                <w:color w:val="auto"/>
                <w:sz w:val="24"/>
                <w:szCs w:val="24"/>
                <w:lang w:val="en-US" w:eastAsia="zh-CN"/>
              </w:rPr>
              <w:t>10分；</w:t>
            </w:r>
            <w:r>
              <w:rPr>
                <w:rFonts w:hint="default" w:ascii="Times New Roman" w:hAnsi="Times New Roman" w:eastAsia="方正仿宋_GBK" w:cs="Times New Roman"/>
                <w:b w:val="0"/>
                <w:bCs w:val="0"/>
                <w:color w:val="auto"/>
                <w:sz w:val="24"/>
                <w:szCs w:val="24"/>
              </w:rPr>
              <w:t>项目成果质量和进度控制保障措施一般的</w:t>
            </w:r>
            <w:r>
              <w:rPr>
                <w:rFonts w:hint="default" w:ascii="Times New Roman" w:hAnsi="Times New Roman" w:eastAsia="方正仿宋_GBK" w:cs="Times New Roman"/>
                <w:b w:val="0"/>
                <w:bCs w:val="0"/>
                <w:color w:val="auto"/>
                <w:sz w:val="24"/>
                <w:szCs w:val="24"/>
                <w:lang w:eastAsia="zh-CN"/>
              </w:rPr>
              <w:t>，得</w:t>
            </w:r>
            <w:r>
              <w:rPr>
                <w:rFonts w:hint="default" w:ascii="Times New Roman" w:hAnsi="Times New Roman" w:eastAsia="方正仿宋_GBK" w:cs="Times New Roman"/>
                <w:b w:val="0"/>
                <w:bCs w:val="0"/>
                <w:color w:val="auto"/>
                <w:sz w:val="24"/>
                <w:szCs w:val="24"/>
                <w:lang w:val="en-US" w:eastAsia="zh-CN"/>
              </w:rPr>
              <w:t>6分</w:t>
            </w:r>
            <w:r>
              <w:rPr>
                <w:rFonts w:hint="default" w:ascii="Times New Roman" w:hAnsi="Times New Roman" w:eastAsia="方正仿宋_GBK" w:cs="Times New Roman"/>
                <w:b w:val="0"/>
                <w:bCs w:val="0"/>
                <w:color w:val="auto"/>
                <w:sz w:val="24"/>
                <w:szCs w:val="24"/>
              </w:rPr>
              <w:t>；项目成果质量和进度控制保障措施较差的</w:t>
            </w:r>
            <w:r>
              <w:rPr>
                <w:rFonts w:hint="default" w:ascii="Times New Roman" w:hAnsi="Times New Roman" w:eastAsia="方正仿宋_GBK" w:cs="Times New Roman"/>
                <w:b w:val="0"/>
                <w:bCs w:val="0"/>
                <w:color w:val="auto"/>
                <w:sz w:val="24"/>
                <w:szCs w:val="24"/>
                <w:lang w:eastAsia="zh-CN"/>
              </w:rPr>
              <w:t>，得</w:t>
            </w:r>
            <w:r>
              <w:rPr>
                <w:rFonts w:hint="default" w:ascii="Times New Roman" w:hAnsi="Times New Roman" w:eastAsia="方正仿宋_GBK" w:cs="Times New Roman"/>
                <w:b w:val="0"/>
                <w:bCs w:val="0"/>
                <w:color w:val="auto"/>
                <w:sz w:val="24"/>
                <w:szCs w:val="24"/>
                <w:lang w:val="en-US" w:eastAsia="zh-CN"/>
              </w:rPr>
              <w:t>3分</w:t>
            </w:r>
            <w:r>
              <w:rPr>
                <w:rFonts w:hint="default" w:ascii="Times New Roman" w:hAnsi="Times New Roman" w:eastAsia="方正仿宋_GBK" w:cs="Times New Roman"/>
                <w:b w:val="0"/>
                <w:bCs w:val="0"/>
                <w:color w:val="auto"/>
                <w:sz w:val="24"/>
                <w:szCs w:val="24"/>
              </w:rPr>
              <w:t>；</w:t>
            </w:r>
            <w:r>
              <w:rPr>
                <w:rFonts w:hint="default" w:ascii="Times New Roman" w:hAnsi="Times New Roman" w:eastAsia="方正仿宋_GBK" w:cs="Times New Roman"/>
                <w:b w:val="0"/>
                <w:bCs w:val="0"/>
                <w:color w:val="auto"/>
                <w:kern w:val="0"/>
                <w:sz w:val="24"/>
                <w:szCs w:val="24"/>
                <w:highlight w:val="none"/>
              </w:rPr>
              <w:t>未提供或提供的内容与本项目无关的</w:t>
            </w:r>
            <w:r>
              <w:rPr>
                <w:rFonts w:hint="default" w:ascii="Times New Roman" w:hAnsi="Times New Roman" w:eastAsia="方正仿宋_GBK" w:cs="Times New Roman"/>
                <w:b w:val="0"/>
                <w:bCs w:val="0"/>
                <w:color w:val="auto"/>
                <w:kern w:val="0"/>
                <w:sz w:val="24"/>
                <w:szCs w:val="24"/>
                <w:highlight w:val="none"/>
                <w:lang w:eastAsia="zh-CN"/>
              </w:rPr>
              <w:t>，得</w:t>
            </w:r>
            <w:r>
              <w:rPr>
                <w:rFonts w:hint="default" w:ascii="Times New Roman" w:hAnsi="Times New Roman" w:eastAsia="方正仿宋_GBK" w:cs="Times New Roman"/>
                <w:b w:val="0"/>
                <w:bCs w:val="0"/>
                <w:color w:val="auto"/>
                <w:kern w:val="0"/>
                <w:sz w:val="24"/>
                <w:szCs w:val="24"/>
                <w:highlight w:val="none"/>
                <w:lang w:val="en-US" w:eastAsia="zh-CN"/>
              </w:rPr>
              <w:t>0分。</w:t>
            </w:r>
          </w:p>
        </w:tc>
      </w:tr>
      <w:tr w14:paraId="07991B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3" w:hRule="atLeast"/>
        </w:trPr>
        <w:tc>
          <w:tcPr>
            <w:tcW w:w="851" w:type="dxa"/>
            <w:vMerge w:val="restart"/>
            <w:tcBorders>
              <w:tl2br w:val="nil"/>
              <w:tr2bl w:val="nil"/>
            </w:tcBorders>
            <w:noWrap w:val="0"/>
            <w:vAlign w:val="center"/>
          </w:tcPr>
          <w:p w14:paraId="7549C23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商务评审（50分）</w:t>
            </w:r>
          </w:p>
        </w:tc>
        <w:tc>
          <w:tcPr>
            <w:tcW w:w="1233" w:type="dxa"/>
            <w:vMerge w:val="restart"/>
            <w:tcBorders>
              <w:tl2br w:val="nil"/>
              <w:tr2bl w:val="nil"/>
            </w:tcBorders>
            <w:noWrap w:val="0"/>
            <w:vAlign w:val="center"/>
          </w:tcPr>
          <w:p w14:paraId="0623896C">
            <w:pPr>
              <w:keepNext w:val="0"/>
              <w:keepLines w:val="0"/>
              <w:widowControl/>
              <w:suppressLineNumbers w:val="0"/>
              <w:spacing w:line="400" w:lineRule="exact"/>
              <w:jc w:val="center"/>
              <w:textAlignment w:val="center"/>
              <w:rPr>
                <w:rFonts w:hint="default" w:ascii="Times New Roman" w:hAnsi="Times New Roman" w:eastAsia="方正仿宋_GBK" w:cs="Times New Roman"/>
                <w:b w:val="0"/>
                <w:bCs w:val="0"/>
                <w:i w:val="0"/>
                <w:iCs w:val="0"/>
                <w:color w:val="auto"/>
                <w:kern w:val="2"/>
                <w:sz w:val="24"/>
                <w:szCs w:val="24"/>
                <w:u w:val="none"/>
                <w:lang w:val="en-US" w:eastAsia="zh-CN" w:bidi="ar-SA"/>
              </w:rPr>
            </w:pPr>
            <w:r>
              <w:rPr>
                <w:rFonts w:hint="default" w:ascii="Times New Roman" w:hAnsi="Times New Roman" w:eastAsia="方正仿宋_GBK" w:cs="Times New Roman"/>
                <w:b w:val="0"/>
                <w:bCs w:val="0"/>
                <w:i w:val="0"/>
                <w:iCs w:val="0"/>
                <w:color w:val="auto"/>
                <w:kern w:val="0"/>
                <w:sz w:val="24"/>
                <w:szCs w:val="24"/>
                <w:u w:val="none"/>
                <w:lang w:val="en-US" w:eastAsia="zh-CN" w:bidi="ar"/>
              </w:rPr>
              <w:t>团队</w:t>
            </w:r>
            <w:r>
              <w:rPr>
                <w:rStyle w:val="8"/>
                <w:rFonts w:hint="default" w:ascii="Times New Roman" w:hAnsi="Times New Roman" w:eastAsia="方正仿宋_GBK" w:cs="Times New Roman"/>
                <w:b w:val="0"/>
                <w:bCs w:val="0"/>
                <w:color w:val="auto"/>
                <w:lang w:val="en-US" w:eastAsia="zh-CN" w:bidi="ar"/>
              </w:rPr>
              <w:t>实力</w:t>
            </w:r>
          </w:p>
        </w:tc>
        <w:tc>
          <w:tcPr>
            <w:tcW w:w="836" w:type="dxa"/>
            <w:tcBorders>
              <w:tl2br w:val="nil"/>
              <w:tr2bl w:val="nil"/>
            </w:tcBorders>
            <w:noWrap w:val="0"/>
            <w:vAlign w:val="center"/>
          </w:tcPr>
          <w:p w14:paraId="4D0D868B">
            <w:pPr>
              <w:keepNext w:val="0"/>
              <w:keepLines w:val="0"/>
              <w:widowControl/>
              <w:suppressLineNumbers w:val="0"/>
              <w:spacing w:line="400" w:lineRule="exact"/>
              <w:jc w:val="center"/>
              <w:textAlignment w:val="center"/>
              <w:rPr>
                <w:rFonts w:hint="default" w:ascii="Times New Roman" w:hAnsi="Times New Roman" w:eastAsia="方正仿宋_GBK" w:cs="Times New Roman"/>
                <w:b w:val="0"/>
                <w:bCs w:val="0"/>
                <w:i w:val="0"/>
                <w:iCs w:val="0"/>
                <w:color w:val="auto"/>
                <w:kern w:val="2"/>
                <w:sz w:val="24"/>
                <w:szCs w:val="24"/>
                <w:u w:val="none"/>
                <w:lang w:val="en-US" w:eastAsia="zh-CN" w:bidi="ar-SA"/>
              </w:rPr>
            </w:pPr>
            <w:r>
              <w:rPr>
                <w:rFonts w:hint="default" w:ascii="Times New Roman" w:hAnsi="Times New Roman" w:eastAsia="方正仿宋_GBK" w:cs="Times New Roman"/>
                <w:b w:val="0"/>
                <w:bCs w:val="0"/>
                <w:i w:val="0"/>
                <w:iCs w:val="0"/>
                <w:color w:val="auto"/>
                <w:kern w:val="0"/>
                <w:sz w:val="24"/>
                <w:szCs w:val="24"/>
                <w:u w:val="none"/>
                <w:lang w:val="en-US" w:eastAsia="zh-CN" w:bidi="ar"/>
              </w:rPr>
              <w:t>项目负责人（6分）</w:t>
            </w:r>
          </w:p>
        </w:tc>
        <w:tc>
          <w:tcPr>
            <w:tcW w:w="5500" w:type="dxa"/>
            <w:tcBorders>
              <w:tl2br w:val="nil"/>
              <w:tr2bl w:val="nil"/>
            </w:tcBorders>
            <w:noWrap w:val="0"/>
            <w:vAlign w:val="center"/>
          </w:tcPr>
          <w:p w14:paraId="7E07494B">
            <w:pPr>
              <w:keepNext w:val="0"/>
              <w:keepLines w:val="0"/>
              <w:widowControl/>
              <w:suppressLineNumbers w:val="0"/>
              <w:spacing w:line="400" w:lineRule="exact"/>
              <w:jc w:val="both"/>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r>
              <w:rPr>
                <w:rFonts w:hint="default" w:ascii="Times New Roman" w:hAnsi="Times New Roman" w:eastAsia="方正仿宋_GBK" w:cs="Times New Roman"/>
                <w:b w:val="0"/>
                <w:bCs w:val="0"/>
                <w:i w:val="0"/>
                <w:iCs w:val="0"/>
                <w:color w:val="auto"/>
                <w:kern w:val="0"/>
                <w:sz w:val="24"/>
                <w:szCs w:val="24"/>
                <w:u w:val="none"/>
                <w:lang w:val="en-US" w:eastAsia="zh-CN" w:bidi="ar"/>
              </w:rPr>
              <w:t>供应商拟投入的项目负责人具有环境保护类相关专业高级工程师及以上职称的，得6分；具有环境保护类相关专业中级工程师及以上职称的，得3分；其他或没有的不得分。</w:t>
            </w:r>
          </w:p>
          <w:p w14:paraId="0961ACAB">
            <w:pPr>
              <w:keepNext w:val="0"/>
              <w:keepLines w:val="0"/>
              <w:widowControl/>
              <w:suppressLineNumbers w:val="0"/>
              <w:spacing w:line="400" w:lineRule="exact"/>
              <w:jc w:val="both"/>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r>
              <w:rPr>
                <w:rFonts w:hint="default" w:ascii="Times New Roman" w:hAnsi="Times New Roman" w:eastAsia="方正仿宋_GBK" w:cs="Times New Roman"/>
                <w:b w:val="0"/>
                <w:bCs w:val="0"/>
                <w:i w:val="0"/>
                <w:iCs w:val="0"/>
                <w:color w:val="auto"/>
                <w:kern w:val="0"/>
                <w:sz w:val="24"/>
                <w:szCs w:val="24"/>
                <w:u w:val="none"/>
                <w:lang w:val="en-US" w:eastAsia="zh-CN" w:bidi="ar"/>
              </w:rPr>
              <w:t>注：</w:t>
            </w:r>
          </w:p>
          <w:p w14:paraId="0C93FFBD">
            <w:pPr>
              <w:keepNext w:val="0"/>
              <w:keepLines w:val="0"/>
              <w:widowControl/>
              <w:suppressLineNumbers w:val="0"/>
              <w:spacing w:line="400" w:lineRule="exact"/>
              <w:jc w:val="both"/>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r>
              <w:rPr>
                <w:rFonts w:hint="default" w:ascii="Times New Roman" w:hAnsi="Times New Roman" w:eastAsia="方正仿宋_GBK" w:cs="Times New Roman"/>
                <w:b w:val="0"/>
                <w:bCs w:val="0"/>
                <w:i w:val="0"/>
                <w:iCs w:val="0"/>
                <w:color w:val="auto"/>
                <w:kern w:val="0"/>
                <w:sz w:val="24"/>
                <w:szCs w:val="24"/>
                <w:u w:val="none"/>
                <w:lang w:val="en-US" w:eastAsia="zh-CN" w:bidi="ar"/>
              </w:rPr>
              <w:t>1.若项目负责人同时具有多个技术职称，按等级较高的技术职称评审，不重复计分。需提供相应技术职称证书复印件，并加盖投标人单位公章。不提供不得分。</w:t>
            </w:r>
          </w:p>
          <w:p w14:paraId="6505A910">
            <w:pPr>
              <w:keepNext w:val="0"/>
              <w:keepLines w:val="0"/>
              <w:widowControl/>
              <w:suppressLineNumbers w:val="0"/>
              <w:spacing w:line="400" w:lineRule="exact"/>
              <w:jc w:val="both"/>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r>
              <w:rPr>
                <w:rFonts w:hint="default" w:ascii="Times New Roman" w:hAnsi="Times New Roman" w:eastAsia="方正仿宋_GBK" w:cs="Times New Roman"/>
                <w:b w:val="0"/>
                <w:bCs w:val="0"/>
                <w:i w:val="0"/>
                <w:iCs w:val="0"/>
                <w:color w:val="auto"/>
                <w:kern w:val="0"/>
                <w:sz w:val="24"/>
                <w:szCs w:val="24"/>
                <w:u w:val="none"/>
                <w:lang w:val="en-US" w:eastAsia="zh-CN" w:bidi="ar"/>
              </w:rPr>
              <w:t>2.项目负责人必须为供应商的正式员工，并提供投标截止时间前六个月内任意一月社会保险缴交证明，加盖投标供应商公章，否则不得分。</w:t>
            </w:r>
          </w:p>
          <w:p w14:paraId="6B9999A2">
            <w:pPr>
              <w:keepNext w:val="0"/>
              <w:keepLines w:val="0"/>
              <w:widowControl/>
              <w:suppressLineNumbers w:val="0"/>
              <w:spacing w:line="400" w:lineRule="exact"/>
              <w:jc w:val="both"/>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r>
              <w:rPr>
                <w:rFonts w:hint="default" w:ascii="Times New Roman" w:hAnsi="Times New Roman" w:eastAsia="方正仿宋_GBK" w:cs="Times New Roman"/>
                <w:b w:val="0"/>
                <w:bCs w:val="0"/>
                <w:i w:val="0"/>
                <w:iCs w:val="0"/>
                <w:color w:val="auto"/>
                <w:kern w:val="0"/>
                <w:sz w:val="24"/>
                <w:szCs w:val="24"/>
                <w:u w:val="none"/>
                <w:lang w:val="en-US" w:eastAsia="zh-CN" w:bidi="ar"/>
              </w:rPr>
              <w:t>3.提供项目负责人个人履历表（履历表上需注明项目负责人工作年限）、相关专业技术职称或学历、学位证书等复印件并加盖投标供应商公章。</w:t>
            </w:r>
          </w:p>
          <w:p w14:paraId="570660F2">
            <w:pPr>
              <w:keepNext w:val="0"/>
              <w:keepLines w:val="0"/>
              <w:widowControl/>
              <w:suppressLineNumbers w:val="0"/>
              <w:spacing w:line="400" w:lineRule="exact"/>
              <w:jc w:val="both"/>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r>
              <w:rPr>
                <w:rFonts w:hint="default" w:ascii="Times New Roman" w:hAnsi="Times New Roman" w:eastAsia="方正仿宋_GBK" w:cs="Times New Roman"/>
                <w:b w:val="0"/>
                <w:bCs w:val="0"/>
                <w:i w:val="0"/>
                <w:iCs w:val="0"/>
                <w:color w:val="auto"/>
                <w:kern w:val="0"/>
                <w:sz w:val="24"/>
                <w:szCs w:val="24"/>
                <w:u w:val="none"/>
                <w:lang w:val="en-US" w:eastAsia="zh-CN" w:bidi="ar"/>
              </w:rPr>
              <w:t>说明：须提供人员相关证书及投标截止时间前六个月内任意一月社会保险缴交证明，没有提供不计分。</w:t>
            </w:r>
          </w:p>
        </w:tc>
      </w:tr>
      <w:tr w14:paraId="0B112B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3" w:hRule="atLeast"/>
        </w:trPr>
        <w:tc>
          <w:tcPr>
            <w:tcW w:w="851" w:type="dxa"/>
            <w:vMerge w:val="continue"/>
            <w:tcBorders>
              <w:tl2br w:val="nil"/>
              <w:tr2bl w:val="nil"/>
            </w:tcBorders>
            <w:noWrap w:val="0"/>
            <w:vAlign w:val="center"/>
          </w:tcPr>
          <w:p w14:paraId="25D628C3">
            <w:pPr>
              <w:jc w:val="center"/>
              <w:rPr>
                <w:rFonts w:hint="default" w:ascii="Times New Roman" w:hAnsi="Times New Roman" w:eastAsia="宋体" w:cs="Times New Roman"/>
                <w:b w:val="0"/>
                <w:bCs w:val="0"/>
                <w:i w:val="0"/>
                <w:iCs w:val="0"/>
                <w:color w:val="000000"/>
                <w:sz w:val="21"/>
                <w:szCs w:val="21"/>
                <w:u w:val="none"/>
              </w:rPr>
            </w:pPr>
          </w:p>
        </w:tc>
        <w:tc>
          <w:tcPr>
            <w:tcW w:w="1233" w:type="dxa"/>
            <w:vMerge w:val="continue"/>
            <w:tcBorders>
              <w:tl2br w:val="nil"/>
              <w:tr2bl w:val="nil"/>
            </w:tcBorders>
            <w:noWrap w:val="0"/>
            <w:vAlign w:val="center"/>
          </w:tcPr>
          <w:p w14:paraId="3AC0CE26">
            <w:pPr>
              <w:keepNext w:val="0"/>
              <w:keepLines w:val="0"/>
              <w:widowControl/>
              <w:suppressLineNumbers w:val="0"/>
              <w:spacing w:line="400" w:lineRule="exact"/>
              <w:jc w:val="center"/>
              <w:textAlignment w:val="center"/>
              <w:rPr>
                <w:rFonts w:hint="default" w:ascii="Times New Roman" w:hAnsi="Times New Roman" w:eastAsia="方正仿宋_GBK" w:cs="Times New Roman"/>
                <w:b w:val="0"/>
                <w:bCs w:val="0"/>
                <w:i w:val="0"/>
                <w:iCs w:val="0"/>
                <w:color w:val="auto"/>
                <w:sz w:val="24"/>
                <w:szCs w:val="24"/>
                <w:u w:val="none"/>
              </w:rPr>
            </w:pPr>
          </w:p>
        </w:tc>
        <w:tc>
          <w:tcPr>
            <w:tcW w:w="836" w:type="dxa"/>
            <w:tcBorders>
              <w:tl2br w:val="nil"/>
              <w:tr2bl w:val="nil"/>
            </w:tcBorders>
            <w:noWrap w:val="0"/>
            <w:vAlign w:val="center"/>
          </w:tcPr>
          <w:p w14:paraId="73247C0F">
            <w:pPr>
              <w:keepNext w:val="0"/>
              <w:keepLines w:val="0"/>
              <w:widowControl/>
              <w:suppressLineNumbers w:val="0"/>
              <w:spacing w:line="400" w:lineRule="exact"/>
              <w:jc w:val="center"/>
              <w:textAlignment w:val="center"/>
              <w:rPr>
                <w:rFonts w:hint="default" w:ascii="Times New Roman" w:hAnsi="Times New Roman" w:eastAsia="方正仿宋_GBK" w:cs="Times New Roman"/>
                <w:b w:val="0"/>
                <w:bCs w:val="0"/>
                <w:i w:val="0"/>
                <w:iCs w:val="0"/>
                <w:color w:val="auto"/>
                <w:kern w:val="2"/>
                <w:sz w:val="24"/>
                <w:szCs w:val="24"/>
                <w:u w:val="none"/>
                <w:lang w:val="en-US" w:eastAsia="zh-CN" w:bidi="ar-SA"/>
              </w:rPr>
            </w:pPr>
            <w:r>
              <w:rPr>
                <w:rStyle w:val="8"/>
                <w:rFonts w:hint="default" w:ascii="Times New Roman" w:hAnsi="Times New Roman" w:eastAsia="方正仿宋_GBK" w:cs="Times New Roman"/>
                <w:b w:val="0"/>
                <w:bCs w:val="0"/>
                <w:color w:val="auto"/>
                <w:lang w:val="en-US" w:eastAsia="zh-CN" w:bidi="ar"/>
              </w:rPr>
              <w:t>项目团队成员（不含项目负责人）（16分）</w:t>
            </w:r>
          </w:p>
        </w:tc>
        <w:tc>
          <w:tcPr>
            <w:tcW w:w="5500" w:type="dxa"/>
            <w:tcBorders>
              <w:tl2br w:val="nil"/>
              <w:tr2bl w:val="nil"/>
            </w:tcBorders>
            <w:noWrap w:val="0"/>
            <w:vAlign w:val="center"/>
          </w:tcPr>
          <w:p w14:paraId="32BABCAF">
            <w:pPr>
              <w:keepNext w:val="0"/>
              <w:keepLines w:val="0"/>
              <w:widowControl/>
              <w:suppressLineNumbers w:val="0"/>
              <w:spacing w:line="400" w:lineRule="exact"/>
              <w:jc w:val="both"/>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r>
              <w:rPr>
                <w:rFonts w:hint="default" w:ascii="Times New Roman" w:hAnsi="Times New Roman" w:eastAsia="方正仿宋_GBK" w:cs="Times New Roman"/>
                <w:b w:val="0"/>
                <w:bCs w:val="0"/>
                <w:i w:val="0"/>
                <w:iCs w:val="0"/>
                <w:color w:val="auto"/>
                <w:kern w:val="0"/>
                <w:sz w:val="24"/>
                <w:szCs w:val="24"/>
                <w:u w:val="none"/>
                <w:lang w:val="en-US" w:eastAsia="zh-CN" w:bidi="ar"/>
              </w:rPr>
              <w:t>供应商拟投入本项目人员具有环境保护类相关专业高级工程师职称的每个得5分，最高得10分；具有环境保护类相关专业中级及以上工程师职称的每个得3分，最高得6分。本小项最高得16分。</w:t>
            </w:r>
          </w:p>
          <w:p w14:paraId="7365B39C">
            <w:pPr>
              <w:keepNext w:val="0"/>
              <w:keepLines w:val="0"/>
              <w:widowControl/>
              <w:suppressLineNumbers w:val="0"/>
              <w:spacing w:line="400" w:lineRule="exact"/>
              <w:jc w:val="both"/>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r>
              <w:rPr>
                <w:rFonts w:hint="default" w:ascii="Times New Roman" w:hAnsi="Times New Roman" w:eastAsia="方正仿宋_GBK" w:cs="Times New Roman"/>
                <w:b w:val="0"/>
                <w:bCs w:val="0"/>
                <w:i w:val="0"/>
                <w:iCs w:val="0"/>
                <w:color w:val="auto"/>
                <w:kern w:val="0"/>
                <w:sz w:val="24"/>
                <w:szCs w:val="24"/>
                <w:u w:val="none"/>
                <w:lang w:val="en-US" w:eastAsia="zh-CN" w:bidi="ar"/>
              </w:rPr>
              <w:t>注：1.若以上人员同时具有多个技术职称，按等级较高的技术职称评审，不重复计分。需提供相应技术职称证书复印件，并加盖投标人单位公章。不提供不得分。</w:t>
            </w:r>
          </w:p>
          <w:p w14:paraId="150C4AD6">
            <w:pPr>
              <w:keepNext w:val="0"/>
              <w:keepLines w:val="0"/>
              <w:widowControl/>
              <w:suppressLineNumbers w:val="0"/>
              <w:spacing w:line="400" w:lineRule="exact"/>
              <w:jc w:val="both"/>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r>
              <w:rPr>
                <w:rFonts w:hint="default" w:ascii="Times New Roman" w:hAnsi="Times New Roman" w:eastAsia="方正仿宋_GBK" w:cs="Times New Roman"/>
                <w:b w:val="0"/>
                <w:bCs w:val="0"/>
                <w:i w:val="0"/>
                <w:iCs w:val="0"/>
                <w:color w:val="auto"/>
                <w:kern w:val="0"/>
                <w:sz w:val="24"/>
                <w:szCs w:val="24"/>
                <w:u w:val="none"/>
                <w:lang w:val="en-US" w:eastAsia="zh-CN" w:bidi="ar"/>
              </w:rPr>
              <w:t>2.项目团队成员必须为供应商的正式员工，并提供投标截止时间前六个月内任意一月社会保险缴交证明，加盖投标供应商公章，否则不得分。</w:t>
            </w:r>
          </w:p>
          <w:p w14:paraId="2CD4A5C1">
            <w:pPr>
              <w:keepNext w:val="0"/>
              <w:keepLines w:val="0"/>
              <w:widowControl/>
              <w:suppressLineNumbers w:val="0"/>
              <w:spacing w:line="400" w:lineRule="exact"/>
              <w:jc w:val="both"/>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r>
              <w:rPr>
                <w:rFonts w:hint="default" w:ascii="Times New Roman" w:hAnsi="Times New Roman" w:eastAsia="方正仿宋_GBK" w:cs="Times New Roman"/>
                <w:b w:val="0"/>
                <w:bCs w:val="0"/>
                <w:i w:val="0"/>
                <w:iCs w:val="0"/>
                <w:color w:val="auto"/>
                <w:kern w:val="0"/>
                <w:sz w:val="24"/>
                <w:szCs w:val="24"/>
                <w:u w:val="none"/>
                <w:lang w:val="en-US" w:eastAsia="zh-CN" w:bidi="ar"/>
              </w:rPr>
              <w:t>说明：须提供人员相关证书及投标截止时间前六个月内任意一月社会保险缴交证明，没有提供不计分。</w:t>
            </w:r>
          </w:p>
        </w:tc>
      </w:tr>
      <w:tr w14:paraId="20F63F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3" w:hRule="atLeast"/>
        </w:trPr>
        <w:tc>
          <w:tcPr>
            <w:tcW w:w="851" w:type="dxa"/>
            <w:vMerge w:val="continue"/>
            <w:tcBorders>
              <w:tl2br w:val="nil"/>
              <w:tr2bl w:val="nil"/>
            </w:tcBorders>
            <w:noWrap w:val="0"/>
            <w:vAlign w:val="center"/>
          </w:tcPr>
          <w:p w14:paraId="7C1C09BE">
            <w:pPr>
              <w:jc w:val="center"/>
              <w:rPr>
                <w:rFonts w:hint="default" w:ascii="Times New Roman" w:hAnsi="Times New Roman" w:eastAsia="宋体" w:cs="Times New Roman"/>
                <w:b w:val="0"/>
                <w:bCs w:val="0"/>
                <w:i w:val="0"/>
                <w:iCs w:val="0"/>
                <w:color w:val="000000"/>
                <w:sz w:val="21"/>
                <w:szCs w:val="21"/>
                <w:u w:val="none"/>
              </w:rPr>
            </w:pPr>
          </w:p>
        </w:tc>
        <w:tc>
          <w:tcPr>
            <w:tcW w:w="1233" w:type="dxa"/>
            <w:tcBorders>
              <w:tl2br w:val="nil"/>
              <w:tr2bl w:val="nil"/>
            </w:tcBorders>
            <w:noWrap w:val="0"/>
            <w:vAlign w:val="center"/>
          </w:tcPr>
          <w:p w14:paraId="0EAC1485">
            <w:pPr>
              <w:keepNext w:val="0"/>
              <w:keepLines w:val="0"/>
              <w:widowControl/>
              <w:suppressLineNumbers w:val="0"/>
              <w:spacing w:line="400" w:lineRule="exact"/>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方正仿宋_GBK" w:cs="Times New Roman"/>
                <w:b w:val="0"/>
                <w:bCs w:val="0"/>
                <w:i w:val="0"/>
                <w:iCs w:val="0"/>
                <w:color w:val="000000"/>
                <w:kern w:val="0"/>
                <w:sz w:val="24"/>
                <w:szCs w:val="24"/>
                <w:u w:val="none"/>
                <w:lang w:val="en-US" w:eastAsia="zh-CN" w:bidi="ar"/>
              </w:rPr>
              <w:t>项目业绩</w:t>
            </w:r>
          </w:p>
        </w:tc>
        <w:tc>
          <w:tcPr>
            <w:tcW w:w="836" w:type="dxa"/>
            <w:tcBorders>
              <w:tl2br w:val="nil"/>
              <w:tr2bl w:val="nil"/>
            </w:tcBorders>
            <w:noWrap w:val="0"/>
            <w:vAlign w:val="center"/>
          </w:tcPr>
          <w:p w14:paraId="3E1BC5CC">
            <w:pPr>
              <w:keepNext w:val="0"/>
              <w:keepLines w:val="0"/>
              <w:widowControl/>
              <w:suppressLineNumbers w:val="0"/>
              <w:spacing w:line="400" w:lineRule="exact"/>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方正仿宋_GBK" w:cs="Times New Roman"/>
                <w:b w:val="0"/>
                <w:bCs w:val="0"/>
                <w:i w:val="0"/>
                <w:iCs w:val="0"/>
                <w:color w:val="000000"/>
                <w:kern w:val="0"/>
                <w:sz w:val="24"/>
                <w:szCs w:val="24"/>
                <w:u w:val="none"/>
                <w:lang w:val="en-US" w:eastAsia="zh-CN" w:bidi="ar"/>
              </w:rPr>
              <w:t>20</w:t>
            </w:r>
            <w:r>
              <w:rPr>
                <w:rStyle w:val="8"/>
                <w:rFonts w:hint="default" w:ascii="Times New Roman" w:hAnsi="Times New Roman" w:eastAsia="方正仿宋_GBK" w:cs="Times New Roman"/>
                <w:b w:val="0"/>
                <w:bCs w:val="0"/>
                <w:lang w:val="en-US" w:eastAsia="zh-CN" w:bidi="ar"/>
              </w:rPr>
              <w:t>分</w:t>
            </w:r>
          </w:p>
        </w:tc>
        <w:tc>
          <w:tcPr>
            <w:tcW w:w="5500" w:type="dxa"/>
            <w:tcBorders>
              <w:tl2br w:val="nil"/>
              <w:tr2bl w:val="nil"/>
            </w:tcBorders>
            <w:noWrap w:val="0"/>
            <w:vAlign w:val="center"/>
          </w:tcPr>
          <w:p w14:paraId="1904B059">
            <w:pPr>
              <w:keepNext w:val="0"/>
              <w:keepLines w:val="0"/>
              <w:widowControl/>
              <w:suppressLineNumbers w:val="0"/>
              <w:spacing w:line="400" w:lineRule="exact"/>
              <w:jc w:val="both"/>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r>
              <w:rPr>
                <w:rFonts w:hint="default" w:ascii="Times New Roman" w:hAnsi="Times New Roman" w:eastAsia="方正仿宋_GBK" w:cs="Times New Roman"/>
                <w:b w:val="0"/>
                <w:bCs w:val="0"/>
                <w:i w:val="0"/>
                <w:iCs w:val="0"/>
                <w:color w:val="auto"/>
                <w:kern w:val="0"/>
                <w:sz w:val="24"/>
                <w:szCs w:val="24"/>
                <w:u w:val="none"/>
                <w:lang w:val="en-US" w:eastAsia="zh-CN" w:bidi="ar"/>
              </w:rPr>
              <w:t>供应商自2022年以来承担过“无废城市”建设相关项目，固体废物管理、固体废物污染防治相关规划、固体废物环境损害鉴定、固体废物属性鉴定等相关技术服务项目，每个项目得4分，本项最高得20分。</w:t>
            </w:r>
          </w:p>
          <w:p w14:paraId="61BD5B73">
            <w:pPr>
              <w:keepNext w:val="0"/>
              <w:keepLines w:val="0"/>
              <w:widowControl/>
              <w:suppressLineNumbers w:val="0"/>
              <w:spacing w:line="400" w:lineRule="exact"/>
              <w:jc w:val="both"/>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方正仿宋_GBK" w:cs="Times New Roman"/>
                <w:b w:val="0"/>
                <w:bCs w:val="0"/>
                <w:i w:val="0"/>
                <w:iCs w:val="0"/>
                <w:color w:val="auto"/>
                <w:kern w:val="0"/>
                <w:sz w:val="24"/>
                <w:szCs w:val="24"/>
                <w:u w:val="none"/>
                <w:lang w:val="en-US" w:eastAsia="zh-CN" w:bidi="ar"/>
              </w:rPr>
              <w:t>说明：须提供中标通知书（成交通知书）或合同关键页（含签订合同双方的单位名称、合同项目名称、金额与含签订合同双方的落款盖章、签订日期的关键页）复印件，没有提供不计分。</w:t>
            </w:r>
          </w:p>
        </w:tc>
      </w:tr>
      <w:tr w14:paraId="56E66B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3" w:hRule="atLeast"/>
        </w:trPr>
        <w:tc>
          <w:tcPr>
            <w:tcW w:w="851" w:type="dxa"/>
            <w:vMerge w:val="continue"/>
            <w:tcBorders>
              <w:tl2br w:val="nil"/>
              <w:tr2bl w:val="nil"/>
            </w:tcBorders>
            <w:noWrap w:val="0"/>
            <w:vAlign w:val="center"/>
          </w:tcPr>
          <w:p w14:paraId="44C57437">
            <w:pPr>
              <w:jc w:val="center"/>
              <w:rPr>
                <w:rFonts w:hint="default" w:ascii="Times New Roman" w:hAnsi="Times New Roman" w:eastAsia="宋体" w:cs="Times New Roman"/>
                <w:b w:val="0"/>
                <w:bCs w:val="0"/>
                <w:i w:val="0"/>
                <w:iCs w:val="0"/>
                <w:color w:val="000000"/>
                <w:sz w:val="21"/>
                <w:szCs w:val="21"/>
                <w:u w:val="none"/>
              </w:rPr>
            </w:pPr>
          </w:p>
        </w:tc>
        <w:tc>
          <w:tcPr>
            <w:tcW w:w="1233" w:type="dxa"/>
            <w:tcBorders>
              <w:tl2br w:val="nil"/>
              <w:tr2bl w:val="nil"/>
            </w:tcBorders>
            <w:noWrap w:val="0"/>
            <w:vAlign w:val="center"/>
          </w:tcPr>
          <w:p w14:paraId="3A542CE6">
            <w:pPr>
              <w:keepNext w:val="0"/>
              <w:keepLines w:val="0"/>
              <w:widowControl/>
              <w:suppressLineNumbers w:val="0"/>
              <w:spacing w:line="400" w:lineRule="exact"/>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方正仿宋_GBK" w:cs="Times New Roman"/>
                <w:b w:val="0"/>
                <w:bCs w:val="0"/>
                <w:i w:val="0"/>
                <w:iCs w:val="0"/>
                <w:color w:val="000000"/>
                <w:kern w:val="0"/>
                <w:sz w:val="24"/>
                <w:szCs w:val="24"/>
                <w:u w:val="none"/>
                <w:lang w:val="en-US" w:eastAsia="zh-CN" w:bidi="ar"/>
              </w:rPr>
              <w:t>企业资质</w:t>
            </w:r>
          </w:p>
        </w:tc>
        <w:tc>
          <w:tcPr>
            <w:tcW w:w="836" w:type="dxa"/>
            <w:tcBorders>
              <w:tl2br w:val="nil"/>
              <w:tr2bl w:val="nil"/>
            </w:tcBorders>
            <w:noWrap w:val="0"/>
            <w:vAlign w:val="center"/>
          </w:tcPr>
          <w:p w14:paraId="6025206E">
            <w:pPr>
              <w:keepNext w:val="0"/>
              <w:keepLines w:val="0"/>
              <w:widowControl/>
              <w:suppressLineNumbers w:val="0"/>
              <w:spacing w:line="400" w:lineRule="exact"/>
              <w:jc w:val="center"/>
              <w:textAlignment w:val="center"/>
              <w:rPr>
                <w:rFonts w:hint="default" w:ascii="Times New Roman" w:hAnsi="Times New Roman" w:eastAsia="方正仿宋_GBK" w:cs="Times New Roman"/>
                <w:b w:val="0"/>
                <w:bCs w:val="0"/>
                <w:i w:val="0"/>
                <w:iCs w:val="0"/>
                <w:color w:val="auto"/>
                <w:sz w:val="24"/>
                <w:szCs w:val="24"/>
                <w:u w:val="none"/>
              </w:rPr>
            </w:pPr>
            <w:r>
              <w:rPr>
                <w:rFonts w:hint="default" w:ascii="Times New Roman" w:hAnsi="Times New Roman" w:eastAsia="方正仿宋_GBK" w:cs="Times New Roman"/>
                <w:b w:val="0"/>
                <w:bCs w:val="0"/>
                <w:i w:val="0"/>
                <w:iCs w:val="0"/>
                <w:color w:val="auto"/>
                <w:kern w:val="0"/>
                <w:sz w:val="24"/>
                <w:szCs w:val="24"/>
                <w:u w:val="none"/>
                <w:lang w:val="en-US" w:eastAsia="zh-CN" w:bidi="ar"/>
              </w:rPr>
              <w:t>8</w:t>
            </w:r>
            <w:r>
              <w:rPr>
                <w:rStyle w:val="8"/>
                <w:rFonts w:hint="default" w:ascii="Times New Roman" w:hAnsi="Times New Roman" w:eastAsia="方正仿宋_GBK" w:cs="Times New Roman"/>
                <w:b w:val="0"/>
                <w:bCs w:val="0"/>
                <w:color w:val="auto"/>
                <w:lang w:val="en-US" w:eastAsia="zh-CN" w:bidi="ar"/>
              </w:rPr>
              <w:t>分</w:t>
            </w:r>
          </w:p>
        </w:tc>
        <w:tc>
          <w:tcPr>
            <w:tcW w:w="5500" w:type="dxa"/>
            <w:tcBorders>
              <w:tl2br w:val="nil"/>
              <w:tr2bl w:val="nil"/>
            </w:tcBorders>
            <w:noWrap w:val="0"/>
            <w:vAlign w:val="center"/>
          </w:tcPr>
          <w:p w14:paraId="5ED99714">
            <w:pPr>
              <w:keepNext w:val="0"/>
              <w:keepLines w:val="0"/>
              <w:widowControl/>
              <w:suppressLineNumbers w:val="0"/>
              <w:spacing w:line="400" w:lineRule="exact"/>
              <w:jc w:val="both"/>
              <w:textAlignment w:val="center"/>
              <w:rPr>
                <w:rFonts w:hint="default" w:ascii="Times New Roman" w:hAnsi="Times New Roman" w:eastAsia="方正仿宋_GBK" w:cs="Times New Roman"/>
                <w:b w:val="0"/>
                <w:bCs w:val="0"/>
                <w:i w:val="0"/>
                <w:iCs w:val="0"/>
                <w:color w:val="auto"/>
                <w:kern w:val="0"/>
                <w:sz w:val="24"/>
                <w:szCs w:val="24"/>
                <w:u w:val="none"/>
                <w:lang w:val="en-US" w:eastAsia="zh-CN" w:bidi="ar"/>
              </w:rPr>
            </w:pPr>
            <w:r>
              <w:rPr>
                <w:rFonts w:hint="default" w:ascii="Times New Roman" w:hAnsi="Times New Roman" w:eastAsia="方正仿宋_GBK" w:cs="Times New Roman"/>
                <w:b w:val="0"/>
                <w:bCs w:val="0"/>
                <w:i w:val="0"/>
                <w:iCs w:val="0"/>
                <w:color w:val="auto"/>
                <w:kern w:val="0"/>
                <w:sz w:val="24"/>
                <w:szCs w:val="24"/>
                <w:u w:val="none"/>
                <w:lang w:val="en-US" w:eastAsia="zh-CN" w:bidi="ar"/>
              </w:rPr>
              <w:t>供应商具有固体废物相关检测资质的得4分；具有固体废物属性鉴别资质的得4分。本项最高得8分。</w:t>
            </w:r>
          </w:p>
          <w:p w14:paraId="0F0BD34E">
            <w:pPr>
              <w:keepNext w:val="0"/>
              <w:keepLines w:val="0"/>
              <w:widowControl/>
              <w:suppressLineNumbers w:val="0"/>
              <w:spacing w:line="400" w:lineRule="exact"/>
              <w:jc w:val="both"/>
              <w:textAlignment w:val="center"/>
              <w:rPr>
                <w:rFonts w:hint="default" w:ascii="Times New Roman" w:hAnsi="Times New Roman" w:eastAsia="方正仿宋_GBK" w:cs="Times New Roman"/>
                <w:b w:val="0"/>
                <w:bCs w:val="0"/>
                <w:i w:val="0"/>
                <w:iCs w:val="0"/>
                <w:color w:val="auto"/>
                <w:sz w:val="24"/>
                <w:szCs w:val="24"/>
                <w:u w:val="none"/>
              </w:rPr>
            </w:pPr>
            <w:r>
              <w:rPr>
                <w:rFonts w:hint="default" w:ascii="Times New Roman" w:hAnsi="Times New Roman" w:eastAsia="方正仿宋_GBK" w:cs="Times New Roman"/>
                <w:b w:val="0"/>
                <w:bCs w:val="0"/>
                <w:i w:val="0"/>
                <w:iCs w:val="0"/>
                <w:color w:val="auto"/>
                <w:kern w:val="0"/>
                <w:sz w:val="24"/>
                <w:szCs w:val="24"/>
                <w:u w:val="none"/>
                <w:lang w:val="en-US" w:eastAsia="zh-CN" w:bidi="ar"/>
              </w:rPr>
              <w:t>注：需提供相应资质复印件，并加盖投标人单位公章。不提供不得分。</w:t>
            </w:r>
          </w:p>
        </w:tc>
      </w:tr>
      <w:tr w14:paraId="1BE067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3" w:hRule="atLeast"/>
        </w:trPr>
        <w:tc>
          <w:tcPr>
            <w:tcW w:w="2084" w:type="dxa"/>
            <w:gridSpan w:val="2"/>
            <w:tcBorders>
              <w:tl2br w:val="nil"/>
              <w:tr2bl w:val="nil"/>
            </w:tcBorders>
            <w:noWrap w:val="0"/>
            <w:vAlign w:val="center"/>
          </w:tcPr>
          <w:p w14:paraId="64FE3F7B">
            <w:pPr>
              <w:keepNext w:val="0"/>
              <w:keepLines w:val="0"/>
              <w:widowControl/>
              <w:suppressLineNumbers w:val="0"/>
              <w:spacing w:line="400" w:lineRule="exact"/>
              <w:jc w:val="center"/>
              <w:textAlignment w:val="center"/>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价格评审</w:t>
            </w:r>
          </w:p>
          <w:p w14:paraId="4A94AB53">
            <w:pPr>
              <w:keepNext w:val="0"/>
              <w:keepLines w:val="0"/>
              <w:widowControl/>
              <w:suppressLineNumbers w:val="0"/>
              <w:spacing w:line="400" w:lineRule="exact"/>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方正仿宋_GBK" w:cs="Times New Roman"/>
                <w:b w:val="0"/>
                <w:bCs w:val="0"/>
                <w:i w:val="0"/>
                <w:iCs w:val="0"/>
                <w:color w:val="000000"/>
                <w:kern w:val="0"/>
                <w:sz w:val="24"/>
                <w:szCs w:val="24"/>
                <w:u w:val="none"/>
                <w:lang w:val="en-US" w:eastAsia="zh-CN" w:bidi="ar"/>
              </w:rPr>
              <w:t>（</w:t>
            </w:r>
            <w:r>
              <w:rPr>
                <w:rStyle w:val="9"/>
                <w:rFonts w:hint="default" w:ascii="Times New Roman" w:hAnsi="Times New Roman" w:eastAsia="方正仿宋_GBK" w:cs="Times New Roman"/>
                <w:b w:val="0"/>
                <w:bCs w:val="0"/>
                <w:sz w:val="24"/>
                <w:szCs w:val="24"/>
                <w:lang w:val="en-US" w:eastAsia="zh-CN" w:bidi="ar"/>
              </w:rPr>
              <w:t>15</w:t>
            </w:r>
            <w:r>
              <w:rPr>
                <w:rStyle w:val="10"/>
                <w:rFonts w:hint="default" w:ascii="Times New Roman" w:hAnsi="Times New Roman" w:eastAsia="方正仿宋_GBK" w:cs="Times New Roman"/>
                <w:b w:val="0"/>
                <w:bCs w:val="0"/>
                <w:lang w:val="en-US" w:eastAsia="zh-CN" w:bidi="ar"/>
              </w:rPr>
              <w:t>分）</w:t>
            </w:r>
          </w:p>
        </w:tc>
        <w:tc>
          <w:tcPr>
            <w:tcW w:w="836" w:type="dxa"/>
            <w:tcBorders>
              <w:tl2br w:val="nil"/>
              <w:tr2bl w:val="nil"/>
            </w:tcBorders>
            <w:noWrap w:val="0"/>
            <w:vAlign w:val="center"/>
          </w:tcPr>
          <w:p w14:paraId="686A9054">
            <w:pPr>
              <w:keepNext w:val="0"/>
              <w:keepLines w:val="0"/>
              <w:widowControl/>
              <w:suppressLineNumbers w:val="0"/>
              <w:spacing w:line="400" w:lineRule="exact"/>
              <w:jc w:val="center"/>
              <w:textAlignment w:val="center"/>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方正仿宋_GBK" w:cs="Times New Roman"/>
                <w:b w:val="0"/>
                <w:bCs w:val="0"/>
                <w:i w:val="0"/>
                <w:iCs w:val="0"/>
                <w:color w:val="000000"/>
                <w:kern w:val="0"/>
                <w:sz w:val="24"/>
                <w:szCs w:val="24"/>
                <w:u w:val="none"/>
                <w:lang w:val="en-US" w:eastAsia="zh-CN" w:bidi="ar"/>
              </w:rPr>
              <w:t>15</w:t>
            </w:r>
            <w:r>
              <w:rPr>
                <w:rStyle w:val="8"/>
                <w:rFonts w:hint="default" w:ascii="Times New Roman" w:hAnsi="Times New Roman" w:eastAsia="方正仿宋_GBK" w:cs="Times New Roman"/>
                <w:b w:val="0"/>
                <w:bCs w:val="0"/>
                <w:lang w:val="en-US" w:eastAsia="zh-CN" w:bidi="ar"/>
              </w:rPr>
              <w:t>分</w:t>
            </w:r>
          </w:p>
        </w:tc>
        <w:tc>
          <w:tcPr>
            <w:tcW w:w="5500" w:type="dxa"/>
            <w:tcBorders>
              <w:tl2br w:val="nil"/>
              <w:tr2bl w:val="nil"/>
            </w:tcBorders>
            <w:noWrap w:val="0"/>
            <w:vAlign w:val="top"/>
          </w:tcPr>
          <w:p w14:paraId="740FF1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default" w:ascii="Times New Roman" w:hAnsi="Times New Roman" w:eastAsia="方正仿宋_GBK" w:cs="Times New Roman"/>
                <w:i w:val="0"/>
                <w:iCs w:val="0"/>
                <w:caps w:val="0"/>
                <w:color w:val="auto"/>
                <w:spacing w:val="0"/>
                <w:sz w:val="24"/>
                <w:szCs w:val="24"/>
                <w:lang w:val="en-US" w:eastAsia="zh-CN"/>
              </w:rPr>
            </w:pPr>
            <w:r>
              <w:rPr>
                <w:rFonts w:hint="default" w:ascii="Times New Roman" w:hAnsi="Times New Roman" w:eastAsia="方正仿宋_GBK" w:cs="Times New Roman"/>
                <w:i w:val="0"/>
                <w:iCs w:val="0"/>
                <w:caps w:val="0"/>
                <w:color w:val="auto"/>
                <w:spacing w:val="0"/>
                <w:sz w:val="24"/>
                <w:szCs w:val="24"/>
                <w:lang w:val="en-US" w:eastAsia="zh-CN"/>
              </w:rPr>
              <w:t>取满足采购文件要求且价格扣除后的最低投标报价作为评标基准价，其价格分为满分。其他供应商的价格分统一按照下列公式计算：价格扣除后的投标报价得分=（评标基准价/价格扣除后的投标报价）×15。</w:t>
            </w:r>
          </w:p>
          <w:p w14:paraId="679FB12F">
            <w:pPr>
              <w:keepNext w:val="0"/>
              <w:keepLines w:val="0"/>
              <w:widowControl/>
              <w:suppressLineNumbers w:val="0"/>
              <w:spacing w:line="400" w:lineRule="exact"/>
              <w:jc w:val="both"/>
              <w:textAlignment w:val="top"/>
              <w:rPr>
                <w:rFonts w:hint="default" w:ascii="Times New Roman" w:hAnsi="Times New Roman" w:eastAsia="方正仿宋_GBK" w:cs="Times New Roman"/>
                <w:b w:val="0"/>
                <w:bCs w:val="0"/>
                <w:i w:val="0"/>
                <w:iCs w:val="0"/>
                <w:color w:val="000000"/>
                <w:sz w:val="24"/>
                <w:szCs w:val="24"/>
                <w:u w:val="none"/>
              </w:rPr>
            </w:pPr>
            <w:r>
              <w:rPr>
                <w:rFonts w:hint="default" w:ascii="Times New Roman" w:hAnsi="Times New Roman" w:eastAsia="方正仿宋_GBK" w:cs="Times New Roman"/>
                <w:i w:val="0"/>
                <w:iCs w:val="0"/>
                <w:caps w:val="0"/>
                <w:color w:val="auto"/>
                <w:spacing w:val="0"/>
                <w:sz w:val="24"/>
                <w:szCs w:val="24"/>
                <w:lang w:val="en-US" w:eastAsia="zh-CN"/>
              </w:rPr>
              <w:t>（对符合规定的小型和微型企业（监狱企业、残疾人福利单位视同小型、微型企业）报价给予10%的价格扣除）</w:t>
            </w:r>
          </w:p>
        </w:tc>
      </w:tr>
      <w:tr w14:paraId="748478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3" w:hRule="atLeast"/>
        </w:trPr>
        <w:tc>
          <w:tcPr>
            <w:tcW w:w="2084" w:type="dxa"/>
            <w:gridSpan w:val="2"/>
            <w:tcBorders>
              <w:tl2br w:val="nil"/>
              <w:tr2bl w:val="nil"/>
            </w:tcBorders>
            <w:noWrap w:val="0"/>
            <w:vAlign w:val="center"/>
          </w:tcPr>
          <w:p w14:paraId="5F27FFDF">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4"/>
                <w:szCs w:val="24"/>
                <w:u w:val="none"/>
                <w:lang w:bidi="ar"/>
              </w:rPr>
            </w:pPr>
            <w:r>
              <w:rPr>
                <w:rFonts w:hint="default" w:ascii="Times New Roman" w:hAnsi="Times New Roman" w:eastAsia="方正仿宋_GBK" w:cs="Times New Roman"/>
                <w:b w:val="0"/>
                <w:bCs w:val="0"/>
                <w:i w:val="0"/>
                <w:iCs w:val="0"/>
                <w:color w:val="auto"/>
                <w:kern w:val="0"/>
                <w:sz w:val="24"/>
                <w:szCs w:val="24"/>
                <w:u w:val="none"/>
                <w:lang w:val="en-US" w:eastAsia="zh-CN" w:bidi="ar"/>
              </w:rPr>
              <w:t>综合得分</w:t>
            </w:r>
          </w:p>
        </w:tc>
        <w:tc>
          <w:tcPr>
            <w:tcW w:w="836" w:type="dxa"/>
            <w:tcBorders>
              <w:tl2br w:val="nil"/>
              <w:tr2bl w:val="nil"/>
            </w:tcBorders>
            <w:noWrap w:val="0"/>
            <w:vAlign w:val="center"/>
          </w:tcPr>
          <w:p w14:paraId="36D95086">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auto"/>
                <w:kern w:val="0"/>
                <w:sz w:val="24"/>
                <w:szCs w:val="24"/>
                <w:u w:val="none"/>
                <w:lang w:bidi="ar"/>
              </w:rPr>
            </w:pPr>
            <w:r>
              <w:rPr>
                <w:rFonts w:hint="default" w:ascii="Times New Roman" w:hAnsi="Times New Roman" w:eastAsia="方正仿宋_GBK" w:cs="Times New Roman"/>
                <w:b w:val="0"/>
                <w:bCs w:val="0"/>
                <w:i w:val="0"/>
                <w:iCs w:val="0"/>
                <w:color w:val="auto"/>
                <w:kern w:val="0"/>
                <w:sz w:val="24"/>
                <w:szCs w:val="24"/>
                <w:u w:val="none"/>
                <w:lang w:val="en-US" w:eastAsia="zh-CN" w:bidi="ar"/>
              </w:rPr>
              <w:t>100</w:t>
            </w:r>
          </w:p>
        </w:tc>
        <w:tc>
          <w:tcPr>
            <w:tcW w:w="5500" w:type="dxa"/>
            <w:tcBorders>
              <w:tl2br w:val="nil"/>
              <w:tr2bl w:val="nil"/>
            </w:tcBorders>
            <w:noWrap w:val="0"/>
            <w:vAlign w:val="center"/>
          </w:tcPr>
          <w:p w14:paraId="1A7052E1">
            <w:pPr>
              <w:jc w:val="both"/>
              <w:rPr>
                <w:rFonts w:hint="default" w:ascii="Times New Roman" w:hAnsi="Times New Roman" w:eastAsia="方正仿宋_GBK" w:cs="Times New Roman"/>
                <w:b w:val="0"/>
                <w:bCs w:val="0"/>
                <w:i w:val="0"/>
                <w:iCs w:val="0"/>
                <w:color w:val="auto"/>
                <w:kern w:val="0"/>
                <w:sz w:val="24"/>
                <w:szCs w:val="24"/>
                <w:u w:val="none"/>
                <w:lang w:bidi="ar"/>
              </w:rPr>
            </w:pPr>
          </w:p>
        </w:tc>
      </w:tr>
    </w:tbl>
    <w:p w14:paraId="4250BC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C1937"/>
    <w:rsid w:val="60DC1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pPr>
      <w:widowControl w:val="0"/>
      <w:jc w:val="both"/>
    </w:pPr>
    <w:rPr>
      <w:rFonts w:ascii="宋体" w:hAnsi="Courier New" w:eastAsia="宋体" w:cs="宋体"/>
      <w:kern w:val="2"/>
      <w:sz w:val="21"/>
      <w:szCs w:val="21"/>
      <w:lang w:val="en-US" w:eastAsia="zh-CN" w:bidi="ar-SA"/>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6">
    <w:name w:val="font61"/>
    <w:basedOn w:val="5"/>
    <w:qFormat/>
    <w:uiPriority w:val="0"/>
    <w:rPr>
      <w:rFonts w:hint="default" w:ascii="Times New Roman" w:hAnsi="Times New Roman" w:cs="Times New Roman"/>
      <w:color w:val="000000"/>
      <w:sz w:val="21"/>
      <w:szCs w:val="21"/>
      <w:u w:val="none"/>
    </w:rPr>
  </w:style>
  <w:style w:type="character" w:customStyle="1" w:styleId="7">
    <w:name w:val="font41"/>
    <w:basedOn w:val="5"/>
    <w:qFormat/>
    <w:uiPriority w:val="0"/>
    <w:rPr>
      <w:rFonts w:ascii="Calibri" w:hAnsi="Calibri" w:cs="Calibri"/>
      <w:color w:val="000000"/>
      <w:sz w:val="24"/>
      <w:szCs w:val="24"/>
      <w:u w:val="none"/>
    </w:rPr>
  </w:style>
  <w:style w:type="character" w:customStyle="1" w:styleId="8">
    <w:name w:val="font51"/>
    <w:basedOn w:val="5"/>
    <w:qFormat/>
    <w:uiPriority w:val="0"/>
    <w:rPr>
      <w:rFonts w:hint="default" w:ascii="Times New Roman" w:hAnsi="Times New Roman" w:cs="Times New Roman"/>
      <w:color w:val="000000"/>
      <w:sz w:val="24"/>
      <w:szCs w:val="24"/>
      <w:u w:val="none"/>
    </w:rPr>
  </w:style>
  <w:style w:type="character" w:customStyle="1" w:styleId="9">
    <w:name w:val="font01"/>
    <w:basedOn w:val="5"/>
    <w:qFormat/>
    <w:uiPriority w:val="0"/>
    <w:rPr>
      <w:rFonts w:hint="default" w:ascii="Times New Roman" w:hAnsi="Times New Roman" w:cs="Times New Roman"/>
      <w:b/>
      <w:bCs/>
      <w:color w:val="000000"/>
      <w:sz w:val="21"/>
      <w:szCs w:val="21"/>
      <w:u w:val="none"/>
    </w:rPr>
  </w:style>
  <w:style w:type="character" w:customStyle="1" w:styleId="10">
    <w:name w:val="font31"/>
    <w:basedOn w:val="5"/>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2026-05-11T08:31:00Z</dcterms:created>
  <dc:creator>李耀明</dc:creator>
  <cp:lastModifiedBy>李耀明</cp:lastModifiedBy>
  <dcterms:modified xsi:type="dcterms:W3CDTF">2026-05-11T08:32:16Z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0246E77D06F542B4951D2C500BC95344_11</vt:lpwstr>
  </property>
  <property fmtid="{D5CDD505-2E9C-101B-9397-08002B2CF9AE}" pid="4" name="KSOTemplateDocerSaveRecord">
    <vt:lpwstr>eyJoZGlkIjoiMDM3NGU3YmU1ODYyYjdmN2E3ZWRhMmM0MjY3M2IwZTIiLCJ1c2VySWQiOiI2MzI0OTUzMjIifQ==</vt:lpwstr>
  </property>
</Properties>
</file>