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ECAD6">
      <w:pPr>
        <w:spacing w:line="500" w:lineRule="exact"/>
        <w:rPr>
          <w:rFonts w:eastAsia="黑体"/>
          <w:sz w:val="32"/>
          <w:szCs w:val="32"/>
        </w:rPr>
      </w:pPr>
      <w:r>
        <w:rPr>
          <w:rFonts w:eastAsia="黑体"/>
          <w:sz w:val="32"/>
          <w:szCs w:val="32"/>
        </w:rPr>
        <w:t>附件2</w:t>
      </w:r>
    </w:p>
    <w:p w14:paraId="29CBE6F9">
      <w:pPr>
        <w:spacing w:line="500" w:lineRule="exact"/>
        <w:jc w:val="center"/>
        <w:rPr>
          <w:rFonts w:ascii="Times New Roman" w:hAnsi="Times New Roman" w:eastAsia="方正小标宋_GBK"/>
          <w:sz w:val="36"/>
          <w:szCs w:val="36"/>
        </w:rPr>
      </w:pPr>
      <w:r>
        <w:rPr>
          <w:rFonts w:ascii="Times New Roman" w:hAnsi="Times New Roman" w:eastAsia="方正小标宋_GBK"/>
          <w:sz w:val="36"/>
          <w:szCs w:val="36"/>
        </w:rPr>
        <w:t>评分表</w:t>
      </w:r>
    </w:p>
    <w:tbl>
      <w:tblPr>
        <w:tblStyle w:val="11"/>
        <w:tblW w:w="86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20"/>
        <w:gridCol w:w="4575"/>
        <w:gridCol w:w="719"/>
        <w:gridCol w:w="856"/>
        <w:gridCol w:w="869"/>
      </w:tblGrid>
      <w:tr w14:paraId="15C8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blCellSpacing w:w="0" w:type="dxa"/>
          <w:jc w:val="center"/>
        </w:trPr>
        <w:tc>
          <w:tcPr>
            <w:tcW w:w="896" w:type="dxa"/>
            <w:tcBorders>
              <w:top w:val="single" w:color="auto" w:sz="8" w:space="0"/>
            </w:tcBorders>
            <w:vAlign w:val="center"/>
          </w:tcPr>
          <w:p w14:paraId="1C85C7BA">
            <w:pPr>
              <w:ind w:right="-105"/>
              <w:jc w:val="center"/>
              <w:rPr>
                <w:rFonts w:hint="default" w:ascii="Times New Roman" w:hAnsi="Times New Roman" w:cs="Times New Roman"/>
                <w:kern w:val="0"/>
                <w:sz w:val="24"/>
                <w:szCs w:val="24"/>
              </w:rPr>
            </w:pPr>
            <w:r>
              <w:rPr>
                <w:rFonts w:hint="default" w:ascii="Times New Roman" w:hAnsi="Times New Roman" w:eastAsia="黑体" w:cs="Times New Roman"/>
                <w:color w:val="000000"/>
                <w:kern w:val="0"/>
                <w:sz w:val="24"/>
                <w:szCs w:val="24"/>
              </w:rPr>
              <w:t>序号</w:t>
            </w:r>
          </w:p>
        </w:tc>
        <w:tc>
          <w:tcPr>
            <w:tcW w:w="720" w:type="dxa"/>
            <w:tcBorders>
              <w:top w:val="single" w:color="auto" w:sz="8" w:space="0"/>
            </w:tcBorders>
            <w:vAlign w:val="center"/>
          </w:tcPr>
          <w:p w14:paraId="2632B94E">
            <w:pPr>
              <w:ind w:left="-111" w:right="-105"/>
              <w:jc w:val="center"/>
              <w:rPr>
                <w:rFonts w:hint="default" w:ascii="Times New Roman" w:hAnsi="Times New Roman" w:cs="Times New Roman"/>
                <w:kern w:val="0"/>
                <w:sz w:val="24"/>
                <w:szCs w:val="24"/>
              </w:rPr>
            </w:pPr>
            <w:r>
              <w:rPr>
                <w:rFonts w:hint="default" w:ascii="Times New Roman" w:hAnsi="Times New Roman" w:eastAsia="黑体" w:cs="Times New Roman"/>
                <w:color w:val="000000"/>
                <w:kern w:val="0"/>
                <w:sz w:val="24"/>
                <w:szCs w:val="24"/>
              </w:rPr>
              <w:t>评审</w:t>
            </w:r>
          </w:p>
          <w:p w14:paraId="7B34FB20">
            <w:pPr>
              <w:ind w:left="-111" w:right="-105"/>
              <w:jc w:val="center"/>
              <w:rPr>
                <w:rFonts w:hint="default" w:ascii="Times New Roman" w:hAnsi="Times New Roman" w:cs="Times New Roman"/>
                <w:kern w:val="0"/>
                <w:sz w:val="24"/>
                <w:szCs w:val="24"/>
              </w:rPr>
            </w:pPr>
            <w:r>
              <w:rPr>
                <w:rFonts w:hint="default" w:ascii="Times New Roman" w:hAnsi="Times New Roman" w:eastAsia="黑体" w:cs="Times New Roman"/>
                <w:color w:val="000000"/>
                <w:kern w:val="0"/>
                <w:sz w:val="24"/>
                <w:szCs w:val="24"/>
              </w:rPr>
              <w:t>因素</w:t>
            </w:r>
          </w:p>
        </w:tc>
        <w:tc>
          <w:tcPr>
            <w:tcW w:w="4575" w:type="dxa"/>
            <w:tcBorders>
              <w:top w:val="single" w:color="auto" w:sz="8" w:space="0"/>
            </w:tcBorders>
            <w:vAlign w:val="center"/>
          </w:tcPr>
          <w:p w14:paraId="2264D40D">
            <w:pPr>
              <w:ind w:left="0" w:right="0"/>
              <w:jc w:val="center"/>
              <w:rPr>
                <w:rFonts w:hint="default" w:ascii="Times New Roman" w:hAnsi="Times New Roman" w:cs="Times New Roman"/>
                <w:kern w:val="0"/>
                <w:sz w:val="24"/>
                <w:szCs w:val="24"/>
              </w:rPr>
            </w:pPr>
            <w:r>
              <w:rPr>
                <w:rFonts w:hint="default" w:ascii="Times New Roman" w:hAnsi="Times New Roman" w:eastAsia="黑体" w:cs="Times New Roman"/>
                <w:color w:val="000000"/>
                <w:kern w:val="0"/>
                <w:sz w:val="24"/>
                <w:szCs w:val="24"/>
              </w:rPr>
              <w:t>评分细则</w:t>
            </w:r>
          </w:p>
        </w:tc>
        <w:tc>
          <w:tcPr>
            <w:tcW w:w="719" w:type="dxa"/>
            <w:tcBorders>
              <w:top w:val="single" w:color="auto" w:sz="8" w:space="0"/>
            </w:tcBorders>
            <w:vAlign w:val="center"/>
          </w:tcPr>
          <w:p w14:paraId="2D80393A">
            <w:pPr>
              <w:ind w:left="-111" w:right="-105"/>
              <w:jc w:val="center"/>
              <w:rPr>
                <w:rFonts w:hint="default" w:ascii="Times New Roman" w:hAnsi="Times New Roman" w:cs="Times New Roman"/>
                <w:kern w:val="0"/>
                <w:sz w:val="24"/>
                <w:szCs w:val="24"/>
              </w:rPr>
            </w:pPr>
            <w:r>
              <w:rPr>
                <w:rFonts w:hint="default" w:ascii="Times New Roman" w:hAnsi="Times New Roman" w:eastAsia="黑体" w:cs="Times New Roman"/>
                <w:color w:val="000000"/>
                <w:kern w:val="0"/>
                <w:sz w:val="24"/>
                <w:szCs w:val="24"/>
              </w:rPr>
              <w:t>分值（分）</w:t>
            </w:r>
          </w:p>
        </w:tc>
        <w:tc>
          <w:tcPr>
            <w:tcW w:w="856" w:type="dxa"/>
            <w:tcBorders>
              <w:top w:val="single" w:color="auto" w:sz="8" w:space="0"/>
            </w:tcBorders>
            <w:vAlign w:val="center"/>
          </w:tcPr>
          <w:p w14:paraId="61E404A3">
            <w:pPr>
              <w:ind w:left="0" w:right="0"/>
              <w:jc w:val="center"/>
              <w:rPr>
                <w:rFonts w:hint="eastAsia" w:ascii="Times New Roman" w:hAnsi="Times New Roman" w:eastAsia="黑体" w:cs="Times New Roman"/>
                <w:color w:val="000000"/>
                <w:kern w:val="0"/>
                <w:sz w:val="24"/>
                <w:szCs w:val="24"/>
                <w:lang w:eastAsia="zh-CN"/>
              </w:rPr>
            </w:pPr>
            <w:r>
              <w:rPr>
                <w:rFonts w:hint="eastAsia" w:ascii="Times New Roman" w:hAnsi="Times New Roman" w:eastAsia="黑体" w:cs="Times New Roman"/>
                <w:color w:val="000000"/>
                <w:kern w:val="0"/>
                <w:sz w:val="24"/>
                <w:szCs w:val="24"/>
                <w:lang w:eastAsia="zh-CN"/>
              </w:rPr>
              <w:t>自评得分</w:t>
            </w:r>
          </w:p>
        </w:tc>
        <w:tc>
          <w:tcPr>
            <w:tcW w:w="869" w:type="dxa"/>
            <w:tcBorders>
              <w:top w:val="single" w:color="auto" w:sz="8" w:space="0"/>
            </w:tcBorders>
            <w:vAlign w:val="center"/>
          </w:tcPr>
          <w:p w14:paraId="34944631">
            <w:pPr>
              <w:ind w:left="0" w:right="0"/>
              <w:jc w:val="center"/>
              <w:rPr>
                <w:rFonts w:hint="default" w:ascii="Times New Roman" w:hAnsi="Times New Roman" w:eastAsia="黑体" w:cs="Times New Roman"/>
                <w:color w:val="000000"/>
                <w:kern w:val="0"/>
                <w:sz w:val="24"/>
                <w:szCs w:val="24"/>
                <w:lang w:val="en-US" w:eastAsia="zh-CN"/>
              </w:rPr>
            </w:pPr>
            <w:r>
              <w:rPr>
                <w:rFonts w:hint="default" w:ascii="Times New Roman" w:hAnsi="Times New Roman" w:eastAsia="黑体" w:cs="Times New Roman"/>
                <w:color w:val="000000"/>
                <w:kern w:val="0"/>
                <w:sz w:val="24"/>
                <w:szCs w:val="24"/>
                <w:lang w:val="en-US" w:eastAsia="zh-CN"/>
              </w:rPr>
              <w:t>自评依据</w:t>
            </w:r>
          </w:p>
        </w:tc>
      </w:tr>
      <w:tr w14:paraId="2B4F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CellSpacing w:w="0" w:type="dxa"/>
          <w:jc w:val="center"/>
        </w:trPr>
        <w:tc>
          <w:tcPr>
            <w:tcW w:w="8635" w:type="dxa"/>
            <w:gridSpan w:val="6"/>
            <w:tcBorders>
              <w:tl2br w:val="nil"/>
              <w:tr2bl w:val="nil"/>
            </w:tcBorders>
            <w:vAlign w:val="center"/>
          </w:tcPr>
          <w:p w14:paraId="12C786BF">
            <w:pPr>
              <w:ind w:left="-111" w:right="-105"/>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一、技术部分（</w:t>
            </w:r>
            <w:r>
              <w:rPr>
                <w:rFonts w:hint="default" w:ascii="Times New Roman" w:hAnsi="Times New Roman" w:eastAsia="黑体" w:cs="Times New Roman"/>
                <w:color w:val="000000"/>
                <w:kern w:val="0"/>
                <w:sz w:val="24"/>
                <w:szCs w:val="24"/>
                <w:lang w:val="en-US" w:eastAsia="zh-CN"/>
              </w:rPr>
              <w:t>40</w:t>
            </w:r>
            <w:r>
              <w:rPr>
                <w:rFonts w:hint="default" w:ascii="Times New Roman" w:hAnsi="Times New Roman" w:eastAsia="黑体" w:cs="Times New Roman"/>
                <w:color w:val="000000"/>
                <w:kern w:val="0"/>
                <w:sz w:val="24"/>
                <w:szCs w:val="24"/>
              </w:rPr>
              <w:t>分）</w:t>
            </w:r>
          </w:p>
        </w:tc>
      </w:tr>
      <w:tr w14:paraId="1AF1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3" w:hRule="atLeast"/>
          <w:tblCellSpacing w:w="0" w:type="dxa"/>
          <w:jc w:val="center"/>
        </w:trPr>
        <w:tc>
          <w:tcPr>
            <w:tcW w:w="896" w:type="dxa"/>
            <w:tcBorders>
              <w:tl2br w:val="nil"/>
              <w:tr2bl w:val="nil"/>
            </w:tcBorders>
            <w:vAlign w:val="center"/>
          </w:tcPr>
          <w:p w14:paraId="08DC6364">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（一）</w:t>
            </w:r>
          </w:p>
        </w:tc>
        <w:tc>
          <w:tcPr>
            <w:tcW w:w="720" w:type="dxa"/>
            <w:tcBorders>
              <w:tl2br w:val="nil"/>
              <w:tr2bl w:val="nil"/>
            </w:tcBorders>
            <w:vAlign w:val="center"/>
          </w:tcPr>
          <w:p w14:paraId="1B8533D4">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实施方案</w:t>
            </w:r>
          </w:p>
        </w:tc>
        <w:tc>
          <w:tcPr>
            <w:tcW w:w="4575" w:type="dxa"/>
            <w:tcBorders>
              <w:tl2br w:val="nil"/>
              <w:tr2bl w:val="nil"/>
            </w:tcBorders>
            <w:vAlign w:val="center"/>
          </w:tcPr>
          <w:p w14:paraId="7143B9DF">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根据供应商针对本项目提供实施方案（包括项目实施计划、组织实施等）进行评审：</w:t>
            </w:r>
          </w:p>
          <w:p w14:paraId="39966034">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项目实施方案完整详细、科学合理、可行性强，有针对性，响应情况满足采购文件要求的，能够对项目实施过程中的难点重点进行充分的理解和分析，符合实际情况，并提出相应对策，有专业性和可行性，得2</w:t>
            </w:r>
            <w:r>
              <w:rPr>
                <w:rFonts w:hint="default" w:ascii="Times New Roman" w:hAnsi="Times New Roman" w:eastAsia="仿宋_GB2312" w:cs="Times New Roman"/>
                <w:color w:val="000000"/>
                <w:kern w:val="0"/>
                <w:sz w:val="24"/>
                <w:szCs w:val="24"/>
                <w:lang w:val="en-US" w:eastAsia="zh-CN"/>
              </w:rPr>
              <w:t>5</w:t>
            </w:r>
            <w:r>
              <w:rPr>
                <w:rFonts w:hint="default" w:ascii="Times New Roman" w:hAnsi="Times New Roman" w:eastAsia="仿宋_GB2312" w:cs="Times New Roman"/>
                <w:color w:val="000000"/>
                <w:kern w:val="0"/>
                <w:sz w:val="24"/>
                <w:szCs w:val="24"/>
              </w:rPr>
              <w:t>分；</w:t>
            </w:r>
          </w:p>
          <w:p w14:paraId="7F271451">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（2）项目实施方案详细、合理、具有一定的可行性，响应情况大部分能满足采购文件要求的，能够对项目实施过程中的难点重点进行基本的理解和分析，但理解不</w:t>
            </w:r>
            <w:r>
              <w:rPr>
                <w:rFonts w:hint="default" w:ascii="Times New Roman" w:hAnsi="Times New Roman" w:eastAsia="仿宋_GB2312" w:cs="Times New Roman"/>
                <w:color w:val="000000"/>
                <w:kern w:val="0"/>
                <w:sz w:val="24"/>
                <w:szCs w:val="24"/>
                <w:lang w:eastAsia="zh-CN"/>
              </w:rPr>
              <w:t>透彻</w:t>
            </w:r>
            <w:r>
              <w:rPr>
                <w:rFonts w:hint="default" w:ascii="Times New Roman" w:hAnsi="Times New Roman" w:eastAsia="仿宋_GB2312" w:cs="Times New Roman"/>
                <w:color w:val="000000"/>
                <w:kern w:val="0"/>
                <w:sz w:val="24"/>
                <w:szCs w:val="24"/>
              </w:rPr>
              <w:t>，提出对策比较专业和可行，得</w:t>
            </w:r>
            <w:r>
              <w:rPr>
                <w:rFonts w:hint="default" w:ascii="Times New Roman" w:hAnsi="Times New Roman" w:eastAsia="仿宋_GB2312" w:cs="Times New Roman"/>
                <w:color w:val="000000"/>
                <w:kern w:val="0"/>
                <w:sz w:val="24"/>
                <w:szCs w:val="24"/>
                <w:lang w:val="en-US" w:eastAsia="zh-CN"/>
              </w:rPr>
              <w:t>20</w:t>
            </w:r>
            <w:r>
              <w:rPr>
                <w:rFonts w:hint="default" w:ascii="Times New Roman" w:hAnsi="Times New Roman" w:eastAsia="仿宋_GB2312" w:cs="Times New Roman"/>
                <w:color w:val="000000"/>
                <w:kern w:val="0"/>
                <w:sz w:val="24"/>
                <w:szCs w:val="24"/>
              </w:rPr>
              <w:t>分；</w:t>
            </w:r>
          </w:p>
          <w:p w14:paraId="2828A392">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（3）项目实施方案完整、但可行性不足，响应情况部分能满足采购文件要求，对项目实施过程中的难点重点理解和分析简单、不深入，提出对策专业性和可行性一般，得</w:t>
            </w:r>
            <w:r>
              <w:rPr>
                <w:rFonts w:hint="default" w:ascii="Times New Roman" w:hAnsi="Times New Roman" w:eastAsia="仿宋_GB2312" w:cs="Times New Roman"/>
                <w:color w:val="000000"/>
                <w:kern w:val="0"/>
                <w:sz w:val="24"/>
                <w:szCs w:val="24"/>
                <w:lang w:val="en-US" w:eastAsia="zh-CN"/>
              </w:rPr>
              <w:t>15</w:t>
            </w:r>
            <w:r>
              <w:rPr>
                <w:rFonts w:hint="default" w:ascii="Times New Roman" w:hAnsi="Times New Roman" w:eastAsia="仿宋_GB2312" w:cs="Times New Roman"/>
                <w:color w:val="000000"/>
                <w:kern w:val="0"/>
                <w:sz w:val="24"/>
                <w:szCs w:val="24"/>
              </w:rPr>
              <w:t>分；</w:t>
            </w:r>
          </w:p>
          <w:p w14:paraId="054561E6">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（4）项目实施方案不详细，响应情况不能满足采购文件要求，对项目实施过程中的难点重点理解和分析不符合实际，提出对策专业性和可行性较差，得</w:t>
            </w:r>
            <w:r>
              <w:rPr>
                <w:rFonts w:hint="default" w:ascii="Times New Roman" w:hAnsi="Times New Roman" w:eastAsia="仿宋_GB2312" w:cs="Times New Roman"/>
                <w:color w:val="000000"/>
                <w:kern w:val="0"/>
                <w:sz w:val="24"/>
                <w:szCs w:val="24"/>
                <w:lang w:val="en-US" w:eastAsia="zh-CN"/>
              </w:rPr>
              <w:t>10</w:t>
            </w:r>
            <w:r>
              <w:rPr>
                <w:rFonts w:hint="default" w:ascii="Times New Roman" w:hAnsi="Times New Roman" w:eastAsia="仿宋_GB2312" w:cs="Times New Roman"/>
                <w:color w:val="000000"/>
                <w:kern w:val="0"/>
                <w:sz w:val="24"/>
                <w:szCs w:val="24"/>
              </w:rPr>
              <w:t>分；</w:t>
            </w:r>
          </w:p>
          <w:p w14:paraId="711BC5A5">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（5）未提交响应内容或其他情况，不得分。</w:t>
            </w:r>
          </w:p>
        </w:tc>
        <w:tc>
          <w:tcPr>
            <w:tcW w:w="719" w:type="dxa"/>
            <w:tcBorders>
              <w:tl2br w:val="nil"/>
              <w:tr2bl w:val="nil"/>
            </w:tcBorders>
            <w:vAlign w:val="center"/>
          </w:tcPr>
          <w:p w14:paraId="50256EE8">
            <w:pPr>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25</w:t>
            </w:r>
          </w:p>
        </w:tc>
        <w:tc>
          <w:tcPr>
            <w:tcW w:w="856" w:type="dxa"/>
            <w:tcBorders>
              <w:tl2br w:val="nil"/>
              <w:tr2bl w:val="nil"/>
            </w:tcBorders>
            <w:vAlign w:val="center"/>
          </w:tcPr>
          <w:p w14:paraId="5ECD45A9">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08E68DF2">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25971B63">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869" w:type="dxa"/>
            <w:tcBorders>
              <w:tl2br w:val="nil"/>
              <w:tr2bl w:val="nil"/>
            </w:tcBorders>
            <w:vAlign w:val="center"/>
          </w:tcPr>
          <w:p w14:paraId="63E2A924">
            <w:pPr>
              <w:jc w:val="center"/>
              <w:rPr>
                <w:rFonts w:hint="default" w:ascii="Times New Roman" w:hAnsi="Times New Roman" w:cs="Times New Roman"/>
                <w:kern w:val="0"/>
                <w:sz w:val="24"/>
                <w:szCs w:val="24"/>
              </w:rPr>
            </w:pPr>
          </w:p>
        </w:tc>
      </w:tr>
      <w:tr w14:paraId="578F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blCellSpacing w:w="0" w:type="dxa"/>
          <w:jc w:val="center"/>
        </w:trPr>
        <w:tc>
          <w:tcPr>
            <w:tcW w:w="896" w:type="dxa"/>
            <w:tcBorders>
              <w:tl2br w:val="nil"/>
              <w:tr2bl w:val="nil"/>
            </w:tcBorders>
            <w:vAlign w:val="center"/>
          </w:tcPr>
          <w:p w14:paraId="645C433C">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（二）</w:t>
            </w:r>
          </w:p>
        </w:tc>
        <w:tc>
          <w:tcPr>
            <w:tcW w:w="720" w:type="dxa"/>
            <w:tcBorders>
              <w:tl2br w:val="nil"/>
              <w:tr2bl w:val="nil"/>
            </w:tcBorders>
            <w:vAlign w:val="center"/>
          </w:tcPr>
          <w:p w14:paraId="7BF56EED">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质量保障措施</w:t>
            </w:r>
          </w:p>
        </w:tc>
        <w:tc>
          <w:tcPr>
            <w:tcW w:w="4575" w:type="dxa"/>
            <w:tcBorders>
              <w:tl2br w:val="nil"/>
              <w:tr2bl w:val="nil"/>
            </w:tcBorders>
            <w:vAlign w:val="center"/>
          </w:tcPr>
          <w:p w14:paraId="646BE1F1">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根据供应商提供的质量保障措施进行评审：</w:t>
            </w:r>
          </w:p>
          <w:p w14:paraId="58D63A1D">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（1）质量保障措施详细、合理，具有针对性，可操作性强，得15分；</w:t>
            </w:r>
          </w:p>
          <w:p w14:paraId="3AA24CCC">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（2）质量保障措施基本完善，可操作性有所欠缺，得11分；</w:t>
            </w:r>
          </w:p>
          <w:p w14:paraId="52DC3C40">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（3）质量保障措施较完善，缺乏可操作性，得7分；</w:t>
            </w:r>
          </w:p>
          <w:p w14:paraId="0A54A3DD">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（4）质量保障措施不完善，且不具有操作性，得2分；</w:t>
            </w:r>
          </w:p>
          <w:p w14:paraId="2BFDE6B5">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（5）质量保障措施可行性差或无提供，均不得分。</w:t>
            </w:r>
          </w:p>
        </w:tc>
        <w:tc>
          <w:tcPr>
            <w:tcW w:w="719" w:type="dxa"/>
            <w:tcBorders>
              <w:tl2br w:val="nil"/>
              <w:tr2bl w:val="nil"/>
            </w:tcBorders>
            <w:vAlign w:val="center"/>
          </w:tcPr>
          <w:p w14:paraId="3A50836E">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w:t>
            </w:r>
          </w:p>
        </w:tc>
        <w:tc>
          <w:tcPr>
            <w:tcW w:w="856" w:type="dxa"/>
            <w:tcBorders>
              <w:tl2br w:val="nil"/>
              <w:tr2bl w:val="nil"/>
            </w:tcBorders>
            <w:vAlign w:val="center"/>
          </w:tcPr>
          <w:p w14:paraId="5E841787">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24801CB2">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6189E2D7">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869" w:type="dxa"/>
            <w:tcBorders>
              <w:tl2br w:val="nil"/>
              <w:tr2bl w:val="nil"/>
            </w:tcBorders>
            <w:vAlign w:val="center"/>
          </w:tcPr>
          <w:p w14:paraId="41042060">
            <w:pPr>
              <w:jc w:val="center"/>
              <w:rPr>
                <w:rFonts w:hint="default" w:ascii="Times New Roman" w:hAnsi="Times New Roman" w:cs="Times New Roman"/>
                <w:kern w:val="0"/>
                <w:sz w:val="24"/>
                <w:szCs w:val="24"/>
              </w:rPr>
            </w:pPr>
          </w:p>
        </w:tc>
      </w:tr>
      <w:tr w14:paraId="5698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CellSpacing w:w="0" w:type="dxa"/>
          <w:jc w:val="center"/>
        </w:trPr>
        <w:tc>
          <w:tcPr>
            <w:tcW w:w="8635" w:type="dxa"/>
            <w:gridSpan w:val="6"/>
            <w:tcBorders>
              <w:tl2br w:val="nil"/>
              <w:tr2bl w:val="nil"/>
            </w:tcBorders>
            <w:vAlign w:val="center"/>
          </w:tcPr>
          <w:p w14:paraId="0F354BE6">
            <w:pPr>
              <w:ind w:left="-111" w:right="-105"/>
              <w:rPr>
                <w:rFonts w:hint="default" w:ascii="Times New Roman" w:hAnsi="Times New Roman" w:eastAsia="仿宋_GB2312" w:cs="Times New Roman"/>
                <w:color w:val="000000"/>
                <w:kern w:val="0"/>
                <w:sz w:val="24"/>
                <w:szCs w:val="24"/>
              </w:rPr>
            </w:pPr>
            <w:r>
              <w:rPr>
                <w:rFonts w:hint="default" w:ascii="Times New Roman" w:hAnsi="Times New Roman" w:eastAsia="黑体" w:cs="Times New Roman"/>
                <w:color w:val="000000"/>
                <w:kern w:val="0"/>
                <w:sz w:val="24"/>
                <w:szCs w:val="24"/>
              </w:rPr>
              <w:t>二、商务部分（50分）</w:t>
            </w:r>
          </w:p>
        </w:tc>
      </w:tr>
      <w:tr w14:paraId="082F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blCellSpacing w:w="0" w:type="dxa"/>
          <w:jc w:val="center"/>
        </w:trPr>
        <w:tc>
          <w:tcPr>
            <w:tcW w:w="896" w:type="dxa"/>
            <w:tcBorders>
              <w:tl2br w:val="nil"/>
              <w:tr2bl w:val="nil"/>
            </w:tcBorders>
            <w:vAlign w:val="center"/>
          </w:tcPr>
          <w:p w14:paraId="35C3A0E7">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（三）</w:t>
            </w:r>
          </w:p>
        </w:tc>
        <w:tc>
          <w:tcPr>
            <w:tcW w:w="720" w:type="dxa"/>
            <w:tcBorders>
              <w:tl2br w:val="nil"/>
              <w:tr2bl w:val="nil"/>
            </w:tcBorders>
            <w:vAlign w:val="center"/>
          </w:tcPr>
          <w:p w14:paraId="2850F863">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项目业绩</w:t>
            </w:r>
          </w:p>
        </w:tc>
        <w:tc>
          <w:tcPr>
            <w:tcW w:w="4575" w:type="dxa"/>
            <w:tcBorders>
              <w:tl2br w:val="nil"/>
              <w:tr2bl w:val="nil"/>
            </w:tcBorders>
            <w:vAlign w:val="center"/>
          </w:tcPr>
          <w:p w14:paraId="4A374716">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根据供应商202</w:t>
            </w:r>
            <w:r>
              <w:rPr>
                <w:rFonts w:hint="default" w:ascii="Times New Roman" w:hAnsi="Times New Roman" w:eastAsia="仿宋_GB2312" w:cs="Times New Roman"/>
                <w:color w:val="000000"/>
                <w:kern w:val="0"/>
                <w:sz w:val="24"/>
                <w:szCs w:val="24"/>
                <w:lang w:val="en-US"/>
              </w:rPr>
              <w:t>3</w:t>
            </w:r>
            <w:r>
              <w:rPr>
                <w:rFonts w:hint="default" w:ascii="Times New Roman" w:hAnsi="Times New Roman" w:eastAsia="仿宋_GB2312" w:cs="Times New Roman"/>
                <w:color w:val="000000"/>
                <w:kern w:val="0"/>
                <w:sz w:val="24"/>
                <w:szCs w:val="24"/>
              </w:rPr>
              <w:t>年1月1日以来承担过</w:t>
            </w:r>
            <w:r>
              <w:rPr>
                <w:rFonts w:hint="default" w:ascii="Times New Roman" w:hAnsi="Times New Roman" w:eastAsia="仿宋_GB2312" w:cs="Times New Roman"/>
                <w:color w:val="000000"/>
                <w:kern w:val="0"/>
                <w:sz w:val="24"/>
                <w:szCs w:val="24"/>
                <w:lang w:val="en-US" w:eastAsia="zh-CN"/>
              </w:rPr>
              <w:t>同类型的环保项目业绩</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与</w:t>
            </w:r>
            <w:r>
              <w:rPr>
                <w:rFonts w:hint="default" w:ascii="Times New Roman" w:hAnsi="Times New Roman" w:eastAsia="仿宋_GB2312" w:cs="Times New Roman"/>
                <w:color w:val="000000"/>
                <w:kern w:val="0"/>
                <w:sz w:val="24"/>
                <w:szCs w:val="24"/>
              </w:rPr>
              <w:t>现场核查</w:t>
            </w:r>
            <w:r>
              <w:rPr>
                <w:rFonts w:hint="default" w:ascii="Times New Roman" w:hAnsi="Times New Roman" w:eastAsia="仿宋_GB2312" w:cs="Times New Roman"/>
                <w:color w:val="000000"/>
                <w:kern w:val="0"/>
                <w:sz w:val="24"/>
                <w:szCs w:val="24"/>
                <w:lang w:val="en-US" w:eastAsia="zh-CN"/>
              </w:rPr>
              <w:t>/巡查</w:t>
            </w:r>
            <w:r>
              <w:rPr>
                <w:rFonts w:hint="default" w:ascii="Times New Roman" w:hAnsi="Times New Roman" w:eastAsia="仿宋_GB2312" w:cs="Times New Roman"/>
                <w:color w:val="000000"/>
                <w:kern w:val="0"/>
                <w:sz w:val="24"/>
                <w:szCs w:val="24"/>
              </w:rPr>
              <w:t>或与无人机</w:t>
            </w:r>
            <w:r>
              <w:rPr>
                <w:rFonts w:hint="default" w:ascii="Times New Roman" w:hAnsi="Times New Roman" w:eastAsia="仿宋_GB2312" w:cs="Times New Roman"/>
                <w:color w:val="000000"/>
                <w:kern w:val="0"/>
                <w:sz w:val="24"/>
                <w:szCs w:val="24"/>
                <w:lang w:val="en-US" w:eastAsia="zh-CN"/>
              </w:rPr>
              <w:t>航拍</w:t>
            </w:r>
            <w:r>
              <w:rPr>
                <w:rFonts w:hint="default" w:ascii="Times New Roman" w:hAnsi="Times New Roman" w:eastAsia="仿宋_GB2312" w:cs="Times New Roman"/>
                <w:color w:val="000000"/>
                <w:kern w:val="0"/>
                <w:sz w:val="24"/>
                <w:szCs w:val="24"/>
              </w:rPr>
              <w:t>相关</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，每提供一个得</w:t>
            </w:r>
            <w:r>
              <w:rPr>
                <w:rFonts w:hint="default" w:ascii="Times New Roman" w:hAnsi="Times New Roman" w:eastAsia="仿宋_GB2312" w:cs="Times New Roman"/>
                <w:color w:val="000000"/>
                <w:kern w:val="0"/>
                <w:sz w:val="24"/>
                <w:szCs w:val="24"/>
                <w:lang w:val="en-US" w:eastAsia="zh-CN"/>
              </w:rPr>
              <w:t>4</w:t>
            </w:r>
            <w:r>
              <w:rPr>
                <w:rFonts w:hint="default" w:ascii="Times New Roman" w:hAnsi="Times New Roman" w:eastAsia="仿宋_GB2312" w:cs="Times New Roman"/>
                <w:color w:val="000000"/>
                <w:kern w:val="0"/>
                <w:sz w:val="24"/>
                <w:szCs w:val="24"/>
              </w:rPr>
              <w:t>分，本项最高得2</w:t>
            </w:r>
            <w:r>
              <w:rPr>
                <w:rFonts w:hint="default" w:ascii="Times New Roman" w:hAnsi="Times New Roman" w:eastAsia="仿宋_GB2312" w:cs="Times New Roman"/>
                <w:color w:val="000000"/>
                <w:kern w:val="0"/>
                <w:sz w:val="24"/>
                <w:szCs w:val="24"/>
                <w:lang w:val="en-US" w:eastAsia="zh-CN"/>
              </w:rPr>
              <w:t>0</w:t>
            </w:r>
            <w:r>
              <w:rPr>
                <w:rFonts w:hint="default" w:ascii="Times New Roman" w:hAnsi="Times New Roman" w:eastAsia="仿宋_GB2312" w:cs="Times New Roman"/>
                <w:color w:val="000000"/>
                <w:kern w:val="0"/>
                <w:sz w:val="24"/>
                <w:szCs w:val="24"/>
              </w:rPr>
              <w:t>分；</w:t>
            </w:r>
          </w:p>
          <w:p w14:paraId="72577B61">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注:①须提供项目合同关键页复印件或其他相关证明材料并加盖供应商公章,提供不全或未提供不得分。</w:t>
            </w:r>
          </w:p>
          <w:p w14:paraId="4098C2EC">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②同一份合同只计分一次，不重复计分。</w:t>
            </w:r>
          </w:p>
        </w:tc>
        <w:tc>
          <w:tcPr>
            <w:tcW w:w="719" w:type="dxa"/>
            <w:tcBorders>
              <w:tl2br w:val="nil"/>
              <w:tr2bl w:val="nil"/>
            </w:tcBorders>
            <w:vAlign w:val="center"/>
          </w:tcPr>
          <w:p w14:paraId="008B6B4C">
            <w:pPr>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2</w:t>
            </w:r>
            <w:r>
              <w:rPr>
                <w:rFonts w:hint="default" w:ascii="Times New Roman" w:hAnsi="Times New Roman" w:eastAsia="仿宋_GB2312" w:cs="Times New Roman"/>
                <w:color w:val="000000"/>
                <w:kern w:val="0"/>
                <w:sz w:val="24"/>
                <w:szCs w:val="24"/>
                <w:lang w:val="en-US" w:eastAsia="zh-CN"/>
              </w:rPr>
              <w:t>0</w:t>
            </w:r>
          </w:p>
        </w:tc>
        <w:tc>
          <w:tcPr>
            <w:tcW w:w="856" w:type="dxa"/>
            <w:tcBorders>
              <w:tl2br w:val="nil"/>
              <w:tr2bl w:val="nil"/>
            </w:tcBorders>
            <w:vAlign w:val="center"/>
          </w:tcPr>
          <w:p w14:paraId="12B49625">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79C35BA0">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6FB5C386">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869" w:type="dxa"/>
            <w:tcBorders>
              <w:tl2br w:val="nil"/>
              <w:tr2bl w:val="nil"/>
            </w:tcBorders>
            <w:vAlign w:val="center"/>
          </w:tcPr>
          <w:p w14:paraId="27AB6E59">
            <w:pPr>
              <w:ind w:left="-111" w:right="-105"/>
              <w:jc w:val="center"/>
              <w:rPr>
                <w:rFonts w:hint="default" w:ascii="Times New Roman" w:hAnsi="Times New Roman" w:cs="Times New Roman"/>
                <w:kern w:val="0"/>
                <w:sz w:val="24"/>
                <w:szCs w:val="24"/>
              </w:rPr>
            </w:pPr>
          </w:p>
        </w:tc>
      </w:tr>
      <w:tr w14:paraId="64E6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blCellSpacing w:w="0" w:type="dxa"/>
          <w:jc w:val="center"/>
        </w:trPr>
        <w:tc>
          <w:tcPr>
            <w:tcW w:w="896" w:type="dxa"/>
            <w:tcBorders>
              <w:tl2br w:val="nil"/>
              <w:tr2bl w:val="nil"/>
            </w:tcBorders>
            <w:vAlign w:val="center"/>
          </w:tcPr>
          <w:p w14:paraId="1FB1A283">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四</w:t>
            </w:r>
            <w:r>
              <w:rPr>
                <w:rFonts w:hint="default" w:ascii="Times New Roman" w:hAnsi="Times New Roman" w:eastAsia="仿宋_GB2312" w:cs="Times New Roman"/>
                <w:color w:val="000000"/>
                <w:kern w:val="0"/>
                <w:sz w:val="24"/>
                <w:szCs w:val="24"/>
              </w:rPr>
              <w:t>）</w:t>
            </w:r>
          </w:p>
        </w:tc>
        <w:tc>
          <w:tcPr>
            <w:tcW w:w="720" w:type="dxa"/>
            <w:tcBorders>
              <w:tl2br w:val="nil"/>
              <w:tr2bl w:val="nil"/>
            </w:tcBorders>
            <w:vAlign w:val="center"/>
          </w:tcPr>
          <w:p w14:paraId="6D0C9AFE">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团队实力</w:t>
            </w:r>
          </w:p>
        </w:tc>
        <w:tc>
          <w:tcPr>
            <w:tcW w:w="4575" w:type="dxa"/>
            <w:tcBorders>
              <w:tl2br w:val="nil"/>
              <w:tr2bl w:val="nil"/>
            </w:tcBorders>
            <w:vAlign w:val="center"/>
          </w:tcPr>
          <w:p w14:paraId="1B00B842">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rPr>
              <w:t>项目负责人具有环保或相关专业高级职称的得</w:t>
            </w:r>
            <w:r>
              <w:rPr>
                <w:rFonts w:hint="default" w:ascii="Times New Roman" w:hAnsi="Times New Roman" w:eastAsia="仿宋_GB2312" w:cs="Times New Roman"/>
                <w:color w:val="000000"/>
                <w:kern w:val="0"/>
                <w:sz w:val="24"/>
                <w:szCs w:val="24"/>
                <w:lang w:val="en-US" w:eastAsia="zh-CN"/>
              </w:rPr>
              <w:t>5</w:t>
            </w:r>
            <w:r>
              <w:rPr>
                <w:rFonts w:hint="default" w:ascii="Times New Roman" w:hAnsi="Times New Roman" w:eastAsia="仿宋_GB2312" w:cs="Times New Roman"/>
                <w:color w:val="000000"/>
                <w:kern w:val="0"/>
                <w:sz w:val="24"/>
                <w:szCs w:val="24"/>
              </w:rPr>
              <w:t>分，具有环保相关专业中级职称的得</w:t>
            </w:r>
            <w:r>
              <w:rPr>
                <w:rFonts w:hint="default"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分，具有环保相关专业初级职称的得</w:t>
            </w:r>
            <w:r>
              <w:rPr>
                <w:rFonts w:hint="default"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rPr>
              <w:t>分，其余不得分。</w:t>
            </w:r>
          </w:p>
          <w:p w14:paraId="1AC6A70D">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p w14:paraId="7852F83A">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2.</w:t>
            </w:r>
            <w:r>
              <w:rPr>
                <w:rFonts w:hint="default" w:ascii="Times New Roman" w:hAnsi="Times New Roman" w:eastAsia="仿宋_GB2312" w:cs="Times New Roman"/>
                <w:color w:val="000000"/>
                <w:kern w:val="0"/>
                <w:sz w:val="24"/>
                <w:szCs w:val="24"/>
              </w:rPr>
              <w:t>除项目负责人外的团队人员：具备环保或相关专业高级及以上技术职称的，每1人得3分；具有环保或相关专业中级职称的，每1人得2分；具有环保或相关专业初级职称的，每1人得1分；否则不得分。</w:t>
            </w:r>
          </w:p>
          <w:p w14:paraId="715A5DD7">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注：上述合计最高得1</w:t>
            </w:r>
            <w:r>
              <w:rPr>
                <w:rFonts w:hint="default" w:ascii="Times New Roman" w:hAnsi="Times New Roman" w:eastAsia="仿宋_GB2312" w:cs="Times New Roman"/>
                <w:color w:val="000000"/>
                <w:kern w:val="0"/>
                <w:sz w:val="24"/>
                <w:szCs w:val="24"/>
                <w:lang w:val="en-US" w:eastAsia="zh-CN"/>
              </w:rPr>
              <w:t>5</w:t>
            </w:r>
            <w:r>
              <w:rPr>
                <w:rFonts w:hint="default" w:ascii="Times New Roman" w:hAnsi="Times New Roman" w:eastAsia="仿宋_GB2312" w:cs="Times New Roman"/>
                <w:color w:val="000000"/>
                <w:kern w:val="0"/>
                <w:sz w:val="24"/>
                <w:szCs w:val="24"/>
              </w:rPr>
              <w:t>分，同一人员具备多个不同等级职称的，不重复计算得分。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719" w:type="dxa"/>
            <w:tcBorders>
              <w:tl2br w:val="nil"/>
              <w:tr2bl w:val="nil"/>
            </w:tcBorders>
            <w:vAlign w:val="center"/>
          </w:tcPr>
          <w:p w14:paraId="1F2D49E6">
            <w:pPr>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20</w:t>
            </w:r>
          </w:p>
        </w:tc>
        <w:tc>
          <w:tcPr>
            <w:tcW w:w="856" w:type="dxa"/>
            <w:tcBorders>
              <w:tl2br w:val="nil"/>
              <w:tr2bl w:val="nil"/>
            </w:tcBorders>
            <w:vAlign w:val="center"/>
          </w:tcPr>
          <w:p w14:paraId="52E1151B">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0D065185">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31031D6F">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869" w:type="dxa"/>
            <w:tcBorders>
              <w:tl2br w:val="nil"/>
              <w:tr2bl w:val="nil"/>
            </w:tcBorders>
            <w:vAlign w:val="center"/>
          </w:tcPr>
          <w:p w14:paraId="7AFD6B5B">
            <w:pPr>
              <w:ind w:left="-111" w:right="-105"/>
              <w:jc w:val="center"/>
              <w:rPr>
                <w:rFonts w:hint="default" w:ascii="Times New Roman" w:hAnsi="Times New Roman" w:cs="Times New Roman"/>
                <w:kern w:val="0"/>
                <w:sz w:val="24"/>
                <w:szCs w:val="24"/>
              </w:rPr>
            </w:pPr>
          </w:p>
        </w:tc>
      </w:tr>
      <w:tr w14:paraId="0C8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blCellSpacing w:w="0" w:type="dxa"/>
          <w:jc w:val="center"/>
        </w:trPr>
        <w:tc>
          <w:tcPr>
            <w:tcW w:w="896" w:type="dxa"/>
            <w:tcBorders>
              <w:tl2br w:val="nil"/>
              <w:tr2bl w:val="nil"/>
            </w:tcBorders>
            <w:vAlign w:val="center"/>
          </w:tcPr>
          <w:p w14:paraId="2A7207BA">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五</w:t>
            </w:r>
            <w:r>
              <w:rPr>
                <w:rFonts w:hint="default" w:ascii="Times New Roman" w:hAnsi="Times New Roman" w:eastAsia="仿宋_GB2312" w:cs="Times New Roman"/>
                <w:color w:val="000000"/>
                <w:kern w:val="0"/>
                <w:sz w:val="24"/>
                <w:szCs w:val="24"/>
              </w:rPr>
              <w:t>）</w:t>
            </w:r>
          </w:p>
        </w:tc>
        <w:tc>
          <w:tcPr>
            <w:tcW w:w="720" w:type="dxa"/>
            <w:tcBorders>
              <w:tl2br w:val="nil"/>
              <w:tr2bl w:val="nil"/>
            </w:tcBorders>
            <w:vAlign w:val="center"/>
          </w:tcPr>
          <w:p w14:paraId="7F37E63C">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综合实力</w:t>
            </w:r>
          </w:p>
        </w:tc>
        <w:tc>
          <w:tcPr>
            <w:tcW w:w="4575" w:type="dxa"/>
            <w:tcBorders>
              <w:tl2br w:val="nil"/>
              <w:tr2bl w:val="nil"/>
            </w:tcBorders>
            <w:vAlign w:val="center"/>
          </w:tcPr>
          <w:p w14:paraId="7A0F57A8">
            <w:pP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拟投入无人机设备1台，得2分。</w:t>
            </w:r>
            <w:r>
              <w:rPr>
                <w:rFonts w:hint="default" w:ascii="Times New Roman" w:hAnsi="Times New Roman" w:eastAsia="仿宋_GB2312" w:cs="Times New Roman"/>
                <w:color w:val="000000"/>
                <w:kern w:val="0"/>
                <w:sz w:val="24"/>
                <w:szCs w:val="24"/>
              </w:rPr>
              <w:t>本项最高得</w:t>
            </w:r>
            <w:r>
              <w:rPr>
                <w:rFonts w:hint="default" w:ascii="Times New Roman" w:hAnsi="Times New Roman" w:eastAsia="仿宋_GB2312" w:cs="Times New Roman"/>
                <w:color w:val="000000"/>
                <w:kern w:val="0"/>
                <w:sz w:val="24"/>
                <w:szCs w:val="24"/>
                <w:lang w:val="en-US" w:eastAsia="zh-CN"/>
              </w:rPr>
              <w:t>4</w:t>
            </w:r>
            <w:r>
              <w:rPr>
                <w:rFonts w:hint="default" w:ascii="Times New Roman" w:hAnsi="Times New Roman" w:eastAsia="仿宋_GB2312" w:cs="Times New Roman"/>
                <w:color w:val="000000"/>
                <w:kern w:val="0"/>
                <w:sz w:val="24"/>
                <w:szCs w:val="24"/>
              </w:rPr>
              <w:t>分。</w:t>
            </w:r>
          </w:p>
          <w:p w14:paraId="1DB8964F">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投入航拍人员中，具备民用无人机驾驶员合格证的，每提供一个得</w:t>
            </w:r>
            <w:r>
              <w:rPr>
                <w:rFonts w:hint="default"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分。本项最高得</w:t>
            </w:r>
            <w:r>
              <w:rPr>
                <w:rFonts w:hint="default" w:ascii="Times New Roman" w:hAnsi="Times New Roman" w:eastAsia="仿宋_GB2312" w:cs="Times New Roman"/>
                <w:color w:val="000000"/>
                <w:kern w:val="0"/>
                <w:sz w:val="24"/>
                <w:szCs w:val="24"/>
                <w:lang w:val="en-US" w:eastAsia="zh-CN"/>
              </w:rPr>
              <w:t>6</w:t>
            </w:r>
            <w:r>
              <w:rPr>
                <w:rFonts w:hint="default" w:ascii="Times New Roman" w:hAnsi="Times New Roman" w:eastAsia="仿宋_GB2312" w:cs="Times New Roman"/>
                <w:color w:val="000000"/>
                <w:kern w:val="0"/>
                <w:sz w:val="24"/>
                <w:szCs w:val="24"/>
              </w:rPr>
              <w:t>分。</w:t>
            </w:r>
          </w:p>
          <w:p w14:paraId="16927A34">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注：1、须提供上述人员相关合格证复印件、以及上述人员与供应商签订的劳务合同复印件或由社保机构或税务部门出具的在本项目投标截止日前6个月内任意1个月的由</w:t>
            </w:r>
            <w:r>
              <w:rPr>
                <w:rFonts w:hint="default" w:ascii="Times New Roman" w:hAnsi="Times New Roman" w:eastAsia="仿宋_GB2312" w:cs="Times New Roman"/>
                <w:color w:val="000000"/>
                <w:kern w:val="0"/>
                <w:sz w:val="24"/>
                <w:szCs w:val="24"/>
                <w:lang w:eastAsia="zh-CN"/>
              </w:rPr>
              <w:t>供应商</w:t>
            </w:r>
            <w:r>
              <w:rPr>
                <w:rFonts w:hint="default" w:ascii="Times New Roman" w:hAnsi="Times New Roman" w:eastAsia="仿宋_GB2312" w:cs="Times New Roman"/>
                <w:color w:val="000000"/>
                <w:kern w:val="0"/>
                <w:sz w:val="24"/>
                <w:szCs w:val="24"/>
              </w:rPr>
              <w:t>为其购买的社保证明并加盖</w:t>
            </w:r>
            <w:r>
              <w:rPr>
                <w:rFonts w:hint="default" w:ascii="Times New Roman" w:hAnsi="Times New Roman" w:eastAsia="仿宋_GB2312" w:cs="Times New Roman"/>
                <w:color w:val="000000"/>
                <w:kern w:val="0"/>
                <w:sz w:val="24"/>
                <w:szCs w:val="24"/>
                <w:lang w:eastAsia="zh-CN"/>
              </w:rPr>
              <w:t>供应商</w:t>
            </w:r>
            <w:r>
              <w:rPr>
                <w:rFonts w:hint="default" w:ascii="Times New Roman" w:hAnsi="Times New Roman" w:eastAsia="仿宋_GB2312" w:cs="Times New Roman"/>
                <w:color w:val="000000"/>
                <w:kern w:val="0"/>
                <w:sz w:val="24"/>
                <w:szCs w:val="24"/>
              </w:rPr>
              <w:t>单位公章，无或缺项或未按要求递交证明材料的不得分；2、无人机为</w:t>
            </w:r>
            <w:r>
              <w:rPr>
                <w:rFonts w:hint="default" w:ascii="Times New Roman" w:hAnsi="Times New Roman" w:eastAsia="仿宋_GB2312" w:cs="Times New Roman"/>
                <w:color w:val="000000"/>
                <w:kern w:val="0"/>
                <w:sz w:val="24"/>
                <w:szCs w:val="24"/>
                <w:lang w:eastAsia="zh-CN"/>
              </w:rPr>
              <w:t>供应商</w:t>
            </w:r>
            <w:r>
              <w:rPr>
                <w:rFonts w:hint="default" w:ascii="Times New Roman" w:hAnsi="Times New Roman" w:eastAsia="仿宋_GB2312" w:cs="Times New Roman"/>
                <w:color w:val="000000"/>
                <w:kern w:val="0"/>
                <w:sz w:val="24"/>
                <w:szCs w:val="24"/>
              </w:rPr>
              <w:t>自有的，需提供购买发票复印件；若非自有的，需提供租赁合同复印件（租赁期需覆盖本项目服务期）。不提供或无法认定或欠缺的不得分。</w:t>
            </w:r>
          </w:p>
        </w:tc>
        <w:tc>
          <w:tcPr>
            <w:tcW w:w="719" w:type="dxa"/>
            <w:tcBorders>
              <w:tl2br w:val="nil"/>
              <w:tr2bl w:val="nil"/>
            </w:tcBorders>
            <w:vAlign w:val="center"/>
          </w:tcPr>
          <w:p w14:paraId="2B7307CB">
            <w:pPr>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10</w:t>
            </w:r>
          </w:p>
        </w:tc>
        <w:tc>
          <w:tcPr>
            <w:tcW w:w="856" w:type="dxa"/>
            <w:tcBorders>
              <w:tl2br w:val="nil"/>
              <w:tr2bl w:val="nil"/>
            </w:tcBorders>
            <w:vAlign w:val="center"/>
          </w:tcPr>
          <w:p w14:paraId="6B7FA6B9">
            <w:pPr>
              <w:ind w:left="-111" w:right="-105"/>
              <w:jc w:val="center"/>
              <w:rPr>
                <w:rFonts w:hint="default" w:ascii="Times New Roman" w:hAnsi="Times New Roman" w:cs="Times New Roman"/>
                <w:kern w:val="0"/>
                <w:sz w:val="24"/>
                <w:szCs w:val="24"/>
              </w:rPr>
            </w:pPr>
          </w:p>
        </w:tc>
        <w:tc>
          <w:tcPr>
            <w:tcW w:w="869" w:type="dxa"/>
            <w:tcBorders>
              <w:tl2br w:val="nil"/>
              <w:tr2bl w:val="nil"/>
            </w:tcBorders>
            <w:vAlign w:val="center"/>
          </w:tcPr>
          <w:p w14:paraId="0312B9F1">
            <w:pPr>
              <w:ind w:left="-111" w:right="-105"/>
              <w:jc w:val="center"/>
              <w:rPr>
                <w:rFonts w:hint="default" w:ascii="Times New Roman" w:hAnsi="Times New Roman" w:cs="Times New Roman"/>
                <w:kern w:val="0"/>
                <w:sz w:val="24"/>
                <w:szCs w:val="24"/>
              </w:rPr>
            </w:pPr>
          </w:p>
        </w:tc>
      </w:tr>
      <w:tr w14:paraId="04E5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CellSpacing w:w="0" w:type="dxa"/>
          <w:jc w:val="center"/>
        </w:trPr>
        <w:tc>
          <w:tcPr>
            <w:tcW w:w="8635" w:type="dxa"/>
            <w:gridSpan w:val="6"/>
            <w:tcBorders>
              <w:tl2br w:val="nil"/>
              <w:tr2bl w:val="nil"/>
            </w:tcBorders>
            <w:vAlign w:val="center"/>
          </w:tcPr>
          <w:p w14:paraId="342A58D6">
            <w:pPr>
              <w:jc w:val="left"/>
              <w:rPr>
                <w:rFonts w:hint="default" w:ascii="Times New Roman" w:hAnsi="Times New Roman" w:eastAsia="仿宋_GB2312" w:cs="Times New Roman"/>
                <w:color w:val="000000"/>
                <w:kern w:val="0"/>
                <w:sz w:val="24"/>
                <w:szCs w:val="24"/>
              </w:rPr>
            </w:pPr>
            <w:r>
              <w:rPr>
                <w:rFonts w:hint="default" w:ascii="Times New Roman" w:hAnsi="Times New Roman" w:eastAsia="黑体" w:cs="Times New Roman"/>
                <w:color w:val="000000"/>
                <w:kern w:val="0"/>
                <w:sz w:val="24"/>
                <w:szCs w:val="24"/>
              </w:rPr>
              <w:t>三、价格部分（1</w:t>
            </w:r>
            <w:r>
              <w:rPr>
                <w:rFonts w:hint="default" w:ascii="Times New Roman" w:hAnsi="Times New Roman" w:eastAsia="黑体" w:cs="Times New Roman"/>
                <w:color w:val="000000"/>
                <w:kern w:val="0"/>
                <w:sz w:val="24"/>
                <w:szCs w:val="24"/>
                <w:lang w:val="en-US" w:eastAsia="zh-CN"/>
              </w:rPr>
              <w:t>0</w:t>
            </w:r>
            <w:r>
              <w:rPr>
                <w:rFonts w:hint="default" w:ascii="Times New Roman" w:hAnsi="Times New Roman" w:eastAsia="黑体" w:cs="Times New Roman"/>
                <w:color w:val="000000"/>
                <w:kern w:val="0"/>
                <w:sz w:val="24"/>
                <w:szCs w:val="24"/>
              </w:rPr>
              <w:t>分）</w:t>
            </w:r>
          </w:p>
        </w:tc>
      </w:tr>
      <w:tr w14:paraId="7EEE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blCellSpacing w:w="0" w:type="dxa"/>
          <w:jc w:val="center"/>
        </w:trPr>
        <w:tc>
          <w:tcPr>
            <w:tcW w:w="896" w:type="dxa"/>
            <w:tcBorders>
              <w:tl2br w:val="nil"/>
              <w:tr2bl w:val="nil"/>
            </w:tcBorders>
            <w:vAlign w:val="center"/>
          </w:tcPr>
          <w:p w14:paraId="3E3606E0">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六</w:t>
            </w:r>
            <w:r>
              <w:rPr>
                <w:rFonts w:hint="default" w:ascii="Times New Roman" w:hAnsi="Times New Roman" w:eastAsia="仿宋_GB2312" w:cs="Times New Roman"/>
                <w:color w:val="000000"/>
                <w:kern w:val="0"/>
                <w:sz w:val="24"/>
                <w:szCs w:val="24"/>
              </w:rPr>
              <w:t>）</w:t>
            </w:r>
          </w:p>
        </w:tc>
        <w:tc>
          <w:tcPr>
            <w:tcW w:w="720" w:type="dxa"/>
            <w:tcBorders>
              <w:tl2br w:val="nil"/>
              <w:tr2bl w:val="nil"/>
            </w:tcBorders>
            <w:vAlign w:val="center"/>
          </w:tcPr>
          <w:p w14:paraId="1D5660D4">
            <w:pPr>
              <w:jc w:val="center"/>
              <w:rPr>
                <w:rFonts w:hint="default" w:ascii="Times New Roman" w:hAnsi="Times New Roman" w:cs="Times New Roman"/>
                <w:kern w:val="0"/>
                <w:sz w:val="24"/>
                <w:szCs w:val="24"/>
              </w:rPr>
            </w:pPr>
            <w:r>
              <w:rPr>
                <w:rFonts w:hint="default" w:ascii="Times New Roman" w:hAnsi="Times New Roman" w:eastAsia="仿宋_GB2312" w:cs="Times New Roman"/>
                <w:color w:val="000000"/>
                <w:kern w:val="0"/>
                <w:sz w:val="24"/>
                <w:szCs w:val="24"/>
              </w:rPr>
              <w:t>价格得分</w:t>
            </w:r>
          </w:p>
        </w:tc>
        <w:tc>
          <w:tcPr>
            <w:tcW w:w="4575" w:type="dxa"/>
            <w:tcBorders>
              <w:tl2br w:val="nil"/>
              <w:tr2bl w:val="nil"/>
            </w:tcBorders>
            <w:vAlign w:val="center"/>
          </w:tcPr>
          <w:p w14:paraId="00F1CCA6">
            <w:pP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满足招标文件要求且价格最低的投标价为基准价，其价格分为满分。其他</w:t>
            </w:r>
            <w:r>
              <w:rPr>
                <w:rFonts w:hint="default" w:ascii="Times New Roman" w:hAnsi="Times New Roman" w:eastAsia="仿宋_GB2312" w:cs="Times New Roman"/>
                <w:color w:val="000000"/>
                <w:kern w:val="0"/>
                <w:sz w:val="24"/>
                <w:szCs w:val="24"/>
                <w:lang w:eastAsia="zh-CN"/>
              </w:rPr>
              <w:t>供应商</w:t>
            </w:r>
            <w:r>
              <w:rPr>
                <w:rFonts w:hint="default" w:ascii="Times New Roman" w:hAnsi="Times New Roman" w:eastAsia="仿宋_GB2312" w:cs="Times New Roman"/>
                <w:color w:val="000000"/>
                <w:kern w:val="0"/>
                <w:sz w:val="24"/>
                <w:szCs w:val="24"/>
              </w:rPr>
              <w:t>的价格分统一按照下列公式计算：价格分=(基准价／投标报价)×价格权值×100</w:t>
            </w:r>
          </w:p>
        </w:tc>
        <w:tc>
          <w:tcPr>
            <w:tcW w:w="719" w:type="dxa"/>
            <w:tcBorders>
              <w:tl2br w:val="nil"/>
              <w:tr2bl w:val="nil"/>
            </w:tcBorders>
            <w:vAlign w:val="center"/>
          </w:tcPr>
          <w:p w14:paraId="316AE1DC">
            <w:pPr>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1</w:t>
            </w:r>
            <w:r>
              <w:rPr>
                <w:rFonts w:hint="default" w:ascii="Times New Roman" w:hAnsi="Times New Roman" w:eastAsia="仿宋_GB2312" w:cs="Times New Roman"/>
                <w:color w:val="000000"/>
                <w:kern w:val="0"/>
                <w:sz w:val="24"/>
                <w:szCs w:val="24"/>
                <w:lang w:val="en-US" w:eastAsia="zh-CN"/>
              </w:rPr>
              <w:t>0</w:t>
            </w:r>
          </w:p>
        </w:tc>
        <w:tc>
          <w:tcPr>
            <w:tcW w:w="856" w:type="dxa"/>
            <w:tcBorders>
              <w:tl2br w:val="nil"/>
              <w:tr2bl w:val="nil"/>
            </w:tcBorders>
            <w:vAlign w:val="center"/>
          </w:tcPr>
          <w:p w14:paraId="337634A2">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2E821172">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4C8A0D29">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869" w:type="dxa"/>
            <w:tcBorders>
              <w:tl2br w:val="nil"/>
              <w:tr2bl w:val="nil"/>
            </w:tcBorders>
            <w:vAlign w:val="center"/>
          </w:tcPr>
          <w:p w14:paraId="07D25D5F">
            <w:pPr>
              <w:ind w:left="-111" w:right="-105"/>
              <w:jc w:val="center"/>
              <w:rPr>
                <w:rFonts w:hint="default" w:ascii="Times New Roman" w:hAnsi="Times New Roman" w:cs="Times New Roman"/>
                <w:kern w:val="0"/>
                <w:sz w:val="24"/>
                <w:szCs w:val="24"/>
              </w:rPr>
            </w:pPr>
          </w:p>
        </w:tc>
      </w:tr>
      <w:tr w14:paraId="3445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CellSpacing w:w="0" w:type="dxa"/>
          <w:jc w:val="center"/>
        </w:trPr>
        <w:tc>
          <w:tcPr>
            <w:tcW w:w="6191" w:type="dxa"/>
            <w:gridSpan w:val="3"/>
            <w:tcBorders>
              <w:tl2br w:val="nil"/>
              <w:tr2bl w:val="nil"/>
            </w:tcBorders>
            <w:vAlign w:val="center"/>
          </w:tcPr>
          <w:p w14:paraId="2B8E4720">
            <w:pPr>
              <w:ind w:left="-111" w:right="-105"/>
              <w:jc w:val="center"/>
              <w:rPr>
                <w:rFonts w:hint="default" w:ascii="Times New Roman" w:hAnsi="Times New Roman" w:cs="Times New Roman"/>
                <w:kern w:val="0"/>
                <w:sz w:val="24"/>
                <w:szCs w:val="24"/>
              </w:rPr>
            </w:pPr>
            <w:r>
              <w:rPr>
                <w:rFonts w:hint="default" w:ascii="Times New Roman" w:hAnsi="Times New Roman" w:eastAsia="仿宋_GB2312" w:cs="Times New Roman"/>
                <w:bCs/>
                <w:color w:val="000000"/>
                <w:kern w:val="0"/>
                <w:sz w:val="24"/>
                <w:szCs w:val="24"/>
              </w:rPr>
              <w:t>合计</w:t>
            </w:r>
          </w:p>
        </w:tc>
        <w:tc>
          <w:tcPr>
            <w:tcW w:w="719" w:type="dxa"/>
            <w:tcBorders>
              <w:tl2br w:val="nil"/>
              <w:tr2bl w:val="nil"/>
            </w:tcBorders>
            <w:vAlign w:val="center"/>
          </w:tcPr>
          <w:p w14:paraId="5F75266E">
            <w:pPr>
              <w:ind w:left="-111" w:right="-105"/>
              <w:jc w:val="center"/>
              <w:rPr>
                <w:rFonts w:hint="default" w:ascii="Times New Roman" w:hAnsi="Times New Roman" w:cs="Times New Roman"/>
                <w:kern w:val="0"/>
                <w:sz w:val="24"/>
                <w:szCs w:val="24"/>
              </w:rPr>
            </w:pPr>
            <w:r>
              <w:rPr>
                <w:rFonts w:hint="default" w:ascii="Times New Roman" w:hAnsi="Times New Roman" w:eastAsia="仿宋_GB2312" w:cs="Times New Roman"/>
                <w:bCs/>
                <w:color w:val="000000"/>
                <w:kern w:val="0"/>
                <w:sz w:val="24"/>
                <w:szCs w:val="24"/>
              </w:rPr>
              <w:t xml:space="preserve">100 </w:t>
            </w:r>
          </w:p>
        </w:tc>
        <w:tc>
          <w:tcPr>
            <w:tcW w:w="856" w:type="dxa"/>
            <w:tcBorders>
              <w:tl2br w:val="nil"/>
              <w:tr2bl w:val="nil"/>
            </w:tcBorders>
            <w:vAlign w:val="center"/>
          </w:tcPr>
          <w:p w14:paraId="61024611">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062A352A">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7459642C">
            <w:pPr>
              <w:ind w:left="-111" w:right="-105"/>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869" w:type="dxa"/>
            <w:tcBorders>
              <w:tl2br w:val="nil"/>
              <w:tr2bl w:val="nil"/>
            </w:tcBorders>
            <w:vAlign w:val="center"/>
          </w:tcPr>
          <w:p w14:paraId="140CBF7D">
            <w:pPr>
              <w:ind w:left="-111" w:right="-105"/>
              <w:jc w:val="center"/>
              <w:rPr>
                <w:rFonts w:hint="default" w:ascii="Times New Roman" w:hAnsi="Times New Roman" w:cs="Times New Roman"/>
                <w:kern w:val="0"/>
                <w:sz w:val="24"/>
                <w:szCs w:val="24"/>
              </w:rPr>
            </w:pPr>
          </w:p>
        </w:tc>
      </w:tr>
    </w:tbl>
    <w:p w14:paraId="09A25C3C">
      <w:pPr>
        <w:spacing w:line="500" w:lineRule="exact"/>
        <w:jc w:val="center"/>
        <w:rPr>
          <w:rFonts w:ascii="Times New Roman" w:hAnsi="Times New Roman" w:eastAsia="方正小标宋_GBK"/>
          <w:sz w:val="36"/>
          <w:szCs w:val="36"/>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840894-3B9D-4775-BCA1-501032BC9D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A7307E2A-CF86-49A6-9F06-E3CE2696B9FE}"/>
  </w:font>
  <w:font w:name="仿宋_GB2312">
    <w:panose1 w:val="02010609030101010101"/>
    <w:charset w:val="86"/>
    <w:family w:val="modern"/>
    <w:pitch w:val="default"/>
    <w:sig w:usb0="00000001" w:usb1="080E0000" w:usb2="00000000" w:usb3="00000000" w:csb0="00040000" w:csb1="00000000"/>
    <w:embedRegular r:id="rId3" w:fontKey="{DF9EB6C0-FB33-4C89-AAA4-0DA7FB6ACDF4}"/>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PSEMBED3">
    <w:panose1 w:val="02000000000000000000"/>
    <w:charset w:val="86"/>
    <w:family w:val="auto"/>
    <w:pitch w:val="default"/>
    <w:sig w:usb0="A00002BF" w:usb1="184F6CFA" w:usb2="00000012"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459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5F092">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45F092">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MzVhY2U5ZGE2YTNkNDUzNzkyYWRhNjY5OGY5ZDgifQ=="/>
  </w:docVars>
  <w:rsids>
    <w:rsidRoot w:val="00AC3C3F"/>
    <w:rsid w:val="00087540"/>
    <w:rsid w:val="000B77A2"/>
    <w:rsid w:val="00200361"/>
    <w:rsid w:val="002928CE"/>
    <w:rsid w:val="00322133"/>
    <w:rsid w:val="00337947"/>
    <w:rsid w:val="003869B9"/>
    <w:rsid w:val="00477F9B"/>
    <w:rsid w:val="004B3639"/>
    <w:rsid w:val="005D74ED"/>
    <w:rsid w:val="00610619"/>
    <w:rsid w:val="006D05B1"/>
    <w:rsid w:val="007A6B5C"/>
    <w:rsid w:val="00834F56"/>
    <w:rsid w:val="009152A8"/>
    <w:rsid w:val="00AC3C3F"/>
    <w:rsid w:val="00B718CC"/>
    <w:rsid w:val="00CB08DE"/>
    <w:rsid w:val="00D212A6"/>
    <w:rsid w:val="00DB0838"/>
    <w:rsid w:val="00E27F24"/>
    <w:rsid w:val="00FF5224"/>
    <w:rsid w:val="01F23A89"/>
    <w:rsid w:val="032E4D47"/>
    <w:rsid w:val="03561F09"/>
    <w:rsid w:val="03764359"/>
    <w:rsid w:val="038018A2"/>
    <w:rsid w:val="04EA226B"/>
    <w:rsid w:val="08A76AF2"/>
    <w:rsid w:val="0E0202DA"/>
    <w:rsid w:val="0E126260"/>
    <w:rsid w:val="12A95A5B"/>
    <w:rsid w:val="13CC7567"/>
    <w:rsid w:val="140B289C"/>
    <w:rsid w:val="14CA0179"/>
    <w:rsid w:val="1AB85163"/>
    <w:rsid w:val="1AE23C2A"/>
    <w:rsid w:val="1CEECCFA"/>
    <w:rsid w:val="1D3841E2"/>
    <w:rsid w:val="1F7EB6E1"/>
    <w:rsid w:val="20C37337"/>
    <w:rsid w:val="254E334D"/>
    <w:rsid w:val="25ED13D2"/>
    <w:rsid w:val="26D905D7"/>
    <w:rsid w:val="27B76394"/>
    <w:rsid w:val="27F81420"/>
    <w:rsid w:val="2B4F19D4"/>
    <w:rsid w:val="2B9622B8"/>
    <w:rsid w:val="351D1FD7"/>
    <w:rsid w:val="35A6286A"/>
    <w:rsid w:val="366E7BC5"/>
    <w:rsid w:val="37D72CC3"/>
    <w:rsid w:val="383F0272"/>
    <w:rsid w:val="3D4C16AB"/>
    <w:rsid w:val="3F6D88FD"/>
    <w:rsid w:val="3F7B3C7A"/>
    <w:rsid w:val="3FAB0973"/>
    <w:rsid w:val="3FEE7EE2"/>
    <w:rsid w:val="44EE129A"/>
    <w:rsid w:val="47D868BC"/>
    <w:rsid w:val="499F3EB6"/>
    <w:rsid w:val="4A2B014A"/>
    <w:rsid w:val="4BB86CE7"/>
    <w:rsid w:val="4C817C0D"/>
    <w:rsid w:val="4EC161AA"/>
    <w:rsid w:val="4FDD7368"/>
    <w:rsid w:val="5BDD7C46"/>
    <w:rsid w:val="5EFD263A"/>
    <w:rsid w:val="5FC7E7F7"/>
    <w:rsid w:val="5FF36BCD"/>
    <w:rsid w:val="62D43425"/>
    <w:rsid w:val="64846C71"/>
    <w:rsid w:val="64F70454"/>
    <w:rsid w:val="6510172B"/>
    <w:rsid w:val="65D0637D"/>
    <w:rsid w:val="661C594B"/>
    <w:rsid w:val="6B3F00F6"/>
    <w:rsid w:val="6B702BE3"/>
    <w:rsid w:val="6BFEC641"/>
    <w:rsid w:val="6D6FACAB"/>
    <w:rsid w:val="6E622422"/>
    <w:rsid w:val="6FFFA038"/>
    <w:rsid w:val="71337408"/>
    <w:rsid w:val="718A058F"/>
    <w:rsid w:val="75EB6774"/>
    <w:rsid w:val="779F685D"/>
    <w:rsid w:val="7A910122"/>
    <w:rsid w:val="7CC92B16"/>
    <w:rsid w:val="7CFB4383"/>
    <w:rsid w:val="7D292894"/>
    <w:rsid w:val="7DFCFE71"/>
    <w:rsid w:val="7FD7AAA9"/>
    <w:rsid w:val="91FDCCF3"/>
    <w:rsid w:val="BD9B5B13"/>
    <w:rsid w:val="BFD5B733"/>
    <w:rsid w:val="DBD79509"/>
    <w:rsid w:val="DDBD600B"/>
    <w:rsid w:val="DFDF0673"/>
    <w:rsid w:val="E6FEACDD"/>
    <w:rsid w:val="E779D04E"/>
    <w:rsid w:val="FC5EBDED"/>
    <w:rsid w:val="FD7F9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5"/>
    <w:basedOn w:val="1"/>
    <w:next w:val="1"/>
    <w:qFormat/>
    <w:uiPriority w:val="0"/>
    <w:pPr>
      <w:spacing w:before="100" w:beforeAutospacing="1" w:after="100" w:afterAutospacing="1"/>
      <w:jc w:val="left"/>
      <w:outlineLvl w:val="4"/>
    </w:pPr>
    <w:rPr>
      <w:rFonts w:hint="eastAsia" w:ascii="宋体" w:hAnsi="宋体"/>
      <w:b/>
      <w:bCs/>
      <w:kern w:val="0"/>
      <w:sz w:val="2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link w:val="17"/>
    <w:qFormat/>
    <w:uiPriority w:val="0"/>
    <w:pPr>
      <w:jc w:val="left"/>
    </w:pPr>
  </w:style>
  <w:style w:type="paragraph" w:styleId="6">
    <w:name w:val="Balloon Text"/>
    <w:basedOn w:val="1"/>
    <w:link w:val="19"/>
    <w:qFormat/>
    <w:uiPriority w:val="0"/>
    <w:rPr>
      <w:sz w:val="18"/>
      <w:szCs w:val="18"/>
    </w:rPr>
  </w:style>
  <w:style w:type="paragraph" w:styleId="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5"/>
    <w:next w:val="5"/>
    <w:link w:val="18"/>
    <w:qFormat/>
    <w:uiPriority w:val="0"/>
    <w:rPr>
      <w:b/>
      <w:bCs/>
    </w:rPr>
  </w:style>
  <w:style w:type="character" w:styleId="13">
    <w:name w:val="Strong"/>
    <w:qFormat/>
    <w:uiPriority w:val="0"/>
    <w:rPr>
      <w:b/>
    </w:r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页眉 Char"/>
    <w:link w:val="8"/>
    <w:qFormat/>
    <w:uiPriority w:val="0"/>
    <w:rPr>
      <w:rFonts w:ascii="Calibri" w:hAnsi="Calibri"/>
      <w:kern w:val="2"/>
      <w:sz w:val="18"/>
      <w:szCs w:val="18"/>
    </w:rPr>
  </w:style>
  <w:style w:type="character" w:customStyle="1" w:styleId="17">
    <w:name w:val="批注文字 Char"/>
    <w:basedOn w:val="12"/>
    <w:link w:val="5"/>
    <w:qFormat/>
    <w:uiPriority w:val="0"/>
    <w:rPr>
      <w:rFonts w:ascii="Calibri" w:hAnsi="Calibri"/>
      <w:kern w:val="2"/>
      <w:sz w:val="21"/>
      <w:szCs w:val="24"/>
    </w:rPr>
  </w:style>
  <w:style w:type="character" w:customStyle="1" w:styleId="18">
    <w:name w:val="批注主题 Char"/>
    <w:basedOn w:val="17"/>
    <w:link w:val="10"/>
    <w:qFormat/>
    <w:uiPriority w:val="0"/>
    <w:rPr>
      <w:rFonts w:ascii="Calibri" w:hAnsi="Calibri"/>
      <w:b/>
      <w:bCs/>
      <w:kern w:val="2"/>
      <w:sz w:val="21"/>
      <w:szCs w:val="24"/>
    </w:rPr>
  </w:style>
  <w:style w:type="character" w:customStyle="1" w:styleId="19">
    <w:name w:val="批注框文本 Char"/>
    <w:basedOn w:val="12"/>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2176</Words>
  <Characters>2335</Characters>
  <Lines>26</Lines>
  <Paragraphs>7</Paragraphs>
  <TotalTime>21</TotalTime>
  <ScaleCrop>false</ScaleCrop>
  <LinksUpToDate>false</LinksUpToDate>
  <CharactersWithSpaces>2405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2026-01-05T08:09:00Z</dcterms:created>
  <dc:creator>Zoe</dc:creator>
  <cp:lastModifiedBy>jojo</cp:lastModifiedBy>
  <cp:lastPrinted>2024-04-22T08:11:00Z</cp:lastPrinted>
  <dcterms:modified xsi:type="dcterms:W3CDTF">2026-05-15T04:08:29Z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6F29193A4FA74F8291D127649D02C2CD_13</vt:lpwstr>
  </property>
  <property fmtid="{D5CDD505-2E9C-101B-9397-08002B2CF9AE}" pid="4" name="KSOTemplateDocerSaveRecord">
    <vt:lpwstr>eyJoZGlkIjoiODVlNjJkZjkxOTk1YmU3MDRkYjViYmE4Yjc4MmE5ZjUiLCJ1c2VySWQiOiIxMDgwMjc4MTc5In0=</vt:lpwstr>
  </property>
</Properties>
</file>