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B7777">
      <w:pPr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024EC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  <w:lang w:eastAsia="zh-CN"/>
        </w:rPr>
        <w:t>江门市生态环境执法能力提升支撑项目（服务类）</w:t>
      </w:r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招标</w:t>
      </w: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  <w:t>评分表</w:t>
      </w:r>
      <w:bookmarkEnd w:id="0"/>
    </w:p>
    <w:p w14:paraId="6C1CD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</w:p>
    <w:tbl>
      <w:tblPr>
        <w:tblStyle w:val="3"/>
        <w:tblW w:w="121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754"/>
        <w:gridCol w:w="8726"/>
        <w:gridCol w:w="751"/>
        <w:gridCol w:w="969"/>
      </w:tblGrid>
      <w:tr w14:paraId="092E7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E35154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7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E036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评审</w:t>
            </w:r>
          </w:p>
          <w:p w14:paraId="5AA45CAA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因素</w:t>
            </w:r>
          </w:p>
        </w:tc>
        <w:tc>
          <w:tcPr>
            <w:tcW w:w="872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68CC8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评分细则</w:t>
            </w:r>
          </w:p>
        </w:tc>
        <w:tc>
          <w:tcPr>
            <w:tcW w:w="7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B4F1ED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分值（分）</w:t>
            </w:r>
          </w:p>
        </w:tc>
        <w:tc>
          <w:tcPr>
            <w:tcW w:w="96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3693D2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eastAsia="zh-CN"/>
              </w:rPr>
              <w:t>得分</w:t>
            </w:r>
          </w:p>
        </w:tc>
      </w:tr>
      <w:tr w14:paraId="33089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10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E11E42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一、技术部分（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分）</w:t>
            </w:r>
          </w:p>
        </w:tc>
      </w:tr>
      <w:tr w14:paraId="2530F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451CC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（一）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E0B96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实施方案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67009E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根据供应商针对本项目提供的实施方案（含执法大练兵实战比武、非现场监管能力建设、排污许可清单式执法技术能力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提升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等）进行评审：</w:t>
            </w:r>
          </w:p>
          <w:p w14:paraId="2CC3768F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1. 方案完整详细、科学合理、可行性强，针对性突出，能充分理解项目难点重点并提出有效对策，完全响应采购需求，得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分；</w:t>
            </w:r>
          </w:p>
          <w:p w14:paraId="784E63E8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2. 方案详细合理、具有一定可行性，大部分响应采购需求，能基本理解项目难点重点并提出较专业对策，得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分；</w:t>
            </w:r>
          </w:p>
          <w:p w14:paraId="5C733C68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3. 方案完整但可行性不足，部分响应采购需求，对难点重点理解分析简单，对策专业性和可行性一般，得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 xml:space="preserve"> 分；</w:t>
            </w:r>
          </w:p>
          <w:p w14:paraId="25EC4A25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4. 方案不详细，未能满足采购核心需求，对难点重点理解不符合实际，对策可行性较差，得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分；</w:t>
            </w:r>
          </w:p>
          <w:p w14:paraId="2A112636">
            <w:pPr>
              <w:adjustRightInd w:val="0"/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5. 未提交响应内容或其他情况，不得分。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4B72C2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CB23B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488B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496B2B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2"/>
                <w:szCs w:val="22"/>
              </w:rPr>
              <w:t>（二）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B7BAB9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质量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措施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CEDEC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根据供应商提供的质量保障措施（含技术质量控制、进度管控、人员保障、成果验收等）进行评审：</w:t>
            </w:r>
          </w:p>
          <w:p w14:paraId="42DB3AD1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1. 措施详细合理、针对性强、可操作性强，得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分；</w:t>
            </w:r>
          </w:p>
          <w:p w14:paraId="202FAA19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2. 措施基本完善，可操作性有所欠缺，得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分；</w:t>
            </w:r>
          </w:p>
          <w:p w14:paraId="7A159E60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3. 措施较完善，缺乏可操作性，得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分；</w:t>
            </w:r>
          </w:p>
          <w:p w14:paraId="1CB7E352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4. 措施不完善且无操作性，得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 xml:space="preserve"> 分；</w:t>
            </w:r>
          </w:p>
          <w:p w14:paraId="786DB908">
            <w:pPr>
              <w:snapToGrid w:val="0"/>
              <w:spacing w:beforeLines="0" w:afterLines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5. 未提供或可行性极差，不得分。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6BC97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CBFC97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</w:p>
        </w:tc>
      </w:tr>
      <w:tr w14:paraId="10DC8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10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47D54E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二、商务部分（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分）</w:t>
            </w:r>
          </w:p>
        </w:tc>
      </w:tr>
      <w:tr w14:paraId="67BAF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111F5F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  <w:t>（三）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3D85A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项目业绩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09670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供应商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2021年至今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（以合同签订日期为准）承担过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生态环境执法服务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、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技术帮扶服务等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采购相关项目的，每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 xml:space="preserve">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 xml:space="preserve"> 分，最高得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分；</w:t>
            </w:r>
          </w:p>
          <w:p w14:paraId="2A3315F9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 xml:space="preserve">上述合计最高得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/>
              </w:rPr>
              <w:t>0 分，同一份合同涉及多项业绩的只计分一次，不重复计分。须提供项目合同关键页复印件或成果证明材料并加盖公章，提供不全不得分。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0D70D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BAAE8F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8230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129BB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  <w:t>（四）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90ACB8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项目负责人实力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0722EB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拟委派的项目负责人（1 人）：</w:t>
            </w:r>
          </w:p>
          <w:p w14:paraId="10D4A90F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1.具有环保或相关专业高级职称（或以上），得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分；</w:t>
            </w:r>
          </w:p>
          <w:p w14:paraId="65B48DA3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2.具有环保或相关专业中级职称，得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 xml:space="preserve"> 分；</w:t>
            </w:r>
          </w:p>
          <w:p w14:paraId="43D7BD63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需提供职称证书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开标前 6 个月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该供应商单位的社保证明复印件并加盖公章。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（如退休返聘人员需提供退休证及返聘合同）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830CF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868083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EE7D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907A4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2"/>
                <w:szCs w:val="22"/>
              </w:rPr>
              <w:t>（五）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09291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团队实力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2269F3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拟委派的技术人员（不含项目负责人）：</w:t>
            </w:r>
          </w:p>
          <w:p w14:paraId="74C4179E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1. 具有环保或相关专业高级及以上职称的，每人得 5 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，最高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；</w:t>
            </w:r>
          </w:p>
          <w:p w14:paraId="0171A0F1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2. 具有环保或相关专业中级职称的，每人得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 xml:space="preserve"> 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，最高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12分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；</w:t>
            </w:r>
          </w:p>
          <w:p w14:paraId="595C28B7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 xml:space="preserve">合计最高得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 xml:space="preserve"> 分，同一人员多职称不重复计分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，高工人数超过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2名则超过部分高工按3分/人计算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。需提供职称证书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开标前 6 个月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" w:eastAsia="zh-CN"/>
              </w:rPr>
              <w:t>该供应商单位的社保证明复印件并加盖公章，缺项不得分。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" w:eastAsia="zh-CN"/>
              </w:rPr>
              <w:t>（如退休返聘人员需提供退休证及返聘合同）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325F8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FD5A3D6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904E7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2105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6B1D5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三、价格部分（15分）</w:t>
            </w:r>
          </w:p>
        </w:tc>
      </w:tr>
      <w:tr w14:paraId="64CA9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9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65C32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</w:rPr>
              <w:t>（六）</w:t>
            </w:r>
          </w:p>
        </w:tc>
        <w:tc>
          <w:tcPr>
            <w:tcW w:w="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0F7FAD">
            <w:pPr>
              <w:autoSpaceDE w:val="0"/>
              <w:autoSpaceDN w:val="0"/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价格得分</w:t>
            </w:r>
          </w:p>
        </w:tc>
        <w:tc>
          <w:tcPr>
            <w:tcW w:w="87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692653">
            <w:pPr>
              <w:adjustRightInd w:val="0"/>
              <w:snapToGrid w:val="0"/>
              <w:spacing w:beforeLines="0" w:afterLines="0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价格分应当采用低价优先法计算，即满足采购需求且报价最低的为基准价，该项价格得分为满分。其他供应商的价格得分统一按照下列公式计算：供应商价格得分=(基准价／报价)×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，价格得分四舍五入后保留小数点后两位有效数。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2"/>
                <w:szCs w:val="22"/>
              </w:rPr>
              <w:t>（对符合规定的小型和微型企业（监狱企业、残疾人福利单位视同小型、微型企业）报价给予10%的价格扣除。）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7CC5B3">
            <w:pPr>
              <w:adjustRightInd w:val="0"/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79CEA9C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BDFC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38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1BC48648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  <w:t>合计</w:t>
            </w:r>
          </w:p>
        </w:tc>
        <w:tc>
          <w:tcPr>
            <w:tcW w:w="75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7197F4B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  <w:t xml:space="preserve">100 </w:t>
            </w:r>
          </w:p>
        </w:tc>
        <w:tc>
          <w:tcPr>
            <w:tcW w:w="96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61B49D68">
            <w:pPr>
              <w:autoSpaceDE w:val="0"/>
              <w:autoSpaceDN w:val="0"/>
              <w:adjustRightInd w:val="0"/>
              <w:snapToGrid w:val="0"/>
              <w:spacing w:line="300" w:lineRule="exact"/>
              <w:ind w:left="-111" w:leftChars="-37" w:right="-105" w:rightChars="-35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</w:rPr>
            </w:pPr>
          </w:p>
        </w:tc>
      </w:tr>
    </w:tbl>
    <w:p w14:paraId="1AD08B71">
      <w:pPr>
        <w:adjustRightInd w:val="0"/>
        <w:snapToGrid w:val="0"/>
        <w:spacing w:beforeLines="0" w:afterLines="0"/>
        <w:jc w:val="left"/>
        <w:rPr>
          <w:rFonts w:hint="default" w:ascii="Times New Roman" w:hAnsi="Times New Roman" w:eastAsia="仿宋_GB2312" w:cs="Times New Roman"/>
          <w:color w:val="auto"/>
          <w:sz w:val="21"/>
          <w:szCs w:val="21"/>
        </w:rPr>
      </w:pPr>
    </w:p>
    <w:p w14:paraId="14C8A299">
      <w:pPr>
        <w:spacing w:line="400" w:lineRule="exact"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注：1、以上提供的响应资料需在中标后提供原件核查，如经核查后存在弄虚作假行为的，将取消服务资格。</w:t>
      </w:r>
    </w:p>
    <w:p w14:paraId="1B8CAF25">
      <w:pPr>
        <w:spacing w:line="400" w:lineRule="exact"/>
        <w:ind w:firstLine="480" w:firstLineChars="200"/>
        <w:jc w:val="left"/>
        <w:rPr>
          <w:rFonts w:hint="default" w:ascii="Times New Roman" w:hAnsi="Times New Roman" w:eastAsia="仿宋" w:cs="Times New Roman"/>
          <w:b/>
          <w:sz w:val="24"/>
        </w:rPr>
      </w:pPr>
      <w:r>
        <w:rPr>
          <w:rFonts w:hint="default" w:ascii="Times New Roman" w:hAnsi="Times New Roman" w:eastAsia="仿宋" w:cs="Times New Roman"/>
          <w:b/>
          <w:sz w:val="24"/>
        </w:rPr>
        <w:t>2、请投标人在投标文件中标注以上评分项目证明资料对应的页码。</w:t>
      </w:r>
    </w:p>
    <w:p w14:paraId="37DB889E"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"/>
        </w:rPr>
        <w:sectPr>
          <w:pgSz w:w="16838" w:h="11906" w:orient="landscape"/>
          <w:pgMar w:top="1474" w:right="1418" w:bottom="1474" w:left="1701" w:header="851" w:footer="992" w:gutter="0"/>
          <w:pgNumType w:fmt="decimal"/>
          <w:cols w:space="720" w:num="1"/>
          <w:rtlGutter w:val="0"/>
          <w:docGrid w:type="linesAndChars" w:linePitch="447" w:charSpace="0"/>
        </w:sectPr>
      </w:pPr>
    </w:p>
    <w:p w14:paraId="3DA30C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27494"/>
    <w:rsid w:val="0D7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after="200" w:line="276" w:lineRule="auto"/>
      <w:ind w:firstLine="420"/>
      <w:jc w:val="left"/>
      <w:textAlignment w:val="baseline"/>
    </w:pPr>
    <w:rPr>
      <w:rFonts w:ascii="宋体" w:hAnsi="Times New Roman" w:eastAsia="Calibri"/>
      <w:kern w:val="0"/>
      <w:sz w:val="3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2026-05-20T08:35:00Z</dcterms:created>
  <dc:creator>李耀明</dc:creator>
  <cp:lastModifiedBy>李耀明</cp:lastModifiedBy>
  <dcterms:modified xsi:type="dcterms:W3CDTF">2026-05-20T08:36:07Z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D21D3D23388741669EE3D37620C1200A_11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