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7497D2">
      <w:pPr>
        <w:outlineLvl w:val="1"/>
        <w:rPr>
          <w:rFonts w:hint="eastAsia" w:ascii="黑体" w:hAnsi="黑体" w:eastAsia="黑体"/>
          <w:sz w:val="32"/>
          <w:szCs w:val="32"/>
          <w:highlight w:val="none"/>
          <w:lang w:eastAsia="zh-CN"/>
        </w:rPr>
      </w:pPr>
      <w:r>
        <w:rPr>
          <w:rFonts w:hint="eastAsia" w:ascii="黑体" w:hAnsi="黑体" w:eastAsia="黑体"/>
          <w:sz w:val="32"/>
          <w:szCs w:val="32"/>
          <w:highlight w:val="none"/>
        </w:rPr>
        <w:t>附件</w:t>
      </w:r>
      <w:r>
        <w:rPr>
          <w:rFonts w:hint="eastAsia" w:ascii="黑体" w:hAnsi="黑体" w:eastAsia="黑体"/>
          <w:sz w:val="32"/>
          <w:szCs w:val="32"/>
          <w:highlight w:val="none"/>
          <w:lang w:val="en-US" w:eastAsia="zh-CN"/>
        </w:rPr>
        <w:t>6</w:t>
      </w:r>
    </w:p>
    <w:p w14:paraId="178A258C">
      <w:pPr>
        <w:ind w:firstLine="640" w:firstLineChars="200"/>
        <w:outlineLvl w:val="1"/>
        <w:rPr>
          <w:rFonts w:ascii="仿宋_GB2312" w:eastAsia="仿宋_GB2312"/>
          <w:sz w:val="32"/>
          <w:szCs w:val="32"/>
          <w:highlight w:val="none"/>
        </w:rPr>
      </w:pPr>
    </w:p>
    <w:p w14:paraId="0E5B91C6">
      <w:pPr>
        <w:jc w:val="left"/>
        <w:rPr>
          <w:rFonts w:ascii="仿宋_GB2312" w:hAnsi="宋体" w:eastAsia="仿宋_GB2312" w:cs="宋体"/>
          <w:kern w:val="0"/>
          <w:sz w:val="32"/>
          <w:szCs w:val="32"/>
          <w:highlight w:val="none"/>
          <w:lang w:val="zh-CN"/>
        </w:rPr>
      </w:pPr>
    </w:p>
    <w:p w14:paraId="6A745288">
      <w:pPr>
        <w:jc w:val="center"/>
        <w:rPr>
          <w:rFonts w:ascii="宋体" w:hAnsi="宋体" w:eastAsia="宋体" w:cs="宋体"/>
          <w:b/>
          <w:kern w:val="0"/>
          <w:sz w:val="44"/>
          <w:szCs w:val="44"/>
          <w:highlight w:val="none"/>
          <w:lang w:val="zh-CN"/>
        </w:rPr>
      </w:pPr>
      <w:r>
        <w:rPr>
          <w:rFonts w:hint="eastAsia" w:ascii="宋体" w:hAnsi="宋体" w:eastAsia="宋体" w:cs="宋体"/>
          <w:b/>
          <w:kern w:val="0"/>
          <w:sz w:val="44"/>
          <w:szCs w:val="44"/>
          <w:highlight w:val="none"/>
          <w:lang w:val="zh-CN"/>
        </w:rPr>
        <w:t>部门整体支出绩效自评报告</w:t>
      </w:r>
    </w:p>
    <w:p w14:paraId="5DA35487">
      <w:pPr>
        <w:jc w:val="center"/>
        <w:rPr>
          <w:rFonts w:ascii="仿宋_GB2312" w:hAnsi="宋体" w:eastAsia="仿宋_GB2312" w:cs="宋体"/>
          <w:kern w:val="0"/>
          <w:sz w:val="32"/>
          <w:szCs w:val="32"/>
          <w:highlight w:val="none"/>
          <w:lang w:val="zh-CN"/>
        </w:rPr>
      </w:pPr>
      <w:r>
        <w:rPr>
          <w:rFonts w:hint="eastAsia" w:ascii="仿宋_GB2312" w:hAnsi="宋体" w:eastAsia="仿宋_GB2312" w:cs="宋体"/>
          <w:kern w:val="0"/>
          <w:sz w:val="32"/>
          <w:szCs w:val="32"/>
          <w:highlight w:val="none"/>
          <w:lang w:val="zh-CN"/>
        </w:rPr>
        <w:t>（参考格式）</w:t>
      </w:r>
    </w:p>
    <w:p w14:paraId="77188E2A">
      <w:pPr>
        <w:rPr>
          <w:rFonts w:ascii="宋体" w:hAnsi="宋体" w:eastAsia="宋体" w:cs="宋体"/>
          <w:kern w:val="0"/>
          <w:sz w:val="44"/>
          <w:szCs w:val="44"/>
          <w:highlight w:val="none"/>
          <w:lang w:val="zh-CN"/>
        </w:rPr>
      </w:pPr>
    </w:p>
    <w:p w14:paraId="46064084">
      <w:pPr>
        <w:rPr>
          <w:rFonts w:ascii="宋体" w:hAnsi="宋体" w:eastAsia="宋体" w:cs="宋体"/>
          <w:kern w:val="0"/>
          <w:sz w:val="44"/>
          <w:szCs w:val="44"/>
          <w:highlight w:val="none"/>
          <w:lang w:val="zh-CN"/>
        </w:rPr>
      </w:pPr>
    </w:p>
    <w:p w14:paraId="70B1D069">
      <w:pPr>
        <w:rPr>
          <w:rFonts w:ascii="宋体" w:hAnsi="宋体" w:eastAsia="宋体" w:cs="宋体"/>
          <w:kern w:val="0"/>
          <w:sz w:val="44"/>
          <w:szCs w:val="44"/>
          <w:highlight w:val="none"/>
          <w:lang w:val="zh-CN"/>
        </w:rPr>
      </w:pPr>
    </w:p>
    <w:p w14:paraId="19D218B0">
      <w:pPr>
        <w:rPr>
          <w:rFonts w:ascii="宋体" w:hAnsi="宋体" w:eastAsia="宋体" w:cs="宋体"/>
          <w:kern w:val="0"/>
          <w:sz w:val="44"/>
          <w:szCs w:val="44"/>
          <w:highlight w:val="none"/>
          <w:lang w:val="zh-CN"/>
        </w:rPr>
      </w:pPr>
    </w:p>
    <w:p w14:paraId="193C0C8F">
      <w:pPr>
        <w:rPr>
          <w:rFonts w:ascii="宋体" w:hAnsi="宋体" w:eastAsia="宋体" w:cs="宋体"/>
          <w:kern w:val="0"/>
          <w:sz w:val="44"/>
          <w:szCs w:val="44"/>
          <w:highlight w:val="none"/>
          <w:lang w:val="zh-CN"/>
        </w:rPr>
      </w:pPr>
    </w:p>
    <w:p w14:paraId="7E7B8BED">
      <w:pPr>
        <w:rPr>
          <w:rFonts w:ascii="宋体" w:hAnsi="宋体" w:eastAsia="宋体" w:cs="宋体"/>
          <w:kern w:val="0"/>
          <w:sz w:val="44"/>
          <w:szCs w:val="44"/>
          <w:highlight w:val="none"/>
          <w:lang w:val="zh-CN"/>
        </w:rPr>
      </w:pPr>
    </w:p>
    <w:p w14:paraId="691D31FE">
      <w:pPr>
        <w:jc w:val="left"/>
        <w:rPr>
          <w:rFonts w:hint="eastAsia" w:ascii="仿宋_GB2312" w:eastAsia="仿宋_GB2312" w:cs="宋体"/>
          <w:kern w:val="0"/>
          <w:sz w:val="32"/>
          <w:szCs w:val="32"/>
          <w:highlight w:val="none"/>
          <w:lang w:val="zh-CN"/>
        </w:rPr>
      </w:pPr>
    </w:p>
    <w:p w14:paraId="1F39DDDD">
      <w:pPr>
        <w:jc w:val="left"/>
        <w:rPr>
          <w:rFonts w:hint="eastAsia" w:ascii="仿宋_GB2312" w:eastAsia="仿宋_GB2312" w:cs="宋体"/>
          <w:kern w:val="0"/>
          <w:sz w:val="32"/>
          <w:szCs w:val="32"/>
          <w:highlight w:val="none"/>
          <w:lang w:val="zh-CN"/>
        </w:rPr>
      </w:pPr>
    </w:p>
    <w:p w14:paraId="131C8BE5">
      <w:pPr>
        <w:jc w:val="left"/>
        <w:rPr>
          <w:rFonts w:hint="eastAsia" w:ascii="仿宋_GB2312" w:eastAsia="仿宋_GB2312" w:cs="宋体"/>
          <w:kern w:val="0"/>
          <w:sz w:val="32"/>
          <w:szCs w:val="32"/>
          <w:highlight w:val="none"/>
          <w:lang w:val="zh-CN"/>
        </w:rPr>
      </w:pPr>
    </w:p>
    <w:p w14:paraId="0C637684">
      <w:pPr>
        <w:jc w:val="left"/>
        <w:rPr>
          <w:rFonts w:hint="eastAsia" w:ascii="仿宋_GB2312" w:eastAsia="仿宋_GB2312" w:cs="宋体"/>
          <w:kern w:val="0"/>
          <w:sz w:val="32"/>
          <w:szCs w:val="32"/>
          <w:highlight w:val="none"/>
          <w:lang w:val="zh-CN"/>
        </w:rPr>
      </w:pPr>
    </w:p>
    <w:p w14:paraId="39F0485F">
      <w:pPr>
        <w:jc w:val="left"/>
        <w:rPr>
          <w:rFonts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部门名称：江门市人民政府国有资产监督管理委员会（公章）</w:t>
      </w:r>
    </w:p>
    <w:p w14:paraId="502A1AF7">
      <w:pPr>
        <w:ind w:firstLine="0" w:firstLineChars="0"/>
        <w:jc w:val="left"/>
        <w:rPr>
          <w:rFonts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填报人：黄清瑶</w:t>
      </w:r>
    </w:p>
    <w:p w14:paraId="59A7DB93">
      <w:pPr>
        <w:ind w:firstLine="0" w:firstLineChars="0"/>
        <w:jc w:val="left"/>
        <w:rPr>
          <w:rFonts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联系电话：3501643</w:t>
      </w:r>
    </w:p>
    <w:p w14:paraId="68D7F1F4">
      <w:pPr>
        <w:ind w:firstLine="0" w:firstLineChars="0"/>
        <w:jc w:val="left"/>
        <w:rPr>
          <w:rFonts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填报日期：202</w:t>
      </w:r>
      <w:r>
        <w:rPr>
          <w:rFonts w:hint="eastAsia" w:ascii="仿宋_GB2312" w:eastAsia="仿宋_GB2312" w:cs="宋体"/>
          <w:kern w:val="0"/>
          <w:sz w:val="32"/>
          <w:szCs w:val="32"/>
          <w:highlight w:val="none"/>
          <w:lang w:val="en-US" w:eastAsia="zh-CN"/>
        </w:rPr>
        <w:t>5</w:t>
      </w:r>
      <w:r>
        <w:rPr>
          <w:rFonts w:hint="eastAsia" w:ascii="仿宋_GB2312" w:eastAsia="仿宋_GB2312" w:cs="宋体"/>
          <w:kern w:val="0"/>
          <w:sz w:val="32"/>
          <w:szCs w:val="32"/>
          <w:highlight w:val="none"/>
          <w:lang w:val="zh-CN"/>
        </w:rPr>
        <w:t>年</w:t>
      </w:r>
      <w:r>
        <w:rPr>
          <w:rFonts w:hint="eastAsia" w:ascii="仿宋_GB2312" w:eastAsia="仿宋_GB2312" w:cs="宋体"/>
          <w:kern w:val="0"/>
          <w:sz w:val="32"/>
          <w:szCs w:val="32"/>
          <w:highlight w:val="none"/>
          <w:lang w:val="en-US" w:eastAsia="zh-CN"/>
        </w:rPr>
        <w:t>4</w:t>
      </w:r>
      <w:r>
        <w:rPr>
          <w:rFonts w:hint="eastAsia" w:ascii="仿宋_GB2312" w:eastAsia="仿宋_GB2312" w:cs="宋体"/>
          <w:kern w:val="0"/>
          <w:sz w:val="32"/>
          <w:szCs w:val="32"/>
          <w:highlight w:val="none"/>
          <w:lang w:val="zh-CN"/>
        </w:rPr>
        <w:t>月</w:t>
      </w:r>
      <w:r>
        <w:rPr>
          <w:rFonts w:hint="eastAsia" w:ascii="仿宋_GB2312" w:eastAsia="仿宋_GB2312" w:cs="宋体"/>
          <w:kern w:val="0"/>
          <w:sz w:val="32"/>
          <w:szCs w:val="32"/>
          <w:highlight w:val="none"/>
          <w:lang w:val="en-US" w:eastAsia="zh-CN"/>
        </w:rPr>
        <w:t>20</w:t>
      </w:r>
      <w:r>
        <w:rPr>
          <w:rFonts w:hint="eastAsia" w:ascii="仿宋_GB2312" w:eastAsia="仿宋_GB2312" w:cs="宋体"/>
          <w:kern w:val="0"/>
          <w:sz w:val="32"/>
          <w:szCs w:val="32"/>
          <w:highlight w:val="none"/>
          <w:lang w:val="zh-CN"/>
        </w:rPr>
        <w:t>日</w:t>
      </w:r>
    </w:p>
    <w:p w14:paraId="43F679B4">
      <w:pPr>
        <w:ind w:firstLine="3040" w:firstLineChars="950"/>
        <w:jc w:val="left"/>
        <w:rPr>
          <w:rFonts w:ascii="仿宋_GB2312" w:eastAsia="仿宋_GB2312" w:cs="宋体"/>
          <w:kern w:val="0"/>
          <w:sz w:val="32"/>
          <w:szCs w:val="32"/>
          <w:highlight w:val="none"/>
          <w:lang w:val="zh-CN"/>
        </w:rPr>
      </w:pPr>
    </w:p>
    <w:p w14:paraId="42CC8A58">
      <w:pPr>
        <w:ind w:firstLine="0" w:firstLineChars="0"/>
        <w:rPr>
          <w:rFonts w:hint="eastAsia" w:ascii="黑体" w:hAnsi="黑体" w:eastAsia="黑体" w:cs="宋体"/>
          <w:kern w:val="0"/>
          <w:sz w:val="32"/>
          <w:szCs w:val="32"/>
          <w:highlight w:val="none"/>
          <w:lang w:val="zh-CN"/>
        </w:rPr>
      </w:pPr>
    </w:p>
    <w:p w14:paraId="0B31FBC8">
      <w:pPr>
        <w:ind w:firstLine="0" w:firstLineChars="0"/>
        <w:rPr>
          <w:rFonts w:hint="eastAsia" w:ascii="黑体" w:hAnsi="黑体" w:eastAsia="黑体" w:cs="宋体"/>
          <w:kern w:val="0"/>
          <w:sz w:val="32"/>
          <w:szCs w:val="32"/>
          <w:highlight w:val="none"/>
          <w:lang w:val="zh-CN"/>
        </w:rPr>
      </w:pPr>
    </w:p>
    <w:p w14:paraId="6936C7AA">
      <w:pPr>
        <w:ind w:firstLine="640" w:firstLineChars="200"/>
        <w:rPr>
          <w:rFonts w:ascii="黑体" w:hAnsi="黑体" w:eastAsia="黑体" w:cs="宋体"/>
          <w:kern w:val="0"/>
          <w:sz w:val="32"/>
          <w:szCs w:val="32"/>
          <w:highlight w:val="none"/>
          <w:lang w:val="zh-CN"/>
        </w:rPr>
      </w:pPr>
      <w:r>
        <w:rPr>
          <w:rFonts w:hint="eastAsia" w:ascii="黑体" w:hAnsi="黑体" w:eastAsia="黑体" w:cs="宋体"/>
          <w:kern w:val="0"/>
          <w:sz w:val="32"/>
          <w:szCs w:val="32"/>
          <w:highlight w:val="none"/>
          <w:lang w:val="zh-CN"/>
        </w:rPr>
        <w:t>一、部门基本情况</w:t>
      </w:r>
    </w:p>
    <w:p w14:paraId="6A6758C4">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（一）部门职能</w:t>
      </w:r>
    </w:p>
    <w:p w14:paraId="252F2C8A">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江门市国资委是市人民政府工作部门。主要职责如下：</w:t>
      </w:r>
    </w:p>
    <w:p w14:paraId="0218C87D">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1．根据市人民政府授权，依照《中华人民共和国公司法》《中华人民共和国企业国有资产法》等法律、法规以及市政府有关规定履行出资人职责。</w:t>
      </w:r>
    </w:p>
    <w:p w14:paraId="66E7BAA3">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2．承担监督所监管企业国有资产保值增值的责任。建立和完善国有资产保值增值指标体系，拟订考核标准，通过统计、稽核对所监管企业国有资产保值增值情况进行监管，负责所监管企业工资分配管理工作，制定所监管企业负责人收入分配方案并组织实施。</w:t>
      </w:r>
    </w:p>
    <w:p w14:paraId="4B863619">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3．指导推进国有企业改革和重组，推进国有企业的现代企业制度建设，完善公司治理结构，推动市属国有经济布局和结构的战略性调整。</w:t>
      </w:r>
    </w:p>
    <w:p w14:paraId="54EC72CA">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4．通过法定程序对所监管企业领导班子成员（包括所派出的企业董事会成员、经营管理层、财务总监和党组织领导成员；一级企业财务部长下管一级）进行任免、考核，并根据其经营业绩进行奖惩，建立符合社会主义市场经济体制和现代企业制度要求的选人、用人机制，完善经营者激励和约束制度，指导国有企业做好党组织建设工作和党风廉政建设等。</w:t>
      </w:r>
    </w:p>
    <w:p w14:paraId="78A3D731">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5．按照有关规定，向所监管企业派出财务总监，负责财务总监的日常管理工作。</w:t>
      </w:r>
    </w:p>
    <w:p w14:paraId="14F7D564">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6．负责组织所监管企业上缴国有资本收益，参与制定国有资本经营预算有关管理制度和方法，按照有关规定承担国有资本经营预决算编制等有关工作。</w:t>
      </w:r>
    </w:p>
    <w:p w14:paraId="085FCEEF">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7．按照出资人职责，负责督促检查所监管企业贯彻落实国家安全生产方针政策及有关法律法规、标准等工作。</w:t>
      </w:r>
    </w:p>
    <w:p w14:paraId="6FA97A99">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8．负责起草市属国有企业国有资产管理的地方性规定，指导各市、区国有资产管理工作，指导集体及其它公有企业的资产管理工作。</w:t>
      </w:r>
    </w:p>
    <w:p w14:paraId="5559C03C">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9．承办市人民政府和省人民政府国有资产监督管理委员会交办的其他事项。</w:t>
      </w:r>
    </w:p>
    <w:p w14:paraId="7C45016E">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（二）年度总体工作和重点工作任务</w:t>
      </w:r>
    </w:p>
    <w:p w14:paraId="52CAD9B1">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2024年，江门市国资委将全面贯彻落实省委十三届三次全会精神，聚焦省委“1310”具体部署、落实市委“1+6+3”工作安排，乘势而上深化新一轮改革行动，着力补短板、强弱项、固底板、扬优势，做好“改革、创新、开放、发展、安全”五篇文章，增强国资国企“产业引领力、科技创新力、安全支撑力、公司治理力、协同发展力”五个力，锻造国资委“政治型、学习型、创新型、纪律型、团队型”五型机关，为江门经济高质量发展贡献国资力量。</w:t>
      </w:r>
    </w:p>
    <w:p w14:paraId="0849F9DB">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en-US" w:eastAsia="zh-CN"/>
        </w:rPr>
        <w:t>1.</w:t>
      </w:r>
      <w:r>
        <w:rPr>
          <w:rFonts w:hint="eastAsia" w:ascii="仿宋_GB2312" w:eastAsia="仿宋_GB2312" w:cs="宋体"/>
          <w:kern w:val="0"/>
          <w:sz w:val="32"/>
          <w:szCs w:val="32"/>
          <w:highlight w:val="none"/>
          <w:lang w:val="zh-CN"/>
        </w:rPr>
        <w:t>强化党建引领作用，推动企业发展的根魂更牢、生态更优。一是坚持把党的政治建设放在首位，全面贯彻党的二十大精神，深入开展学习贯彻习近平新时代中国特色社会主义思想主题教育，深入调研、精准把脉。二是持续织密建强组织体系，不断增强各级党组织尤其是基层党组织的政治功能和组织功能，充分发挥战斗堡垒作用。三是创新党建方式方法，加大市属国资国企党建品牌打造力度，深入推动党建和国企改革发展中心工作深度融合、创新提升。四是坚决落实全面从严治强党，加强干部监督管理，落实“一把手”和领导班子监督若干措施。不断巩固巡察整改成果，坚持久久为功。</w:t>
      </w:r>
    </w:p>
    <w:p w14:paraId="1E793628">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en-US" w:eastAsia="zh-CN"/>
        </w:rPr>
        <w:t>2.</w:t>
      </w:r>
      <w:r>
        <w:rPr>
          <w:rFonts w:hint="eastAsia" w:ascii="仿宋_GB2312" w:eastAsia="仿宋_GB2312" w:cs="宋体"/>
          <w:kern w:val="0"/>
          <w:sz w:val="32"/>
          <w:szCs w:val="32"/>
          <w:highlight w:val="none"/>
          <w:lang w:val="zh-CN"/>
        </w:rPr>
        <w:t>写好国企改革下半篇文章，推动企业发展的结构更好、潜力更大。一是制定国企改革深化提升行动方案，牢牢把握改革发展正确方向，在更高层面、更宽领域、更大范围谋划国企高质量发展。二是聚焦专业化整合重组，坚持“整体规划、分步实施、稳步推进”工作思路，加快理顺市属国企股权、管理权统一管理工作，提升国有企业主体信用评级，进一步推进公用水务IPO上市工作。三是深化多元股权改革，健全分类分级监管体系，持续提升对江腾电力集团、创融公司等参控股企业的经营投资管理水平。加快推进省属国企广新集团对专精特新等优质企业的基金股权投资合作。四是健全完善国企现代公司治理制度体系，全面深化市场化用工机制，建立完善薪酬制度和激励机制，充分调动国有企业职工投身改革的干事创业热情。五是不断提升监管服务效能，推动实施联络员制度，深化国资国企网格化监管体系。秉持“市场化出资人和有效有为监管者”理念，推动授权与监管相结合、放活与管好相统一。持续开展重点领域、重点企业存量风险专项排查，完善处理中创新航、智能云制造等重大项目的风险防控。用好用活各类金融工具，加强资金调配的科学性、前瞻性、统筹性，降低企业经营风险，确保企业高质量发展行稳致远。</w:t>
      </w:r>
    </w:p>
    <w:p w14:paraId="46920BD2">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en-US" w:eastAsia="zh-CN"/>
        </w:rPr>
        <w:t>3.</w:t>
      </w:r>
      <w:r>
        <w:rPr>
          <w:rFonts w:hint="eastAsia" w:ascii="仿宋_GB2312" w:eastAsia="仿宋_GB2312" w:cs="宋体"/>
          <w:kern w:val="0"/>
          <w:sz w:val="32"/>
          <w:szCs w:val="32"/>
          <w:highlight w:val="none"/>
          <w:lang w:val="zh-CN"/>
        </w:rPr>
        <w:t>坚持科技创新、人才引领，推动企业发展的动力更强、底气更足。纵深推进“科技引领”“人才倍增”工程，不断提高国企核心竞争力，实现“质”“量”双提升。一是完善国有企业科技创新机制，加大对科技领域研发投入，推动国有企业创新链、产业链、人才链深度融合。二是成立数字化转型工作专班，以打牢国资国企数字化转型基础为起点，提升国资国企数字化管理能力，打造产业数字化转型示范样板。三是优化“引、育、用、留”全链条，发挥江门人才集团优势，着力引进培育产业、科研、教育等重点领域人才，构建多元育才体系，建立以创新价值、能力、贡献为导向的评价体系。</w:t>
      </w:r>
    </w:p>
    <w:p w14:paraId="5237CDB0">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en-US" w:eastAsia="zh-CN"/>
        </w:rPr>
        <w:t>4.</w:t>
      </w:r>
      <w:r>
        <w:rPr>
          <w:rFonts w:hint="eastAsia" w:ascii="仿宋_GB2312" w:eastAsia="仿宋_GB2312" w:cs="宋体"/>
          <w:kern w:val="0"/>
          <w:sz w:val="32"/>
          <w:szCs w:val="32"/>
          <w:highlight w:val="none"/>
          <w:lang w:val="zh-CN"/>
        </w:rPr>
        <w:t>服务“国之大者”坚决有力，推动企业发展的功能更强、力量更大。一是依托良好产业基础，抓好湾区城市高速公路、深水码头等重大基础设施投资建设，促进跨区域连通及联动发展。二是坚持实体经济为本，制造业当家，充分用好资金撬动作用，高水平建设江门承接产业有序转移主平台。继续做强传统制造业建筑业，探索布局光伏、新型储能等新产业，担当我市实体经济高质量发展“先行军”。三是以“头号工程”力度扎实推进“百千万工程”，积极推动智慧农机产业园建设，着力打造“江门优品”品牌矩阵。用好“蓝色资源”，加快谋划蚝产业园等项目落成。全力推进三个垃圾焚烧发电项目，加快推进光伏、新能源等政企村合作项目落地，用好国开行广东省分行“金融活水”，加快推进国储林项目。四是巩固拓展国资国企文旅产业布局，盘活甘化工业遗址项目、港航楼项目，激活江门历史文化街区开发，提升城市品质内涵。提升公用集团大厦品质，打造为滨江新区商务新地标。五是突出民生服务，扎实推进人才岛、翡翠观澜、悦桂府、悦璟苑等项目建设，擦亮“江发地产”品牌。加快推进丰乐水质净化厂搬迁建设项目。落细落实“粤科普”公共服务平台建设与运营、科技场馆的设计与运营等方案，持续优化提升科普研学游活动。</w:t>
      </w:r>
    </w:p>
    <w:p w14:paraId="101C1FA6">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（三）部门整体支出绩效目标情况</w:t>
      </w:r>
    </w:p>
    <w:p w14:paraId="5BCA6407">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推进国企改革发展。推进江门智慧停车项目、11个污水处理项目、制糖分厂、甘化厂工业文化遗产博物馆等工程项目建设和修缮工作，扶持重点项目和企业，进行政策性补贴和市属国企注资，增强国有企业活力和市场竞争力，推进国企改革发展。同时，扶持产业基金发展和建成600间房的健康驿站，满足当地防疫隔离人员入住需求。</w:t>
      </w:r>
    </w:p>
    <w:p w14:paraId="7E005588">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加强国资监管。通过审计、安全生产检测、外派监事和财务总监、聘请法律顾问、制定国资监管制度等举措加强国有企业监督管理。</w:t>
      </w:r>
    </w:p>
    <w:p w14:paraId="3503B9C6">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加强站场（场馆）运营及维修维护。保障五邑文化广场、规划展馆运作。</w:t>
      </w:r>
    </w:p>
    <w:p w14:paraId="06AFBAF0">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给予市属国企政策性补贴和解决相关历史遗留问题。解决市属国企相关历史遗留问题。</w:t>
      </w:r>
    </w:p>
    <w:p w14:paraId="545B732F">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补助下级资金。援越抗美军人补助。</w:t>
      </w:r>
    </w:p>
    <w:p w14:paraId="0A389356">
      <w:pPr>
        <w:numPr>
          <w:ilvl w:val="0"/>
          <w:numId w:val="1"/>
        </w:numPr>
        <w:ind w:firstLine="640" w:firstLineChars="200"/>
        <w:rPr>
          <w:rFonts w:hint="default" w:ascii="仿宋_GB2312" w:eastAsia="仿宋_GB2312" w:cs="宋体"/>
          <w:kern w:val="0"/>
          <w:sz w:val="32"/>
          <w:szCs w:val="32"/>
          <w:highlight w:val="none"/>
          <w:lang w:val="en-US" w:eastAsia="zh-CN"/>
        </w:rPr>
      </w:pPr>
      <w:r>
        <w:rPr>
          <w:rFonts w:hint="eastAsia" w:ascii="仿宋_GB2312" w:eastAsia="仿宋_GB2312" w:cs="宋体"/>
          <w:kern w:val="0"/>
          <w:sz w:val="32"/>
          <w:szCs w:val="32"/>
          <w:highlight w:val="none"/>
          <w:lang w:val="zh-CN"/>
        </w:rPr>
        <w:t>部门整体支出情况（以决算数为统计口径）</w:t>
      </w:r>
    </w:p>
    <w:p w14:paraId="564155D3">
      <w:pPr>
        <w:numPr>
          <w:ilvl w:val="-1"/>
          <w:numId w:val="0"/>
        </w:numPr>
        <w:ind w:firstLine="640" w:firstLineChars="200"/>
        <w:rPr>
          <w:rFonts w:hint="default" w:ascii="仿宋_GB2312" w:eastAsia="仿宋_GB2312" w:cs="宋体"/>
          <w:kern w:val="0"/>
          <w:sz w:val="32"/>
          <w:szCs w:val="32"/>
          <w:highlight w:val="none"/>
          <w:lang w:val="en-US" w:eastAsia="zh-CN"/>
        </w:rPr>
      </w:pPr>
      <w:r>
        <w:rPr>
          <w:rFonts w:hint="eastAsia" w:ascii="仿宋_GB2312" w:eastAsia="仿宋_GB2312" w:cs="宋体"/>
          <w:kern w:val="0"/>
          <w:sz w:val="32"/>
          <w:szCs w:val="32"/>
          <w:highlight w:val="none"/>
        </w:rPr>
        <w:t>全年总支出完成17,732.98</w:t>
      </w:r>
      <w:r>
        <w:rPr>
          <w:rFonts w:hint="eastAsia" w:ascii="仿宋_GB2312" w:eastAsia="仿宋_GB2312" w:cs="宋体"/>
          <w:kern w:val="0"/>
          <w:sz w:val="32"/>
          <w:szCs w:val="32"/>
          <w:highlight w:val="none"/>
          <w:lang w:eastAsia="zh-CN"/>
        </w:rPr>
        <w:t>万</w:t>
      </w:r>
      <w:r>
        <w:rPr>
          <w:rFonts w:hint="eastAsia" w:ascii="仿宋_GB2312" w:eastAsia="仿宋_GB2312" w:cs="宋体"/>
          <w:kern w:val="0"/>
          <w:sz w:val="32"/>
          <w:szCs w:val="32"/>
          <w:highlight w:val="none"/>
        </w:rPr>
        <w:t>元，基本支出完成3,741.99</w:t>
      </w:r>
      <w:r>
        <w:rPr>
          <w:rFonts w:hint="eastAsia" w:ascii="仿宋_GB2312" w:eastAsia="仿宋_GB2312" w:cs="宋体"/>
          <w:kern w:val="0"/>
          <w:sz w:val="32"/>
          <w:szCs w:val="32"/>
          <w:highlight w:val="none"/>
          <w:lang w:eastAsia="zh-CN"/>
        </w:rPr>
        <w:t>万</w:t>
      </w:r>
      <w:r>
        <w:rPr>
          <w:rFonts w:hint="eastAsia" w:ascii="仿宋_GB2312" w:eastAsia="仿宋_GB2312" w:cs="宋体"/>
          <w:kern w:val="0"/>
          <w:sz w:val="32"/>
          <w:szCs w:val="32"/>
          <w:highlight w:val="none"/>
        </w:rPr>
        <w:t>元，项目支出完成13,990.99</w:t>
      </w:r>
      <w:r>
        <w:rPr>
          <w:rFonts w:hint="eastAsia" w:ascii="仿宋_GB2312" w:eastAsia="仿宋_GB2312" w:cs="宋体"/>
          <w:kern w:val="0"/>
          <w:sz w:val="32"/>
          <w:szCs w:val="32"/>
          <w:highlight w:val="none"/>
          <w:lang w:eastAsia="zh-CN"/>
        </w:rPr>
        <w:t>万</w:t>
      </w:r>
      <w:r>
        <w:rPr>
          <w:rFonts w:hint="eastAsia" w:ascii="仿宋_GB2312" w:eastAsia="仿宋_GB2312" w:cs="宋体"/>
          <w:kern w:val="0"/>
          <w:sz w:val="32"/>
          <w:szCs w:val="32"/>
          <w:highlight w:val="none"/>
        </w:rPr>
        <w:t>元。</w:t>
      </w:r>
    </w:p>
    <w:p w14:paraId="19EAC5B2">
      <w:pPr>
        <w:ind w:firstLine="640" w:firstLineChars="200"/>
        <w:rPr>
          <w:rFonts w:ascii="黑体" w:hAnsi="黑体" w:eastAsia="黑体" w:cs="宋体"/>
          <w:kern w:val="0"/>
          <w:sz w:val="32"/>
          <w:szCs w:val="32"/>
          <w:highlight w:val="none"/>
          <w:lang w:val="zh-CN"/>
        </w:rPr>
      </w:pPr>
      <w:r>
        <w:rPr>
          <w:rFonts w:hint="eastAsia" w:ascii="黑体" w:hAnsi="黑体" w:eastAsia="黑体" w:cs="宋体"/>
          <w:kern w:val="0"/>
          <w:sz w:val="32"/>
          <w:szCs w:val="32"/>
          <w:highlight w:val="none"/>
          <w:lang w:val="zh-CN"/>
        </w:rPr>
        <w:t>二、绩效自评情况</w:t>
      </w:r>
    </w:p>
    <w:p w14:paraId="485365F8">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（一）自评结论</w:t>
      </w:r>
    </w:p>
    <w:p w14:paraId="4C03BC9F">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1.国有资本经营预算支出解决市属国企历史遗留问题，维护社会稳定；支持企业运行；保证补助到位；避免市属公交公司发生相关的上访投诉事件,确保公交公司正常运作和队伍稳定。</w:t>
      </w:r>
    </w:p>
    <w:p w14:paraId="191AC6FE">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2.国有资产改革发展资金停车难问题有所缓解；对属下企业进行增资，增加企业现金流，做到做强企业；落实市政府加快建设人才强市的若干意见和市文化强市建设工作纲要的工作要求，开展工艺美术师职称评审。</w:t>
      </w:r>
    </w:p>
    <w:p w14:paraId="7A98421F">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3.国资监管经费加强国资监管，确保国有资产保值增值，减少安全生产事故的发生。</w:t>
      </w:r>
    </w:p>
    <w:p w14:paraId="533C6A98">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4.援越抗美军人补助采用一年（春节、八一）发两次的模式，发放前先摸查人员状况，已死亡的及时删除，按目前最新的名单申请拨款，资金到位后及时足额发放，集中银行统发，资金到位率（发放到援越抗美军人手中的成功率）为100%，不存补助发放不到位或不及时的情况，上访投诉率为零，并有效改善援越抗美军人的生活，也使得援越抗美军人感受到了国家对其深深的关怀，促进了经济发展和社会和谐。</w:t>
      </w:r>
    </w:p>
    <w:p w14:paraId="0937750E">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5.站场（场馆）运营及维修维护保障规划展览馆的正常物业管理和公共秩序，树立优质服务的窗口形象，给广大市民参观提供一个安全、有序和舒适的规划馆参观环境；保证24小时安保值班，给广大市民提供一个安全、有序和舒适的休闲环境。</w:t>
      </w:r>
    </w:p>
    <w:p w14:paraId="0F83ED1F">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（二）履职效能分析</w:t>
      </w:r>
    </w:p>
    <w:p w14:paraId="666F44AA">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我委推进了国企改革发展，加强了国资监管，加强了站场（场馆）运营及维修维护，完成了给予援越抗美军人补助、市属国企政策性补贴和解决相关历史遗留问题。</w:t>
      </w:r>
    </w:p>
    <w:p w14:paraId="666AF5D4">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（三）管理效率分析</w:t>
      </w:r>
    </w:p>
    <w:p w14:paraId="30AA9AE2">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我委每年进行预算编制、目标设置，认真执行预算，及时进行信息公开，对项目与企业做好成本管控、绩效管理、采购管理、资产管理，把握好运行成本。</w:t>
      </w:r>
    </w:p>
    <w:p w14:paraId="16C8D7CF">
      <w:pPr>
        <w:numPr>
          <w:ilvl w:val="0"/>
          <w:numId w:val="2"/>
        </w:num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就部门整体支出绩效管理存在问题提出改进措施。</w:t>
      </w:r>
    </w:p>
    <w:p w14:paraId="4CC78EB1">
      <w:pPr>
        <w:numPr>
          <w:ilvl w:val="-1"/>
          <w:numId w:val="0"/>
        </w:num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1.存在问题。我委预算绩效管理工作虽然取得了一些成绩，还有一些不足之处需要完善。一是局内部控制管理工作还需进一步加强，内部管理制度还要进一步完善。二是工作人员业务水平有待进一步提高。三是绩效管理评价工作还有很多需要提高的余地。</w:t>
      </w:r>
    </w:p>
    <w:p w14:paraId="19E68CAE">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2．改进建议。</w:t>
      </w:r>
    </w:p>
    <w:p w14:paraId="76172623">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1）加强预算管理。不断强化预算意识，形成以单位领导重视、财务部门牵头、其他业务科室密切配合的工作格局，保证预算编制质量。加强对预算执行过程的控制和结果的反馈，对预算执行差异及时分析成因和影响。</w:t>
      </w:r>
    </w:p>
    <w:p w14:paraId="7EE24364">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2）加强内控管理。健全完善部门内控制度，全面梳理业务流程，明确业务环节，分析风险隐患;有效运用不相容岗位相互分离、内部授权审批控制、归口管理、预算控制、财产保护控制、会计控制、信息内部公开等内部控制基本方法，加强对单位层面和业务层面的内部控制。</w:t>
      </w:r>
    </w:p>
    <w:p w14:paraId="69A71255">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3）加强资产管理。一是加强会计核算工作。严格执行现行固定资产管理制度，对已完工的基建工程、购入的固定资产、收到的捐赠资产等及时入账，并按照数量、金额等登记入“行政事业资产管理信息系统”，编制固定资产卡片，确保账面上能真实、完整的反映单位的固定资产情况。二是加强程序管理。对纳入政府采购目录范围内的资产采购，必须按政府采购程序办理采购；未纳入政府采购目录范围内的资产采购，按相关规定采用其他形式采购。</w:t>
      </w:r>
    </w:p>
    <w:p w14:paraId="0756AEAD">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4）加强绩效管理。进一步提高预算绩效管理认识，在绩效目标编制方面，针对绩效目标设置指向不清、预算和目标匹配不足，数量目标和质量目标量化不细，效益目标编制不完整等方面加以了改善。加强预算绩效动态监控管理，及时跟踪项目进度，对项目实施中存在的具体问题采取纠偏措施。</w:t>
      </w:r>
    </w:p>
    <w:p w14:paraId="282321A5">
      <w:pPr>
        <w:ind w:firstLine="640" w:firstLineChars="200"/>
        <w:outlineLvl w:val="1"/>
        <w:rPr>
          <w:rFonts w:hint="eastAsia" w:ascii="黑体" w:hAnsi="黑体" w:eastAsia="黑体" w:cs="黑体"/>
          <w:b w:val="0"/>
          <w:bCs/>
          <w:sz w:val="32"/>
          <w:szCs w:val="32"/>
          <w:highlight w:val="none"/>
          <w:lang w:eastAsia="zh-CN"/>
        </w:rPr>
      </w:pPr>
      <w:r>
        <w:rPr>
          <w:rFonts w:hint="eastAsia" w:ascii="黑体" w:hAnsi="黑体" w:eastAsia="黑体" w:cs="宋体"/>
          <w:kern w:val="0"/>
          <w:sz w:val="32"/>
          <w:szCs w:val="32"/>
          <w:highlight w:val="none"/>
          <w:lang w:val="zh-CN"/>
        </w:rPr>
        <w:t>三、</w:t>
      </w:r>
      <w:r>
        <w:rPr>
          <w:rFonts w:hint="eastAsia" w:ascii="黑体" w:hAnsi="黑体" w:eastAsia="黑体" w:cs="黑体"/>
          <w:b w:val="0"/>
          <w:bCs/>
          <w:sz w:val="32"/>
          <w:szCs w:val="32"/>
          <w:highlight w:val="none"/>
          <w:lang w:eastAsia="zh-CN"/>
        </w:rPr>
        <w:t>上年度绩效自评或财政重点绩效评价整改情况</w:t>
      </w:r>
    </w:p>
    <w:p w14:paraId="7C546ABD">
      <w:pPr>
        <w:ind w:firstLine="640" w:firstLineChars="200"/>
        <w:outlineLvl w:val="9"/>
        <w:rPr>
          <w:rFonts w:hint="eastAsia" w:ascii="仿宋_GB2312" w:eastAsia="仿宋_GB2312" w:cs="宋体"/>
          <w:b w:val="0"/>
          <w:bCs w:val="0"/>
          <w:kern w:val="0"/>
          <w:sz w:val="32"/>
          <w:szCs w:val="32"/>
          <w:highlight w:val="none"/>
          <w:lang w:val="zh-CN" w:eastAsia="zh-CN"/>
        </w:rPr>
      </w:pPr>
      <w:r>
        <w:rPr>
          <w:rFonts w:hint="eastAsia" w:ascii="仿宋_GB2312" w:hAnsi="Times New Roman" w:eastAsia="仿宋_GB2312" w:cs="宋体"/>
          <w:b w:val="0"/>
          <w:bCs w:val="0"/>
          <w:kern w:val="0"/>
          <w:sz w:val="32"/>
          <w:szCs w:val="32"/>
          <w:highlight w:val="none"/>
          <w:lang w:val="zh-CN" w:eastAsia="zh-CN"/>
        </w:rPr>
        <w:t>2025年1月，已印发《江门市市属企业投资监督管理办法》，对将来开展新项目时，落实整改措施</w:t>
      </w:r>
      <w:r>
        <w:rPr>
          <w:rFonts w:hint="eastAsia" w:ascii="仿宋_GB2312" w:eastAsia="仿宋_GB2312" w:cs="宋体"/>
          <w:b w:val="0"/>
          <w:bCs w:val="0"/>
          <w:kern w:val="0"/>
          <w:sz w:val="32"/>
          <w:szCs w:val="32"/>
          <w:highlight w:val="none"/>
          <w:lang w:val="zh-CN" w:eastAsia="zh-CN"/>
        </w:rPr>
        <w:t>。</w:t>
      </w:r>
      <w:r>
        <w:rPr>
          <w:rFonts w:hint="eastAsia" w:ascii="仿宋_GB2312" w:eastAsia="仿宋_GB2312" w:cs="宋体"/>
          <w:kern w:val="0"/>
          <w:sz w:val="32"/>
          <w:szCs w:val="32"/>
          <w:highlight w:val="none"/>
          <w:lang w:val="zh-CN"/>
        </w:rPr>
        <w:t>后续将继续加强对文旅交通集团的监督指导，强化年度投资计划的预见性、科学性和严谨性，贯彻执行《江门市市属企业投资监督管理办法》和《江门市国资委及市管企业权责清单（2022年版）》的有关要求。</w:t>
      </w:r>
    </w:p>
    <w:p w14:paraId="03C77838">
      <w:pPr>
        <w:ind w:firstLine="640" w:firstLineChars="200"/>
        <w:outlineLvl w:val="9"/>
        <w:rPr>
          <w:rFonts w:hint="eastAsia" w:ascii="仿宋_GB2312" w:eastAsia="仿宋_GB2312" w:cs="宋体"/>
          <w:b w:val="0"/>
          <w:bCs w:val="0"/>
          <w:kern w:val="0"/>
          <w:sz w:val="32"/>
          <w:szCs w:val="32"/>
          <w:highlight w:val="none"/>
          <w:lang w:val="zh-CN" w:eastAsia="zh-CN"/>
        </w:rPr>
      </w:pPr>
      <w:r>
        <w:rPr>
          <w:rFonts w:hint="eastAsia" w:ascii="仿宋_GB2312" w:eastAsia="仿宋_GB2312" w:cs="宋体"/>
          <w:b w:val="0"/>
          <w:bCs w:val="0"/>
          <w:kern w:val="0"/>
          <w:sz w:val="32"/>
          <w:szCs w:val="32"/>
          <w:highlight w:val="none"/>
          <w:lang w:val="zh-CN" w:eastAsia="zh-CN"/>
        </w:rPr>
        <w:t>企业务必做到立项申请材料规范，对投资项目上报的请示中谨慎细致检查关键内容，提供完整、规范的申请材料；组织投资项目小组对项目进行的投资立项的前期调查，论证投资项目的充分性，保证对投资项目的有效监督；高度重视，做好深度调研，加强对供应商进行资格性审查、经验及业绩”和服务质量的考察，选择综合技能较好的供应商，以提高可研报告的深度和准确性；把领导人员执行“三重一大”决策制度的情况作为重点内容进行考核评估，对投资项目开展效能监督检查工作。</w:t>
      </w:r>
      <w:bookmarkStart w:id="0" w:name="_GoBack"/>
      <w:bookmarkEnd w:id="0"/>
      <w:r>
        <w:rPr>
          <w:rFonts w:hint="eastAsia" w:ascii="仿宋_GB2312" w:eastAsia="仿宋_GB2312" w:cs="宋体"/>
          <w:b w:val="0"/>
          <w:bCs w:val="0"/>
          <w:kern w:val="0"/>
          <w:sz w:val="32"/>
          <w:szCs w:val="32"/>
          <w:highlight w:val="none"/>
          <w:lang w:val="zh-CN" w:eastAsia="zh-CN"/>
        </w:rPr>
        <w:t>企业将</w:t>
      </w:r>
      <w:r>
        <w:rPr>
          <w:rFonts w:hint="eastAsia" w:ascii="仿宋_GB2312" w:eastAsia="仿宋_GB2312" w:cs="宋体"/>
          <w:kern w:val="0"/>
          <w:sz w:val="32"/>
          <w:szCs w:val="32"/>
          <w:highlight w:val="none"/>
          <w:lang w:val="zh-CN"/>
        </w:rPr>
        <w:t>不断完善集团层面的投资监督管理办法，明确投资决策流程及投资事前、事中、事后各环节的管理要求，确保投资活动规范有序、有据可依；在今后的经理目标考核工作中，文旅集团将重新审视和修订考核指标，并加强考核过程的监督和审核，对考核结果进行多级审核，以提高考核的公正性和准确性，保证考核工作的严谨性；在该项目后续实施过程中，文旅集团将合理设置项目总体绩效目标，细化绩效指标，有针对性地设置与项目主要任务相匹配指标，确保绩效指标的合理性和准确性。</w:t>
      </w:r>
    </w:p>
    <w:p w14:paraId="1B5CA0E2">
      <w:pPr>
        <w:ind w:firstLine="640" w:firstLineChars="200"/>
        <w:outlineLvl w:val="9"/>
        <w:rPr>
          <w:rFonts w:hint="eastAsia" w:ascii="仿宋_GB2312" w:hAnsi="Times New Roman" w:eastAsia="仿宋_GB2312" w:cs="宋体"/>
          <w:b w:val="0"/>
          <w:bCs w:val="0"/>
          <w:kern w:val="0"/>
          <w:sz w:val="32"/>
          <w:szCs w:val="32"/>
          <w:highlight w:val="none"/>
          <w:lang w:val="zh-CN" w:eastAsia="zh-CN"/>
        </w:rPr>
      </w:pPr>
      <w:r>
        <w:rPr>
          <w:rFonts w:hint="eastAsia" w:ascii="仿宋_GB2312" w:eastAsia="仿宋_GB2312" w:cs="宋体"/>
          <w:b w:val="0"/>
          <w:bCs w:val="0"/>
          <w:kern w:val="0"/>
          <w:sz w:val="32"/>
          <w:szCs w:val="32"/>
          <w:highlight w:val="none"/>
          <w:lang w:val="zh-CN" w:eastAsia="zh-CN"/>
        </w:rPr>
        <w:t>今后骏安物流以深入实践的经营数据为依据，适时按实际生产需求调整车辆采购与投产数量计划；将依据市场需要，深入市场调研，积极开拓多元化运输业务，提高公司整体运力，增加驾驶员的工作机会和收入保障；加强与第三方专业招聘公司的合作，充分利用五邑地区兄弟单位的公众号平台发布招聘信息，扩大招聘覆盖面，同时通过在职驾驶员积极宣传介绍，吸引更多符合资质的驾驶员加入。骏安物流将持续关注市场动态，灵活调整招聘策略，确保招聘工作稳步推进，为公司业务发展提供有力的人力支持，以提升项目产出效益。</w:t>
      </w:r>
    </w:p>
    <w:sectPr>
      <w:headerReference r:id="rId5" w:type="first"/>
      <w:headerReference r:id="rId3" w:type="default"/>
      <w:footerReference r:id="rId6" w:type="default"/>
      <w:head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16EDB">
    <w:pPr>
      <w:pStyle w:val="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92AF5B">
                          <w:pPr>
                            <w:pStyle w:val="2"/>
                          </w:pPr>
                          <w:r>
                            <w:fldChar w:fldCharType="begin"/>
                          </w:r>
                          <w:r>
                            <w:instrText xml:space="preserve"> PAGE  \* MERGEFORMAT </w:instrText>
                          </w:r>
                          <w:r>
                            <w:fldChar w:fldCharType="separate"/>
                          </w:r>
                          <w:r>
                            <w:t>25</w:t>
                          </w:r>
                          <w:r>
                            <w:fldChar w:fldCharType="end"/>
                          </w:r>
                        </w:p>
                      </w:txbxContent>
                    </wps:txbx>
                    <wps:bodyPr wrap="none" lIns="0" tIns="0" rIns="0" bIns="0" upright="1">
                      <a:spAutoFit/>
                    </wps:bodyPr>
                  </wps:wsp>
                </a:graphicData>
              </a:graphic>
            </wp:anchor>
          </w:drawing>
        </mc:Choice>
        <mc:Fallback>
          <w:pict>
            <v:shape id="Text Box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O&#10;qXm5zwAAAAUBAAAPAAAAAAAAAAEAIAAAACIAAABkcnMvZG93bnJldi54bWxQSwECFAAUAAAACACH&#10;TuJAB1ZmhbsBAACbAwAADgAAAAAAAAABACAAAAAeAQAAZHJzL2Uyb0RvYy54bWxQSwUGAAAAAAYA&#10;BgBZAQAASwUAAAAA&#10;">
              <v:fill on="f" focussize="0,0"/>
              <v:stroke on="f"/>
              <v:imagedata o:title=""/>
              <o:lock v:ext="edit" aspectratio="f"/>
              <v:textbox inset="0mm,0mm,0mm,0mm" style="mso-fit-shape-to-text:t;">
                <w:txbxContent>
                  <w:p w14:paraId="2592AF5B">
                    <w:pPr>
                      <w:pStyle w:val="2"/>
                    </w:pPr>
                    <w:r>
                      <w:fldChar w:fldCharType="begin"/>
                    </w:r>
                    <w:r>
                      <w:instrText xml:space="preserve"> PAGE  \* MERGEFORMAT </w:instrText>
                    </w:r>
                    <w:r>
                      <w:fldChar w:fldCharType="separate"/>
                    </w:r>
                    <w:r>
                      <w:t>25</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88DA15">
                          <w:pPr>
                            <w:pStyle w:val="2"/>
                            <w:jc w:val="center"/>
                          </w:pPr>
                        </w:p>
                        <w:p w14:paraId="5E2AEA7E"/>
                      </w:txbxContent>
                    </wps:txbx>
                    <wps:bodyPr wrap="none" lIns="0" tIns="0" rIns="0" bIns="0" upright="1">
                      <a:spAutoFit/>
                    </wps:bodyPr>
                  </wps:wsp>
                </a:graphicData>
              </a:graphic>
            </wp:anchor>
          </w:drawing>
        </mc:Choice>
        <mc:Fallback>
          <w:pict>
            <v:shape id="Text Box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O&#10;qXm5zwAAAAUBAAAPAAAAAAAAAAEAIAAAACIAAABkcnMvZG93bnJldi54bWxQSwECFAAUAAAACACH&#10;TuJA+wijg7sBAACbAwAADgAAAAAAAAABACAAAAAeAQAAZHJzL2Uyb0RvYy54bWxQSwUGAAAAAAYA&#10;BgBZAQAASwUAAAAA&#10;">
              <v:fill on="f" focussize="0,0"/>
              <v:stroke on="f"/>
              <v:imagedata o:title=""/>
              <o:lock v:ext="edit" aspectratio="f"/>
              <v:textbox inset="0mm,0mm,0mm,0mm" style="mso-fit-shape-to-text:t;">
                <w:txbxContent>
                  <w:p w14:paraId="0788DA15">
                    <w:pPr>
                      <w:pStyle w:val="2"/>
                      <w:jc w:val="center"/>
                    </w:pPr>
                  </w:p>
                  <w:p w14:paraId="5E2AEA7E"/>
                </w:txbxContent>
              </v:textbox>
            </v:shape>
          </w:pict>
        </mc:Fallback>
      </mc:AlternateContent>
    </w:r>
  </w:p>
  <w:p w14:paraId="79AF7D01">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BDCBC">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D7342">
    <w:pPr>
      <w:pStyle w:val="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60EDE">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A49329"/>
    <w:multiLevelType w:val="singleLevel"/>
    <w:tmpl w:val="9DA49329"/>
    <w:lvl w:ilvl="0" w:tentative="0">
      <w:start w:val="4"/>
      <w:numFmt w:val="chineseCounting"/>
      <w:suff w:val="nothing"/>
      <w:lvlText w:val="（%1）"/>
      <w:lvlJc w:val="left"/>
      <w:rPr>
        <w:rFonts w:hint="eastAsia"/>
      </w:rPr>
    </w:lvl>
  </w:abstractNum>
  <w:abstractNum w:abstractNumId="1">
    <w:nsid w:val="305E3351"/>
    <w:multiLevelType w:val="singleLevel"/>
    <w:tmpl w:val="305E3351"/>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FF10C5"/>
    <w:rsid w:val="3EF9F5CB"/>
    <w:rsid w:val="4442272F"/>
    <w:rsid w:val="517F0D82"/>
    <w:rsid w:val="586F7F48"/>
    <w:rsid w:val="5FDE5CC3"/>
    <w:rsid w:val="77DB12BE"/>
    <w:rsid w:val="797B272F"/>
    <w:rsid w:val="7FDF84BE"/>
    <w:rsid w:val="7FFF10C5"/>
    <w:rsid w:val="BF256713"/>
    <w:rsid w:val="BFEF66EB"/>
    <w:rsid w:val="D67746AD"/>
    <w:rsid w:val="D7D613E5"/>
    <w:rsid w:val="DF3B8BDB"/>
    <w:rsid w:val="EDD3264C"/>
    <w:rsid w:val="F3FFE12C"/>
    <w:rsid w:val="FCFF29D9"/>
    <w:rsid w:val="FFFAAC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348</Words>
  <Characters>348</Characters>
  <Lines>0</Lines>
  <Paragraphs>0</Paragraphs>
  <TotalTime>8</TotalTime>
  <ScaleCrop>false</ScaleCrop>
  <LinksUpToDate>false</LinksUpToDate>
  <CharactersWithSpaces>348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2024-04-19T18:19:00Z</dcterms:created>
  <dc:creator>李晓蕾</dc:creator>
  <cp:lastModifiedBy>黄清瑶</cp:lastModifiedBy>
  <dcterms:modified xsi:type="dcterms:W3CDTF">2025-04-30T01:31:24Z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4C8A551F4B9D96EBF5B3EC672D490C21</vt:lpwstr>
  </property>
  <property fmtid="{D5CDD505-2E9C-101B-9397-08002B2CF9AE}" pid="3" name="KSOProductBuildVer">
    <vt:lpwstr>2052-12.1.0.20784</vt:lpwstr>
  </property>
  <property fmtid="{D5CDD505-2E9C-101B-9397-08002B2CF9AE}" pid="4" name="KSOTemplateDocerSaveRecord">
    <vt:lpwstr>eyJoZGlkIjoiNzA1MTM1NGJlMjlmMzY2Mzc3MDA5MGMzNDk0YmQyNTcifQ==</vt:lpwstr>
  </property>
</Properties>
</file>