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8B337">
      <w:pPr>
        <w:spacing w:line="360" w:lineRule="auto"/>
        <w:rPr>
          <w:rFonts w:hint="eastAsia" w:ascii="宋体" w:hAnsi="宋体" w:cs="宋体"/>
          <w:lang w:val="en-US" w:eastAsia="zh-CN"/>
        </w:rPr>
      </w:pPr>
      <w:r>
        <w:rPr>
          <w:rFonts w:hint="eastAsia" w:ascii="宋体" w:hAnsi="宋体" w:cs="宋体"/>
          <w:lang w:val="en-US" w:eastAsia="zh-CN"/>
        </w:rPr>
        <w:t>附件2：</w:t>
      </w:r>
    </w:p>
    <w:p w14:paraId="04E5D025">
      <w:pPr>
        <w:spacing w:line="5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江门市</w:t>
      </w:r>
      <w:r>
        <w:rPr>
          <w:rFonts w:hint="eastAsia" w:ascii="方正小标宋简体" w:hAnsi="方正小标宋简体" w:eastAsia="方正小标宋简体" w:cs="方正小标宋简体"/>
          <w:sz w:val="36"/>
          <w:szCs w:val="36"/>
          <w:lang w:val="en-US" w:eastAsia="zh-CN"/>
        </w:rPr>
        <w:t>恩平</w:t>
      </w:r>
      <w:r>
        <w:rPr>
          <w:rFonts w:hint="eastAsia" w:ascii="方正小标宋简体" w:hAnsi="方正小标宋简体" w:eastAsia="方正小标宋简体" w:cs="方正小标宋简体"/>
          <w:sz w:val="36"/>
          <w:szCs w:val="36"/>
        </w:rPr>
        <w:t>公路局养护中心车辆保险服务</w:t>
      </w:r>
    </w:p>
    <w:p w14:paraId="1E104104">
      <w:pPr>
        <w:spacing w:line="500" w:lineRule="exact"/>
        <w:jc w:val="center"/>
        <w:rPr>
          <w:sz w:val="24"/>
          <w:szCs w:val="24"/>
        </w:rPr>
      </w:pPr>
      <w:r>
        <w:rPr>
          <w:rFonts w:hint="eastAsia" w:ascii="方正小标宋简体" w:hAnsi="方正小标宋简体" w:eastAsia="方正小标宋简体" w:cs="方正小标宋简体"/>
          <w:sz w:val="36"/>
          <w:szCs w:val="36"/>
        </w:rPr>
        <w:t>采购评分标准</w:t>
      </w:r>
    </w:p>
    <w:p w14:paraId="3DF6B6CA">
      <w:pPr>
        <w:pStyle w:val="3"/>
        <w:rPr>
          <w:rFonts w:hAnsi="宋体" w:cs="宋体"/>
        </w:rPr>
      </w:pPr>
    </w:p>
    <w:p w14:paraId="7D14725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一、评分选取方式</w:t>
      </w:r>
    </w:p>
    <w:p w14:paraId="5B0F994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本次采购采用【自行采购的综合选取】的方式确定中选机构。评分小组先对报名的供应商进行初步评审；然后对满足初步评审要求的供应商，按照详细评审规定的评分标准进行打分。</w:t>
      </w:r>
    </w:p>
    <w:p w14:paraId="5B09BD0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评分小组成员对供应商的详细评审各评审因素进行评分，计算出各评审因素的算术平均值后合计总和作为该供应商的得分，并按得分由高到低顺序推荐中选机构。</w:t>
      </w:r>
    </w:p>
    <w:p w14:paraId="6A8254E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如有两家或以上供应商的综合得分相同且得分均为最高，评分小组视供应商的情况综合比较，投票确定其名次。</w:t>
      </w:r>
    </w:p>
    <w:p w14:paraId="6D902DE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二、初步评审</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14:paraId="7CF2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809" w:type="dxa"/>
            <w:shd w:val="clear" w:color="auto" w:fill="auto"/>
            <w:vAlign w:val="center"/>
          </w:tcPr>
          <w:p w14:paraId="3C126EFD">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评审因素</w:t>
            </w:r>
          </w:p>
        </w:tc>
        <w:tc>
          <w:tcPr>
            <w:tcW w:w="6713" w:type="dxa"/>
            <w:shd w:val="clear" w:color="auto" w:fill="auto"/>
            <w:vAlign w:val="center"/>
          </w:tcPr>
          <w:p w14:paraId="0F7A4A22">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评审标准</w:t>
            </w:r>
          </w:p>
        </w:tc>
      </w:tr>
      <w:tr w14:paraId="15D8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1809" w:type="dxa"/>
            <w:shd w:val="clear" w:color="auto" w:fill="auto"/>
            <w:vAlign w:val="center"/>
          </w:tcPr>
          <w:p w14:paraId="0CAE3637">
            <w:pPr>
              <w:adjustRightInd/>
              <w:spacing w:line="360" w:lineRule="auto"/>
              <w:jc w:val="center"/>
              <w:rPr>
                <w:rFonts w:hint="eastAsia" w:ascii="宋体" w:hAnsi="宋体" w:eastAsia="宋体" w:cs="宋体"/>
                <w:sz w:val="24"/>
                <w:szCs w:val="24"/>
              </w:rPr>
            </w:pPr>
            <w:r>
              <w:rPr>
                <w:rFonts w:hint="eastAsia" w:ascii="宋体" w:hAnsi="宋体" w:eastAsia="宋体" w:cs="宋体"/>
                <w:sz w:val="24"/>
                <w:szCs w:val="24"/>
              </w:rPr>
              <w:t>资质</w:t>
            </w:r>
          </w:p>
        </w:tc>
        <w:tc>
          <w:tcPr>
            <w:tcW w:w="6713" w:type="dxa"/>
            <w:shd w:val="clear" w:color="auto" w:fill="auto"/>
            <w:vAlign w:val="center"/>
          </w:tcPr>
          <w:p w14:paraId="71FDEBDB">
            <w:pPr>
              <w:spacing w:line="360" w:lineRule="auto"/>
              <w:rPr>
                <w:rFonts w:hint="eastAsia" w:ascii="宋体" w:hAnsi="宋体" w:eastAsia="宋体" w:cs="宋体"/>
                <w:sz w:val="24"/>
                <w:szCs w:val="24"/>
              </w:rPr>
            </w:pPr>
            <w:r>
              <w:rPr>
                <w:rFonts w:hint="eastAsia" w:ascii="宋体" w:hAnsi="宋体" w:eastAsia="宋体" w:cs="宋体"/>
                <w:sz w:val="24"/>
                <w:szCs w:val="24"/>
              </w:rPr>
              <w:t>（1）在中华人民共和国境内依法注册的具有合法经营资格的独立法人；</w:t>
            </w:r>
          </w:p>
          <w:p w14:paraId="5E830CE0">
            <w:pPr>
              <w:spacing w:line="360" w:lineRule="auto"/>
              <w:rPr>
                <w:rFonts w:hint="eastAsia" w:ascii="宋体" w:hAnsi="宋体" w:eastAsia="宋体" w:cs="宋体"/>
                <w:sz w:val="24"/>
                <w:szCs w:val="24"/>
              </w:rPr>
            </w:pPr>
            <w:r>
              <w:rPr>
                <w:rFonts w:hint="eastAsia" w:ascii="宋体" w:hAnsi="宋体" w:eastAsia="宋体" w:cs="宋体"/>
                <w:sz w:val="24"/>
                <w:szCs w:val="24"/>
              </w:rPr>
              <w:t>（2）具备相应行业资质；</w:t>
            </w:r>
          </w:p>
          <w:p w14:paraId="6817F3D2">
            <w:pPr>
              <w:spacing w:line="360" w:lineRule="auto"/>
              <w:rPr>
                <w:rFonts w:hint="eastAsia" w:ascii="宋体" w:hAnsi="宋体" w:eastAsia="宋体" w:cs="宋体"/>
                <w:sz w:val="24"/>
                <w:szCs w:val="24"/>
              </w:rPr>
            </w:pPr>
            <w:r>
              <w:rPr>
                <w:rFonts w:hint="eastAsia" w:ascii="宋体" w:hAnsi="宋体" w:eastAsia="宋体" w:cs="宋体"/>
                <w:sz w:val="24"/>
                <w:szCs w:val="24"/>
              </w:rPr>
              <w:t>（3）不属于回避单位。</w:t>
            </w:r>
          </w:p>
        </w:tc>
      </w:tr>
      <w:tr w14:paraId="75CC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5" w:hRule="atLeast"/>
        </w:trPr>
        <w:tc>
          <w:tcPr>
            <w:tcW w:w="1809" w:type="dxa"/>
            <w:shd w:val="clear" w:color="auto" w:fill="auto"/>
            <w:vAlign w:val="center"/>
          </w:tcPr>
          <w:p w14:paraId="5C6DB95E">
            <w:pPr>
              <w:adjustRightInd/>
              <w:spacing w:line="360" w:lineRule="auto"/>
              <w:jc w:val="center"/>
              <w:rPr>
                <w:rFonts w:hint="eastAsia" w:ascii="宋体" w:hAnsi="宋体" w:eastAsia="宋体" w:cs="宋体"/>
                <w:sz w:val="24"/>
                <w:szCs w:val="24"/>
              </w:rPr>
            </w:pPr>
            <w:r>
              <w:rPr>
                <w:rFonts w:hint="eastAsia" w:ascii="宋体" w:hAnsi="宋体" w:eastAsia="宋体" w:cs="宋体"/>
                <w:sz w:val="24"/>
                <w:szCs w:val="24"/>
              </w:rPr>
              <w:t>信用</w:t>
            </w:r>
          </w:p>
        </w:tc>
        <w:tc>
          <w:tcPr>
            <w:tcW w:w="6713" w:type="dxa"/>
            <w:shd w:val="clear" w:color="auto" w:fill="auto"/>
            <w:vAlign w:val="center"/>
          </w:tcPr>
          <w:p w14:paraId="28C598EF">
            <w:pPr>
              <w:spacing w:line="360" w:lineRule="auto"/>
              <w:rPr>
                <w:rFonts w:hint="eastAsia" w:ascii="宋体" w:hAnsi="宋体" w:eastAsia="宋体" w:cs="宋体"/>
                <w:sz w:val="24"/>
                <w:szCs w:val="24"/>
              </w:rPr>
            </w:pPr>
            <w:r>
              <w:rPr>
                <w:rFonts w:hint="eastAsia" w:ascii="宋体" w:hAnsi="宋体" w:eastAsia="宋体" w:cs="宋体"/>
                <w:sz w:val="24"/>
                <w:szCs w:val="24"/>
              </w:rPr>
              <w:t>（1）中介机构在国家企业信用信息公示系统中未被列入严重违法失信企业名单；</w:t>
            </w:r>
          </w:p>
          <w:p w14:paraId="76CA69C3">
            <w:pPr>
              <w:spacing w:line="360" w:lineRule="auto"/>
              <w:rPr>
                <w:rFonts w:hint="eastAsia" w:ascii="宋体" w:hAnsi="宋体" w:eastAsia="宋体" w:cs="宋体"/>
                <w:sz w:val="24"/>
                <w:szCs w:val="24"/>
              </w:rPr>
            </w:pPr>
            <w:r>
              <w:rPr>
                <w:rFonts w:hint="eastAsia" w:ascii="宋体" w:hAnsi="宋体" w:eastAsia="宋体" w:cs="宋体"/>
                <w:sz w:val="24"/>
                <w:szCs w:val="24"/>
              </w:rPr>
              <w:t>（2）在“信用中国”网站或地方信用网站的信用信息报告无不良记录。</w:t>
            </w:r>
          </w:p>
          <w:p w14:paraId="7D5E286A">
            <w:pPr>
              <w:spacing w:line="360" w:lineRule="auto"/>
              <w:rPr>
                <w:rFonts w:hint="eastAsia" w:ascii="宋体" w:hAnsi="宋体" w:eastAsia="宋体" w:cs="宋体"/>
                <w:sz w:val="24"/>
                <w:szCs w:val="24"/>
              </w:rPr>
            </w:pPr>
            <w:r>
              <w:rPr>
                <w:rFonts w:hint="eastAsia" w:ascii="宋体" w:hAnsi="宋体" w:eastAsia="宋体" w:cs="宋体"/>
                <w:sz w:val="24"/>
                <w:szCs w:val="24"/>
              </w:rPr>
              <w:t>注：如中介机构未提交上述证明材料，则由评选小组核查；如中介机构为事业单位，无法提供国家企业信用信息公示系统截图，则视作通过。</w:t>
            </w:r>
          </w:p>
        </w:tc>
      </w:tr>
      <w:tr w14:paraId="103A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1809" w:type="dxa"/>
            <w:shd w:val="clear" w:color="auto" w:fill="auto"/>
            <w:vAlign w:val="center"/>
          </w:tcPr>
          <w:p w14:paraId="14C36A82">
            <w:pPr>
              <w:adjustRightInd/>
              <w:spacing w:line="360" w:lineRule="auto"/>
              <w:jc w:val="center"/>
              <w:rPr>
                <w:rFonts w:hint="eastAsia" w:ascii="宋体" w:hAnsi="宋体" w:eastAsia="宋体" w:cs="宋体"/>
                <w:sz w:val="24"/>
                <w:szCs w:val="24"/>
              </w:rPr>
            </w:pPr>
            <w:r>
              <w:rPr>
                <w:rFonts w:hint="eastAsia" w:ascii="宋体" w:hAnsi="宋体" w:eastAsia="宋体" w:cs="宋体"/>
                <w:sz w:val="24"/>
                <w:szCs w:val="24"/>
              </w:rPr>
              <w:t>报价</w:t>
            </w:r>
          </w:p>
        </w:tc>
        <w:tc>
          <w:tcPr>
            <w:tcW w:w="6713" w:type="dxa"/>
            <w:shd w:val="clear" w:color="auto" w:fill="auto"/>
            <w:vAlign w:val="center"/>
          </w:tcPr>
          <w:p w14:paraId="5F7A7CE8">
            <w:pPr>
              <w:adjustRightInd/>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rPr>
              <w:t>保险费优惠系数</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0-100%</w:t>
            </w:r>
            <w:r>
              <w:rPr>
                <w:rFonts w:hint="eastAsia" w:ascii="宋体" w:hAnsi="宋体" w:eastAsia="宋体" w:cs="宋体"/>
                <w:sz w:val="24"/>
                <w:szCs w:val="24"/>
                <w:lang w:eastAsia="zh-CN"/>
              </w:rPr>
              <w:t>）</w:t>
            </w:r>
          </w:p>
        </w:tc>
      </w:tr>
    </w:tbl>
    <w:p w14:paraId="2343DCA6">
      <w:pPr>
        <w:pStyle w:val="3"/>
        <w:rPr>
          <w:rFonts w:hint="eastAsia" w:ascii="宋体" w:hAnsi="宋体" w:eastAsia="宋体" w:cs="宋体"/>
          <w:sz w:val="24"/>
          <w:szCs w:val="24"/>
        </w:rPr>
        <w:sectPr>
          <w:pgSz w:w="11906" w:h="16838"/>
          <w:pgMar w:top="1440" w:right="1800" w:bottom="1440" w:left="1800" w:header="851" w:footer="992" w:gutter="0"/>
          <w:cols w:space="720" w:num="1"/>
          <w:docGrid w:type="lines" w:linePitch="312" w:charSpace="0"/>
        </w:sectPr>
      </w:pPr>
    </w:p>
    <w:p w14:paraId="6CE399E7">
      <w:pPr>
        <w:numPr>
          <w:ilvl w:val="0"/>
          <w:numId w:val="1"/>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详细评审</w:t>
      </w:r>
    </w:p>
    <w:tbl>
      <w:tblPr>
        <w:tblStyle w:val="8"/>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2551"/>
        <w:gridCol w:w="5389"/>
      </w:tblGrid>
      <w:tr w14:paraId="18E6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171" w:type="dxa"/>
            <w:gridSpan w:val="2"/>
            <w:noWrap w:val="0"/>
            <w:vAlign w:val="center"/>
          </w:tcPr>
          <w:p w14:paraId="2BB6E50E">
            <w:pPr>
              <w:spacing w:line="276" w:lineRule="auto"/>
              <w:jc w:val="center"/>
              <w:rPr>
                <w:rFonts w:hint="eastAsia" w:ascii="宋体" w:hAnsi="宋体" w:eastAsia="宋体" w:cs="宋体"/>
                <w:b/>
                <w:sz w:val="24"/>
                <w:szCs w:val="24"/>
              </w:rPr>
            </w:pPr>
            <w:r>
              <w:rPr>
                <w:rFonts w:hint="eastAsia" w:ascii="宋体" w:hAnsi="宋体" w:eastAsia="宋体" w:cs="宋体"/>
                <w:sz w:val="24"/>
                <w:szCs w:val="24"/>
              </w:rPr>
              <w:br w:type="page"/>
            </w:r>
            <w:r>
              <w:rPr>
                <w:rFonts w:hint="eastAsia" w:ascii="宋体" w:hAnsi="宋体" w:eastAsia="宋体" w:cs="宋体"/>
                <w:b/>
                <w:sz w:val="24"/>
                <w:szCs w:val="24"/>
              </w:rPr>
              <w:t>评审因素与评分值</w:t>
            </w:r>
          </w:p>
        </w:tc>
        <w:tc>
          <w:tcPr>
            <w:tcW w:w="5389" w:type="dxa"/>
            <w:vMerge w:val="restart"/>
            <w:noWrap w:val="0"/>
            <w:vAlign w:val="center"/>
          </w:tcPr>
          <w:p w14:paraId="7B813365">
            <w:pPr>
              <w:spacing w:line="276" w:lineRule="auto"/>
              <w:jc w:val="center"/>
              <w:rPr>
                <w:rFonts w:hint="eastAsia" w:ascii="宋体" w:hAnsi="宋体" w:eastAsia="宋体" w:cs="宋体"/>
                <w:sz w:val="24"/>
                <w:szCs w:val="24"/>
              </w:rPr>
            </w:pPr>
            <w:r>
              <w:rPr>
                <w:rFonts w:hint="eastAsia" w:ascii="宋体" w:hAnsi="宋体" w:eastAsia="宋体" w:cs="宋体"/>
                <w:b/>
                <w:sz w:val="24"/>
                <w:szCs w:val="24"/>
              </w:rPr>
              <w:t>评分标准</w:t>
            </w:r>
          </w:p>
        </w:tc>
      </w:tr>
      <w:tr w14:paraId="22B9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620" w:type="dxa"/>
            <w:noWrap w:val="0"/>
            <w:vAlign w:val="center"/>
          </w:tcPr>
          <w:p w14:paraId="008B340F">
            <w:pPr>
              <w:spacing w:line="276" w:lineRule="auto"/>
              <w:jc w:val="center"/>
              <w:rPr>
                <w:rFonts w:hint="eastAsia" w:ascii="宋体" w:hAnsi="宋体" w:eastAsia="宋体" w:cs="宋体"/>
                <w:sz w:val="24"/>
                <w:szCs w:val="24"/>
              </w:rPr>
            </w:pPr>
            <w:r>
              <w:rPr>
                <w:rFonts w:hint="eastAsia" w:ascii="宋体" w:hAnsi="宋体" w:eastAsia="宋体" w:cs="宋体"/>
                <w:b/>
                <w:sz w:val="24"/>
                <w:szCs w:val="24"/>
              </w:rPr>
              <w:t>评审因素</w:t>
            </w:r>
          </w:p>
        </w:tc>
        <w:tc>
          <w:tcPr>
            <w:tcW w:w="2551" w:type="dxa"/>
            <w:noWrap w:val="0"/>
            <w:vAlign w:val="center"/>
          </w:tcPr>
          <w:p w14:paraId="206DEF9A">
            <w:pPr>
              <w:spacing w:line="276" w:lineRule="auto"/>
              <w:jc w:val="center"/>
              <w:rPr>
                <w:rFonts w:hint="eastAsia" w:ascii="宋体" w:hAnsi="宋体" w:eastAsia="宋体" w:cs="宋体"/>
                <w:sz w:val="24"/>
                <w:szCs w:val="24"/>
              </w:rPr>
            </w:pPr>
            <w:r>
              <w:rPr>
                <w:rFonts w:hint="eastAsia" w:ascii="宋体" w:hAnsi="宋体" w:eastAsia="宋体" w:cs="宋体"/>
                <w:b/>
                <w:sz w:val="24"/>
                <w:szCs w:val="24"/>
              </w:rPr>
              <w:t>分值</w:t>
            </w:r>
          </w:p>
        </w:tc>
        <w:tc>
          <w:tcPr>
            <w:tcW w:w="5389" w:type="dxa"/>
            <w:vMerge w:val="continue"/>
            <w:noWrap w:val="0"/>
            <w:vAlign w:val="center"/>
          </w:tcPr>
          <w:p w14:paraId="47BAEA05">
            <w:pPr>
              <w:spacing w:line="276" w:lineRule="auto"/>
              <w:rPr>
                <w:rFonts w:hint="eastAsia" w:ascii="宋体" w:hAnsi="宋体" w:eastAsia="宋体" w:cs="宋体"/>
                <w:sz w:val="24"/>
                <w:szCs w:val="24"/>
              </w:rPr>
            </w:pPr>
          </w:p>
        </w:tc>
      </w:tr>
      <w:tr w14:paraId="3244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7" w:hRule="atLeast"/>
          <w:jc w:val="center"/>
        </w:trPr>
        <w:tc>
          <w:tcPr>
            <w:tcW w:w="1620" w:type="dxa"/>
            <w:noWrap w:val="0"/>
            <w:vAlign w:val="center"/>
          </w:tcPr>
          <w:p w14:paraId="0B0B18E5">
            <w:pPr>
              <w:spacing w:line="276" w:lineRule="auto"/>
              <w:jc w:val="center"/>
              <w:rPr>
                <w:rFonts w:hint="eastAsia" w:ascii="宋体" w:hAnsi="宋体" w:eastAsia="宋体" w:cs="宋体"/>
                <w:sz w:val="24"/>
                <w:szCs w:val="24"/>
              </w:rPr>
            </w:pPr>
            <w:r>
              <w:rPr>
                <w:rFonts w:hint="eastAsia" w:ascii="宋体" w:hAnsi="宋体" w:eastAsia="宋体" w:cs="宋体"/>
                <w:sz w:val="24"/>
                <w:szCs w:val="24"/>
              </w:rPr>
              <w:t>技术（方案）</w:t>
            </w:r>
          </w:p>
          <w:p w14:paraId="78B06B25">
            <w:pPr>
              <w:spacing w:line="276" w:lineRule="auto"/>
              <w:jc w:val="center"/>
              <w:rPr>
                <w:rFonts w:hint="eastAsia" w:ascii="宋体" w:hAnsi="宋体" w:eastAsia="宋体" w:cs="宋体"/>
                <w:sz w:val="24"/>
                <w:szCs w:val="24"/>
              </w:rPr>
            </w:pPr>
            <w:r>
              <w:rPr>
                <w:rFonts w:hint="eastAsia" w:ascii="宋体" w:hAnsi="宋体" w:eastAsia="宋体" w:cs="宋体"/>
                <w:sz w:val="24"/>
                <w:szCs w:val="24"/>
              </w:rPr>
              <w:t>建议书</w:t>
            </w:r>
          </w:p>
        </w:tc>
        <w:tc>
          <w:tcPr>
            <w:tcW w:w="2551" w:type="dxa"/>
            <w:noWrap w:val="0"/>
            <w:vAlign w:val="center"/>
          </w:tcPr>
          <w:p w14:paraId="5FF31DB9">
            <w:pPr>
              <w:spacing w:line="276" w:lineRule="auto"/>
              <w:jc w:val="center"/>
              <w:rPr>
                <w:rFonts w:hint="eastAsia" w:ascii="宋体" w:hAnsi="宋体" w:eastAsia="宋体" w:cs="宋体"/>
                <w:sz w:val="24"/>
                <w:szCs w:val="24"/>
              </w:rPr>
            </w:pPr>
            <w:r>
              <w:rPr>
                <w:rFonts w:hint="eastAsia" w:ascii="宋体" w:hAnsi="宋体" w:eastAsia="宋体" w:cs="宋体"/>
                <w:sz w:val="24"/>
                <w:szCs w:val="24"/>
              </w:rPr>
              <w:t>30</w:t>
            </w:r>
          </w:p>
        </w:tc>
        <w:tc>
          <w:tcPr>
            <w:tcW w:w="5389" w:type="dxa"/>
            <w:noWrap w:val="0"/>
            <w:vAlign w:val="center"/>
          </w:tcPr>
          <w:p w14:paraId="314320AA">
            <w:pPr>
              <w:spacing w:line="276" w:lineRule="auto"/>
              <w:rPr>
                <w:rFonts w:hint="eastAsia" w:ascii="宋体" w:hAnsi="宋体" w:eastAsia="宋体" w:cs="宋体"/>
                <w:sz w:val="24"/>
                <w:szCs w:val="24"/>
              </w:rPr>
            </w:pPr>
            <w:r>
              <w:rPr>
                <w:rFonts w:hint="eastAsia" w:ascii="宋体" w:hAnsi="宋体" w:eastAsia="宋体" w:cs="宋体"/>
                <w:sz w:val="24"/>
                <w:szCs w:val="24"/>
              </w:rPr>
              <w:t>根据对服务工作范围和任务描述准确程度和总体思路清晰、切实可行程度，对技术问题的处理措施、工作计划、安排的合理程度、质量保证措施等是否完善、可行，是否符合采购需求等进行综合比较，</w:t>
            </w:r>
          </w:p>
          <w:p w14:paraId="13D6B59F">
            <w:pPr>
              <w:spacing w:line="276" w:lineRule="auto"/>
              <w:rPr>
                <w:rFonts w:hint="eastAsia" w:ascii="宋体" w:hAnsi="宋体" w:eastAsia="宋体" w:cs="宋体"/>
                <w:sz w:val="24"/>
                <w:szCs w:val="24"/>
              </w:rPr>
            </w:pPr>
            <w:r>
              <w:rPr>
                <w:rFonts w:hint="eastAsia" w:ascii="宋体" w:hAnsi="宋体" w:eastAsia="宋体" w:cs="宋体"/>
                <w:sz w:val="24"/>
                <w:szCs w:val="24"/>
              </w:rPr>
              <w:t>优：24 &lt; 得分 ≤30，</w:t>
            </w:r>
          </w:p>
          <w:p w14:paraId="5960F842">
            <w:pPr>
              <w:spacing w:line="276" w:lineRule="auto"/>
              <w:rPr>
                <w:rFonts w:hint="eastAsia" w:ascii="宋体" w:hAnsi="宋体" w:eastAsia="宋体" w:cs="宋体"/>
                <w:sz w:val="24"/>
                <w:szCs w:val="24"/>
              </w:rPr>
            </w:pPr>
            <w:r>
              <w:rPr>
                <w:rFonts w:hint="eastAsia" w:ascii="宋体" w:hAnsi="宋体" w:eastAsia="宋体" w:cs="宋体"/>
                <w:sz w:val="24"/>
                <w:szCs w:val="24"/>
              </w:rPr>
              <w:t>良：18&lt; 得分 ≤24，</w:t>
            </w:r>
          </w:p>
          <w:p w14:paraId="228A1BA7">
            <w:pPr>
              <w:spacing w:line="276" w:lineRule="auto"/>
              <w:rPr>
                <w:rFonts w:hint="eastAsia" w:ascii="宋体" w:hAnsi="宋体" w:eastAsia="宋体" w:cs="宋体"/>
                <w:sz w:val="24"/>
                <w:szCs w:val="24"/>
              </w:rPr>
            </w:pPr>
            <w:r>
              <w:rPr>
                <w:rFonts w:hint="eastAsia" w:ascii="宋体" w:hAnsi="宋体" w:eastAsia="宋体" w:cs="宋体"/>
                <w:sz w:val="24"/>
                <w:szCs w:val="24"/>
              </w:rPr>
              <w:t>一般：得分 = 18 ，</w:t>
            </w:r>
          </w:p>
          <w:p w14:paraId="7198F0BE">
            <w:pPr>
              <w:pStyle w:val="3"/>
              <w:rPr>
                <w:rFonts w:hint="eastAsia" w:ascii="宋体" w:hAnsi="宋体" w:eastAsia="宋体" w:cs="宋体"/>
                <w:sz w:val="24"/>
                <w:szCs w:val="24"/>
              </w:rPr>
            </w:pPr>
            <w:r>
              <w:rPr>
                <w:rFonts w:hint="eastAsia" w:ascii="宋体" w:hAnsi="宋体" w:eastAsia="宋体" w:cs="宋体"/>
                <w:sz w:val="24"/>
                <w:szCs w:val="24"/>
              </w:rPr>
              <w:t>未提交：0</w:t>
            </w:r>
          </w:p>
        </w:tc>
      </w:tr>
      <w:tr w14:paraId="6F7EA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1620" w:type="dxa"/>
            <w:noWrap w:val="0"/>
            <w:vAlign w:val="center"/>
          </w:tcPr>
          <w:p w14:paraId="4F208ADA">
            <w:pPr>
              <w:spacing w:line="276" w:lineRule="auto"/>
              <w:jc w:val="center"/>
              <w:rPr>
                <w:rFonts w:hint="eastAsia" w:ascii="宋体" w:hAnsi="宋体" w:eastAsia="宋体" w:cs="宋体"/>
                <w:sz w:val="24"/>
                <w:szCs w:val="24"/>
              </w:rPr>
            </w:pPr>
            <w:r>
              <w:rPr>
                <w:rFonts w:hint="eastAsia" w:ascii="宋体" w:hAnsi="宋体" w:eastAsia="宋体" w:cs="宋体"/>
                <w:sz w:val="24"/>
                <w:szCs w:val="24"/>
              </w:rPr>
              <w:t>企业业绩</w:t>
            </w:r>
          </w:p>
        </w:tc>
        <w:tc>
          <w:tcPr>
            <w:tcW w:w="2551" w:type="dxa"/>
            <w:noWrap w:val="0"/>
            <w:vAlign w:val="center"/>
          </w:tcPr>
          <w:p w14:paraId="2F9707B7">
            <w:pPr>
              <w:spacing w:line="276" w:lineRule="auto"/>
              <w:jc w:val="center"/>
              <w:rPr>
                <w:rFonts w:hint="eastAsia" w:ascii="宋体" w:hAnsi="宋体" w:eastAsia="宋体" w:cs="宋体"/>
                <w:sz w:val="24"/>
                <w:szCs w:val="24"/>
              </w:rPr>
            </w:pPr>
            <w:r>
              <w:rPr>
                <w:rFonts w:hint="eastAsia" w:ascii="宋体" w:hAnsi="宋体" w:eastAsia="宋体" w:cs="宋体"/>
                <w:sz w:val="24"/>
                <w:szCs w:val="24"/>
              </w:rPr>
              <w:t>25</w:t>
            </w:r>
          </w:p>
        </w:tc>
        <w:tc>
          <w:tcPr>
            <w:tcW w:w="5389" w:type="dxa"/>
            <w:noWrap w:val="0"/>
            <w:vAlign w:val="center"/>
          </w:tcPr>
          <w:p w14:paraId="333F040D">
            <w:pPr>
              <w:topLinePunct/>
              <w:spacing w:line="288" w:lineRule="auto"/>
              <w:rPr>
                <w:rFonts w:hint="eastAsia" w:ascii="宋体" w:hAnsi="宋体" w:eastAsia="宋体" w:cs="宋体"/>
                <w:sz w:val="24"/>
                <w:szCs w:val="24"/>
              </w:rPr>
            </w:pPr>
            <w:r>
              <w:rPr>
                <w:rFonts w:hint="eastAsia" w:ascii="宋体" w:hAnsi="宋体" w:eastAsia="宋体" w:cs="宋体"/>
                <w:sz w:val="24"/>
                <w:szCs w:val="24"/>
              </w:rPr>
              <w:t>根据中介机构提供的类似项目业绩，综合比较打分，</w:t>
            </w:r>
          </w:p>
          <w:p w14:paraId="1216F841">
            <w:pPr>
              <w:spacing w:line="276" w:lineRule="auto"/>
              <w:rPr>
                <w:rFonts w:hint="eastAsia" w:ascii="宋体" w:hAnsi="宋体" w:eastAsia="宋体" w:cs="宋体"/>
                <w:sz w:val="24"/>
                <w:szCs w:val="24"/>
              </w:rPr>
            </w:pPr>
            <w:r>
              <w:rPr>
                <w:rFonts w:hint="eastAsia" w:ascii="宋体" w:hAnsi="宋体" w:eastAsia="宋体" w:cs="宋体"/>
                <w:sz w:val="24"/>
                <w:szCs w:val="24"/>
              </w:rPr>
              <w:t>优：20 &lt; 得分 ≤25，</w:t>
            </w:r>
          </w:p>
          <w:p w14:paraId="677AA356">
            <w:pPr>
              <w:spacing w:line="276" w:lineRule="auto"/>
              <w:rPr>
                <w:rFonts w:hint="eastAsia" w:ascii="宋体" w:hAnsi="宋体" w:eastAsia="宋体" w:cs="宋体"/>
                <w:sz w:val="24"/>
                <w:szCs w:val="24"/>
              </w:rPr>
            </w:pPr>
            <w:r>
              <w:rPr>
                <w:rFonts w:hint="eastAsia" w:ascii="宋体" w:hAnsi="宋体" w:eastAsia="宋体" w:cs="宋体"/>
                <w:sz w:val="24"/>
                <w:szCs w:val="24"/>
              </w:rPr>
              <w:t>良：15&lt; 得分 ≤20，</w:t>
            </w:r>
          </w:p>
          <w:p w14:paraId="26F789D7">
            <w:pPr>
              <w:spacing w:line="276" w:lineRule="auto"/>
              <w:rPr>
                <w:rFonts w:hint="eastAsia" w:ascii="宋体" w:hAnsi="宋体" w:eastAsia="宋体" w:cs="宋体"/>
                <w:sz w:val="24"/>
                <w:szCs w:val="24"/>
              </w:rPr>
            </w:pPr>
            <w:r>
              <w:rPr>
                <w:rFonts w:hint="eastAsia" w:ascii="宋体" w:hAnsi="宋体" w:eastAsia="宋体" w:cs="宋体"/>
                <w:sz w:val="24"/>
                <w:szCs w:val="24"/>
              </w:rPr>
              <w:t>一般：得分 = 15，</w:t>
            </w:r>
          </w:p>
          <w:p w14:paraId="3C9BEC81">
            <w:pPr>
              <w:pStyle w:val="3"/>
              <w:rPr>
                <w:rFonts w:hint="eastAsia" w:ascii="宋体" w:hAnsi="宋体" w:eastAsia="宋体" w:cs="宋体"/>
                <w:sz w:val="24"/>
                <w:szCs w:val="24"/>
              </w:rPr>
            </w:pPr>
            <w:r>
              <w:rPr>
                <w:rFonts w:hint="eastAsia" w:ascii="宋体" w:hAnsi="宋体" w:eastAsia="宋体" w:cs="宋体"/>
                <w:sz w:val="24"/>
                <w:szCs w:val="24"/>
              </w:rPr>
              <w:t>未提交：0</w:t>
            </w:r>
          </w:p>
        </w:tc>
      </w:tr>
      <w:tr w14:paraId="4D09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5" w:hRule="atLeast"/>
          <w:jc w:val="center"/>
        </w:trPr>
        <w:tc>
          <w:tcPr>
            <w:tcW w:w="1620" w:type="dxa"/>
            <w:noWrap w:val="0"/>
            <w:vAlign w:val="center"/>
          </w:tcPr>
          <w:p w14:paraId="19B8E609">
            <w:pPr>
              <w:spacing w:line="276" w:lineRule="auto"/>
              <w:jc w:val="center"/>
              <w:rPr>
                <w:rFonts w:hint="eastAsia" w:ascii="宋体" w:hAnsi="宋体" w:eastAsia="宋体" w:cs="宋体"/>
                <w:sz w:val="24"/>
                <w:szCs w:val="24"/>
              </w:rPr>
            </w:pPr>
            <w:r>
              <w:rPr>
                <w:rFonts w:hint="eastAsia" w:ascii="宋体" w:hAnsi="宋体" w:eastAsia="宋体" w:cs="宋体"/>
                <w:sz w:val="24"/>
                <w:szCs w:val="24"/>
              </w:rPr>
              <w:t>拟投入主要人员</w:t>
            </w:r>
          </w:p>
        </w:tc>
        <w:tc>
          <w:tcPr>
            <w:tcW w:w="2551" w:type="dxa"/>
            <w:noWrap w:val="0"/>
            <w:vAlign w:val="center"/>
          </w:tcPr>
          <w:p w14:paraId="40716236">
            <w:pPr>
              <w:spacing w:line="276" w:lineRule="auto"/>
              <w:jc w:val="center"/>
              <w:rPr>
                <w:rFonts w:hint="eastAsia" w:ascii="宋体" w:hAnsi="宋体" w:eastAsia="宋体" w:cs="宋体"/>
                <w:sz w:val="24"/>
                <w:szCs w:val="24"/>
              </w:rPr>
            </w:pPr>
            <w:r>
              <w:rPr>
                <w:rFonts w:hint="eastAsia" w:ascii="宋体" w:hAnsi="宋体" w:eastAsia="宋体" w:cs="宋体"/>
                <w:sz w:val="24"/>
                <w:szCs w:val="24"/>
              </w:rPr>
              <w:t>25</w:t>
            </w:r>
          </w:p>
        </w:tc>
        <w:tc>
          <w:tcPr>
            <w:tcW w:w="5389" w:type="dxa"/>
            <w:noWrap w:val="0"/>
            <w:vAlign w:val="center"/>
          </w:tcPr>
          <w:p w14:paraId="40D1B2E3">
            <w:pPr>
              <w:spacing w:line="276" w:lineRule="auto"/>
              <w:rPr>
                <w:rFonts w:hint="eastAsia" w:ascii="宋体" w:hAnsi="宋体" w:eastAsia="宋体" w:cs="宋体"/>
                <w:sz w:val="24"/>
                <w:szCs w:val="24"/>
              </w:rPr>
            </w:pPr>
            <w:r>
              <w:rPr>
                <w:rFonts w:hint="eastAsia" w:ascii="宋体" w:hAnsi="宋体" w:eastAsia="宋体" w:cs="宋体"/>
                <w:sz w:val="24"/>
                <w:szCs w:val="24"/>
              </w:rPr>
              <w:t>根据中介机构提供的人员任职资格，综合比较打分，</w:t>
            </w:r>
          </w:p>
          <w:p w14:paraId="015D9DFE">
            <w:pPr>
              <w:spacing w:line="276" w:lineRule="auto"/>
              <w:rPr>
                <w:rFonts w:hint="eastAsia" w:ascii="宋体" w:hAnsi="宋体" w:eastAsia="宋体" w:cs="宋体"/>
                <w:sz w:val="24"/>
                <w:szCs w:val="24"/>
              </w:rPr>
            </w:pPr>
            <w:r>
              <w:rPr>
                <w:rFonts w:hint="eastAsia" w:ascii="宋体" w:hAnsi="宋体" w:eastAsia="宋体" w:cs="宋体"/>
                <w:sz w:val="24"/>
                <w:szCs w:val="24"/>
              </w:rPr>
              <w:t>优：20 &lt; 得分 ≤25，</w:t>
            </w:r>
          </w:p>
          <w:p w14:paraId="128D731A">
            <w:pPr>
              <w:spacing w:line="276" w:lineRule="auto"/>
              <w:rPr>
                <w:rFonts w:hint="eastAsia" w:ascii="宋体" w:hAnsi="宋体" w:eastAsia="宋体" w:cs="宋体"/>
                <w:sz w:val="24"/>
                <w:szCs w:val="24"/>
              </w:rPr>
            </w:pPr>
            <w:r>
              <w:rPr>
                <w:rFonts w:hint="eastAsia" w:ascii="宋体" w:hAnsi="宋体" w:eastAsia="宋体" w:cs="宋体"/>
                <w:sz w:val="24"/>
                <w:szCs w:val="24"/>
              </w:rPr>
              <w:t>良：15&lt; 得分 ≤20，</w:t>
            </w:r>
          </w:p>
          <w:p w14:paraId="4CD84297">
            <w:pPr>
              <w:spacing w:line="276" w:lineRule="auto"/>
              <w:rPr>
                <w:rFonts w:hint="eastAsia" w:ascii="宋体" w:hAnsi="宋体" w:eastAsia="宋体" w:cs="宋体"/>
                <w:sz w:val="24"/>
                <w:szCs w:val="24"/>
              </w:rPr>
            </w:pPr>
            <w:r>
              <w:rPr>
                <w:rFonts w:hint="eastAsia" w:ascii="宋体" w:hAnsi="宋体" w:eastAsia="宋体" w:cs="宋体"/>
                <w:sz w:val="24"/>
                <w:szCs w:val="24"/>
              </w:rPr>
              <w:t>一般：得分 = 15，</w:t>
            </w:r>
          </w:p>
          <w:p w14:paraId="16C1CF40">
            <w:pPr>
              <w:pStyle w:val="3"/>
              <w:rPr>
                <w:rFonts w:hint="eastAsia" w:ascii="宋体" w:hAnsi="宋体" w:eastAsia="宋体" w:cs="宋体"/>
                <w:sz w:val="24"/>
                <w:szCs w:val="24"/>
              </w:rPr>
            </w:pPr>
            <w:r>
              <w:rPr>
                <w:rFonts w:hint="eastAsia" w:ascii="宋体" w:hAnsi="宋体" w:eastAsia="宋体" w:cs="宋体"/>
                <w:sz w:val="24"/>
                <w:szCs w:val="24"/>
              </w:rPr>
              <w:t>未提交：0</w:t>
            </w:r>
          </w:p>
        </w:tc>
      </w:tr>
      <w:tr w14:paraId="7810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jc w:val="center"/>
        </w:trPr>
        <w:tc>
          <w:tcPr>
            <w:tcW w:w="1620" w:type="dxa"/>
            <w:noWrap w:val="0"/>
            <w:vAlign w:val="center"/>
          </w:tcPr>
          <w:p w14:paraId="5051C58C">
            <w:pPr>
              <w:spacing w:line="276" w:lineRule="auto"/>
              <w:jc w:val="center"/>
              <w:rPr>
                <w:rFonts w:hint="eastAsia" w:ascii="宋体" w:hAnsi="宋体" w:eastAsia="宋体" w:cs="宋体"/>
                <w:sz w:val="24"/>
                <w:szCs w:val="24"/>
              </w:rPr>
            </w:pPr>
            <w:r>
              <w:rPr>
                <w:rFonts w:hint="eastAsia" w:ascii="宋体" w:hAnsi="宋体" w:eastAsia="宋体" w:cs="宋体"/>
                <w:sz w:val="24"/>
                <w:szCs w:val="24"/>
              </w:rPr>
              <w:t>报价</w:t>
            </w:r>
          </w:p>
        </w:tc>
        <w:tc>
          <w:tcPr>
            <w:tcW w:w="2551" w:type="dxa"/>
            <w:noWrap w:val="0"/>
            <w:vAlign w:val="center"/>
          </w:tcPr>
          <w:p w14:paraId="5E627EA9">
            <w:pPr>
              <w:spacing w:line="276" w:lineRule="auto"/>
              <w:jc w:val="center"/>
              <w:rPr>
                <w:rFonts w:hint="eastAsia" w:ascii="宋体" w:hAnsi="宋体" w:eastAsia="宋体" w:cs="宋体"/>
                <w:sz w:val="24"/>
                <w:szCs w:val="24"/>
              </w:rPr>
            </w:pPr>
            <w:r>
              <w:rPr>
                <w:rFonts w:hint="eastAsia" w:ascii="宋体" w:hAnsi="宋体" w:eastAsia="宋体" w:cs="宋体"/>
                <w:sz w:val="24"/>
                <w:szCs w:val="24"/>
              </w:rPr>
              <w:t>10</w:t>
            </w:r>
          </w:p>
          <w:p w14:paraId="0609DE5A">
            <w:pPr>
              <w:spacing w:line="276" w:lineRule="auto"/>
              <w:jc w:val="center"/>
              <w:rPr>
                <w:rFonts w:hint="eastAsia" w:ascii="宋体" w:hAnsi="宋体" w:eastAsia="宋体" w:cs="宋体"/>
                <w:sz w:val="24"/>
                <w:szCs w:val="24"/>
              </w:rPr>
            </w:pPr>
            <w:r>
              <w:rPr>
                <w:rFonts w:hint="eastAsia" w:ascii="宋体" w:hAnsi="宋体" w:eastAsia="宋体" w:cs="宋体"/>
                <w:kern w:val="0"/>
                <w:sz w:val="24"/>
                <w:szCs w:val="24"/>
                <w:lang w:val="en-US" w:eastAsia="zh-CN"/>
              </w:rPr>
              <w:t>（保费优惠系数应填写（1%-100%）的优惠折扣）</w:t>
            </w:r>
          </w:p>
        </w:tc>
        <w:tc>
          <w:tcPr>
            <w:tcW w:w="5389" w:type="dxa"/>
            <w:noWrap w:val="0"/>
            <w:vAlign w:val="center"/>
          </w:tcPr>
          <w:p w14:paraId="135CD715">
            <w:pPr>
              <w:spacing w:line="360" w:lineRule="auto"/>
              <w:jc w:val="both"/>
              <w:rPr>
                <w:rStyle w:val="20"/>
                <w:rFonts w:hint="eastAsia" w:ascii="宋体" w:hAnsi="宋体" w:eastAsia="宋体" w:cs="宋体"/>
                <w:sz w:val="24"/>
                <w:szCs w:val="24"/>
              </w:rPr>
            </w:pPr>
            <w:r>
              <w:rPr>
                <w:rStyle w:val="20"/>
                <w:rFonts w:hint="eastAsia" w:ascii="宋体" w:hAnsi="宋体" w:eastAsia="宋体" w:cs="宋体"/>
                <w:sz w:val="24"/>
                <w:szCs w:val="24"/>
              </w:rPr>
              <w:t>报价得分=评标基准价÷保险费优惠系数</w:t>
            </w:r>
            <w:r>
              <w:rPr>
                <w:rStyle w:val="20"/>
                <w:rFonts w:hint="eastAsia" w:ascii="宋体" w:hAnsi="宋体" w:eastAsia="宋体" w:cs="宋体"/>
                <w:sz w:val="24"/>
                <w:szCs w:val="24"/>
              </w:rPr>
              <w:sym w:font="Wingdings 2" w:char="F0CD"/>
            </w:r>
            <w:r>
              <w:rPr>
                <w:rStyle w:val="20"/>
                <w:rFonts w:hint="eastAsia" w:ascii="宋体" w:hAnsi="宋体" w:eastAsia="宋体" w:cs="宋体"/>
                <w:sz w:val="24"/>
                <w:szCs w:val="24"/>
              </w:rPr>
              <w:t>10</w:t>
            </w:r>
          </w:p>
          <w:p w14:paraId="4CCFF6C7">
            <w:pPr>
              <w:pStyle w:val="3"/>
              <w:numPr>
                <w:ilvl w:val="0"/>
                <w:numId w:val="2"/>
              </w:numPr>
              <w:spacing w:line="360" w:lineRule="auto"/>
              <w:ind w:left="0" w:firstLine="0"/>
              <w:jc w:val="both"/>
              <w:rPr>
                <w:rFonts w:hint="eastAsia" w:ascii="宋体" w:hAnsi="宋体" w:eastAsia="宋体" w:cs="宋体"/>
                <w:sz w:val="24"/>
                <w:szCs w:val="24"/>
                <w:lang w:val="zh-CN" w:bidi="zh-CN"/>
              </w:rPr>
            </w:pPr>
            <w:r>
              <w:rPr>
                <w:rFonts w:hint="eastAsia" w:ascii="宋体" w:hAnsi="宋体" w:eastAsia="宋体" w:cs="宋体"/>
                <w:sz w:val="24"/>
                <w:szCs w:val="24"/>
                <w:lang w:val="zh-CN" w:bidi="zh-CN"/>
              </w:rPr>
              <w:t>以所有合格报价中优</w:t>
            </w:r>
            <w:bookmarkStart w:id="0" w:name="_GoBack"/>
            <w:bookmarkEnd w:id="0"/>
            <w:r>
              <w:rPr>
                <w:rFonts w:hint="eastAsia" w:ascii="宋体" w:hAnsi="宋体" w:eastAsia="宋体" w:cs="宋体"/>
                <w:sz w:val="24"/>
                <w:szCs w:val="24"/>
                <w:lang w:val="zh-CN" w:bidi="zh-CN"/>
              </w:rPr>
              <w:t>惠系数最低的为评标基准价。</w:t>
            </w:r>
          </w:p>
          <w:p w14:paraId="62463D5A">
            <w:pPr>
              <w:pStyle w:val="3"/>
              <w:rPr>
                <w:rFonts w:hint="eastAsia" w:ascii="宋体" w:hAnsi="宋体" w:eastAsia="宋体" w:cs="宋体"/>
                <w:sz w:val="24"/>
                <w:szCs w:val="24"/>
              </w:rPr>
            </w:pPr>
            <w:r>
              <w:rPr>
                <w:rFonts w:hint="eastAsia" w:ascii="宋体" w:hAnsi="宋体" w:eastAsia="宋体" w:cs="宋体"/>
                <w:snapToGrid w:val="0"/>
                <w:sz w:val="24"/>
                <w:szCs w:val="24"/>
                <w:lang w:eastAsia="zh-CN"/>
              </w:rPr>
              <w:t>（</w:t>
            </w:r>
            <w:r>
              <w:rPr>
                <w:rFonts w:hint="eastAsia" w:ascii="宋体" w:hAnsi="宋体" w:eastAsia="宋体" w:cs="宋体"/>
                <w:snapToGrid w:val="0"/>
                <w:sz w:val="24"/>
                <w:szCs w:val="24"/>
                <w:lang w:val="en-US" w:eastAsia="zh-CN"/>
              </w:rPr>
              <w:t>2</w:t>
            </w:r>
            <w:r>
              <w:rPr>
                <w:rFonts w:hint="eastAsia" w:ascii="宋体" w:hAnsi="宋体" w:eastAsia="宋体" w:cs="宋体"/>
                <w:snapToGrid w:val="0"/>
                <w:sz w:val="24"/>
                <w:szCs w:val="24"/>
                <w:lang w:eastAsia="zh-CN"/>
              </w:rPr>
              <w:t>）</w:t>
            </w:r>
            <w:r>
              <w:rPr>
                <w:rFonts w:hint="eastAsia" w:ascii="宋体" w:hAnsi="宋体" w:eastAsia="宋体" w:cs="宋体"/>
                <w:snapToGrid w:val="0"/>
                <w:sz w:val="24"/>
                <w:szCs w:val="24"/>
              </w:rPr>
              <w:t>得分计算保留到小数点后2位。</w:t>
            </w:r>
          </w:p>
        </w:tc>
      </w:tr>
      <w:tr w14:paraId="2628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6" w:hRule="atLeast"/>
          <w:jc w:val="center"/>
        </w:trPr>
        <w:tc>
          <w:tcPr>
            <w:tcW w:w="1620" w:type="dxa"/>
            <w:noWrap w:val="0"/>
            <w:vAlign w:val="center"/>
          </w:tcPr>
          <w:p w14:paraId="2A5C3BC7">
            <w:pPr>
              <w:spacing w:line="276" w:lineRule="auto"/>
              <w:jc w:val="center"/>
              <w:rPr>
                <w:rFonts w:hint="eastAsia" w:ascii="宋体" w:hAnsi="宋体" w:eastAsia="宋体" w:cs="宋体"/>
                <w:sz w:val="24"/>
                <w:szCs w:val="24"/>
              </w:rPr>
            </w:pPr>
            <w:r>
              <w:rPr>
                <w:rFonts w:hint="eastAsia" w:ascii="宋体" w:hAnsi="宋体" w:eastAsia="宋体" w:cs="宋体"/>
                <w:sz w:val="24"/>
                <w:szCs w:val="24"/>
              </w:rPr>
              <w:t>行业履约</w:t>
            </w:r>
          </w:p>
          <w:p w14:paraId="5BA5CDC4">
            <w:pPr>
              <w:spacing w:line="276" w:lineRule="auto"/>
              <w:jc w:val="center"/>
              <w:rPr>
                <w:rFonts w:hint="eastAsia" w:ascii="宋体" w:hAnsi="宋体" w:eastAsia="宋体" w:cs="宋体"/>
                <w:sz w:val="24"/>
                <w:szCs w:val="24"/>
              </w:rPr>
            </w:pPr>
            <w:r>
              <w:rPr>
                <w:rFonts w:hint="eastAsia" w:ascii="宋体" w:hAnsi="宋体" w:eastAsia="宋体" w:cs="宋体"/>
                <w:sz w:val="24"/>
                <w:szCs w:val="24"/>
              </w:rPr>
              <w:t>信誉</w:t>
            </w:r>
          </w:p>
          <w:p w14:paraId="1D16D186">
            <w:pPr>
              <w:spacing w:line="276" w:lineRule="auto"/>
              <w:jc w:val="center"/>
              <w:rPr>
                <w:rFonts w:hint="eastAsia" w:ascii="宋体" w:hAnsi="宋体" w:eastAsia="宋体" w:cs="宋体"/>
                <w:sz w:val="24"/>
                <w:szCs w:val="24"/>
              </w:rPr>
            </w:pPr>
            <w:r>
              <w:rPr>
                <w:rFonts w:hint="eastAsia" w:ascii="宋体" w:hAnsi="宋体" w:eastAsia="宋体" w:cs="宋体"/>
                <w:sz w:val="24"/>
                <w:szCs w:val="24"/>
              </w:rPr>
              <w:t>（如有）</w:t>
            </w:r>
          </w:p>
        </w:tc>
        <w:tc>
          <w:tcPr>
            <w:tcW w:w="2551" w:type="dxa"/>
            <w:noWrap w:val="0"/>
            <w:vAlign w:val="center"/>
          </w:tcPr>
          <w:p w14:paraId="6F82CBE5">
            <w:pPr>
              <w:spacing w:line="276" w:lineRule="auto"/>
              <w:jc w:val="center"/>
              <w:rPr>
                <w:rFonts w:hint="eastAsia" w:ascii="宋体" w:hAnsi="宋体" w:eastAsia="宋体" w:cs="宋体"/>
                <w:sz w:val="24"/>
                <w:szCs w:val="24"/>
              </w:rPr>
            </w:pPr>
            <w:r>
              <w:rPr>
                <w:rFonts w:hint="eastAsia" w:ascii="宋体" w:hAnsi="宋体" w:eastAsia="宋体" w:cs="宋体"/>
                <w:sz w:val="24"/>
                <w:szCs w:val="24"/>
              </w:rPr>
              <w:t>10</w:t>
            </w:r>
          </w:p>
          <w:p w14:paraId="702B8764">
            <w:pPr>
              <w:pStyle w:val="3"/>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zh-CN"/>
              </w:rPr>
              <w:t>如该事项无公路工程企业信用评价，该项分数分配至技术（方案）建议书及企业业绩各5分，等级得分范围按比例相应调整</w:t>
            </w:r>
            <w:r>
              <w:rPr>
                <w:rFonts w:hint="eastAsia" w:ascii="宋体" w:hAnsi="宋体" w:eastAsia="宋体" w:cs="宋体"/>
                <w:sz w:val="24"/>
                <w:szCs w:val="24"/>
              </w:rPr>
              <w:t>）</w:t>
            </w:r>
          </w:p>
        </w:tc>
        <w:tc>
          <w:tcPr>
            <w:tcW w:w="5389" w:type="dxa"/>
            <w:noWrap w:val="0"/>
            <w:vAlign w:val="center"/>
          </w:tcPr>
          <w:p w14:paraId="4A18CD4D">
            <w:pPr>
              <w:spacing w:line="276" w:lineRule="auto"/>
              <w:rPr>
                <w:rFonts w:hint="eastAsia" w:ascii="宋体" w:hAnsi="宋体" w:eastAsia="宋体" w:cs="宋体"/>
                <w:sz w:val="24"/>
                <w:szCs w:val="24"/>
                <w:lang w:val="zh-CN"/>
              </w:rPr>
            </w:pPr>
            <w:r>
              <w:rPr>
                <w:rFonts w:hint="eastAsia" w:ascii="宋体" w:hAnsi="宋体" w:eastAsia="宋体" w:cs="宋体"/>
                <w:sz w:val="24"/>
                <w:szCs w:val="24"/>
                <w:lang w:val="zh-CN"/>
              </w:rPr>
              <w:t>AA、A、B、C级单位的信用等级分得分分别为</w:t>
            </w:r>
            <w:r>
              <w:rPr>
                <w:rFonts w:hint="eastAsia" w:ascii="宋体" w:hAnsi="宋体" w:eastAsia="宋体" w:cs="宋体"/>
                <w:sz w:val="24"/>
                <w:szCs w:val="24"/>
                <w:u w:val="single"/>
                <w:lang w:val="zh-CN"/>
              </w:rPr>
              <w:t xml:space="preserve"> </w:t>
            </w:r>
            <w:r>
              <w:rPr>
                <w:rFonts w:hint="eastAsia" w:ascii="宋体" w:hAnsi="宋体" w:eastAsia="宋体" w:cs="宋体"/>
                <w:sz w:val="24"/>
                <w:szCs w:val="24"/>
                <w:u w:val="single"/>
              </w:rPr>
              <w:t>10</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w:t>
            </w:r>
            <w:r>
              <w:rPr>
                <w:rFonts w:hint="eastAsia" w:ascii="宋体" w:hAnsi="宋体" w:eastAsia="宋体" w:cs="宋体"/>
                <w:sz w:val="24"/>
                <w:szCs w:val="24"/>
                <w:u w:val="single"/>
              </w:rPr>
              <w:t>9.5</w:t>
            </w:r>
            <w:r>
              <w:rPr>
                <w:rFonts w:hint="eastAsia" w:ascii="宋体" w:hAnsi="宋体" w:eastAsia="宋体" w:cs="宋体"/>
                <w:sz w:val="24"/>
                <w:szCs w:val="24"/>
                <w:lang w:val="zh-CN"/>
              </w:rPr>
              <w:t>、</w:t>
            </w:r>
            <w:r>
              <w:rPr>
                <w:rFonts w:hint="eastAsia" w:ascii="宋体" w:hAnsi="宋体" w:eastAsia="宋体" w:cs="宋体"/>
                <w:sz w:val="24"/>
                <w:szCs w:val="24"/>
                <w:u w:val="single"/>
              </w:rPr>
              <w:t>8.9</w:t>
            </w:r>
            <w:r>
              <w:rPr>
                <w:rFonts w:hint="eastAsia" w:ascii="宋体" w:hAnsi="宋体" w:eastAsia="宋体" w:cs="宋体"/>
                <w:sz w:val="24"/>
                <w:szCs w:val="24"/>
                <w:lang w:val="zh-CN"/>
              </w:rPr>
              <w:t>、</w:t>
            </w:r>
            <w:r>
              <w:rPr>
                <w:rFonts w:hint="eastAsia" w:ascii="宋体" w:hAnsi="宋体" w:eastAsia="宋体" w:cs="宋体"/>
                <w:sz w:val="24"/>
                <w:szCs w:val="24"/>
                <w:u w:val="single"/>
              </w:rPr>
              <w:t>7.3</w:t>
            </w:r>
            <w:r>
              <w:rPr>
                <w:rFonts w:hint="eastAsia" w:ascii="宋体" w:hAnsi="宋体" w:eastAsia="宋体" w:cs="宋体"/>
                <w:sz w:val="24"/>
                <w:szCs w:val="24"/>
                <w:lang w:val="zh-CN"/>
              </w:rPr>
              <w:t>分。</w:t>
            </w:r>
          </w:p>
        </w:tc>
      </w:tr>
      <w:tr w14:paraId="7A49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620" w:type="dxa"/>
            <w:noWrap w:val="0"/>
            <w:vAlign w:val="center"/>
          </w:tcPr>
          <w:p w14:paraId="18E01492">
            <w:pPr>
              <w:spacing w:line="276" w:lineRule="auto"/>
              <w:jc w:val="center"/>
              <w:rPr>
                <w:rFonts w:hint="eastAsia" w:ascii="宋体" w:hAnsi="宋体" w:eastAsia="宋体" w:cs="宋体"/>
                <w:sz w:val="24"/>
                <w:szCs w:val="24"/>
              </w:rPr>
            </w:pPr>
            <w:r>
              <w:rPr>
                <w:rFonts w:hint="eastAsia" w:ascii="宋体" w:hAnsi="宋体" w:eastAsia="宋体" w:cs="宋体"/>
                <w:sz w:val="24"/>
                <w:szCs w:val="24"/>
              </w:rPr>
              <w:t>合计</w:t>
            </w:r>
          </w:p>
        </w:tc>
        <w:tc>
          <w:tcPr>
            <w:tcW w:w="2551" w:type="dxa"/>
            <w:noWrap w:val="0"/>
            <w:vAlign w:val="center"/>
          </w:tcPr>
          <w:p w14:paraId="52E34797">
            <w:pPr>
              <w:spacing w:line="276" w:lineRule="auto"/>
              <w:jc w:val="center"/>
              <w:rPr>
                <w:rFonts w:hint="eastAsia" w:ascii="宋体" w:hAnsi="宋体" w:eastAsia="宋体" w:cs="宋体"/>
                <w:sz w:val="24"/>
                <w:szCs w:val="24"/>
              </w:rPr>
            </w:pPr>
            <w:r>
              <w:rPr>
                <w:rFonts w:hint="eastAsia" w:ascii="宋体" w:hAnsi="宋体" w:eastAsia="宋体" w:cs="宋体"/>
                <w:sz w:val="24"/>
                <w:szCs w:val="24"/>
              </w:rPr>
              <w:t>100</w:t>
            </w:r>
          </w:p>
        </w:tc>
        <w:tc>
          <w:tcPr>
            <w:tcW w:w="5389" w:type="dxa"/>
            <w:noWrap w:val="0"/>
            <w:vAlign w:val="center"/>
          </w:tcPr>
          <w:p w14:paraId="4ECCEEDB">
            <w:pPr>
              <w:spacing w:line="276" w:lineRule="auto"/>
              <w:rPr>
                <w:rFonts w:hint="eastAsia" w:ascii="宋体" w:hAnsi="宋体" w:eastAsia="宋体" w:cs="宋体"/>
                <w:sz w:val="24"/>
                <w:szCs w:val="24"/>
                <w:lang w:val="zh-CN"/>
              </w:rPr>
            </w:pPr>
          </w:p>
        </w:tc>
      </w:tr>
    </w:tbl>
    <w:p w14:paraId="4E15DBD5">
      <w:pPr>
        <w:numPr>
          <w:numId w:val="0"/>
        </w:numPr>
        <w:spacing w:line="360" w:lineRule="auto"/>
        <w:rPr>
          <w:rFonts w:hint="default" w:ascii="宋体" w:hAnsi="宋体" w:eastAsia="宋体" w:cs="宋体"/>
          <w:sz w:val="24"/>
          <w:szCs w:val="24"/>
          <w:lang w:val="en-US" w:eastAsia="zh-CN"/>
        </w:rPr>
      </w:pPr>
    </w:p>
    <w:p w14:paraId="2DE513D7">
      <w:pPr>
        <w:widowControl w:val="0"/>
        <w:numPr>
          <w:numId w:val="0"/>
        </w:numPr>
        <w:adjustRightInd w:val="0"/>
        <w:spacing w:line="360" w:lineRule="auto"/>
        <w:textAlignment w:val="baseline"/>
        <w:rPr>
          <w:rFonts w:hint="eastAsia" w:ascii="宋体" w:hAnsi="宋体" w:eastAsia="宋体" w:cs="宋体"/>
          <w:sz w:val="24"/>
          <w:szCs w:val="24"/>
        </w:rPr>
      </w:pPr>
    </w:p>
    <w:p w14:paraId="65C2DEE5">
      <w:pPr>
        <w:pStyle w:val="3"/>
        <w:rPr>
          <w:rFonts w:hint="eastAsia" w:ascii="宋体" w:hAnsi="宋体" w:eastAsia="宋体" w:cs="宋体"/>
          <w:sz w:val="24"/>
          <w:szCs w:val="24"/>
        </w:rPr>
      </w:pPr>
    </w:p>
    <w:sectPr>
      <w:pgSz w:w="11906" w:h="16838"/>
      <w:pgMar w:top="720" w:right="720" w:bottom="720" w:left="720"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ngLiU">
    <w:panose1 w:val="02020509000000000000"/>
    <w:charset w:val="88"/>
    <w:family w:val="modern"/>
    <w:pitch w:val="default"/>
    <w:sig w:usb0="A00002FF" w:usb1="28CFFCFA" w:usb2="00000016" w:usb3="00000000" w:csb0="00100001" w:csb1="00000000"/>
  </w:font>
  <w:font w:name="方正小标宋简体">
    <w:altName w:val="黑体"/>
    <w:panose1 w:val="00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A76DCA"/>
    <w:multiLevelType w:val="multilevel"/>
    <w:tmpl w:val="06A76DCA"/>
    <w:lvl w:ilvl="0" w:tentative="0">
      <w:start w:val="1"/>
      <w:numFmt w:val="decimal"/>
      <w:lvlText w:val="（%1）"/>
      <w:lvlJc w:val="left"/>
      <w:pPr>
        <w:ind w:left="495" w:hanging="4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3F2ADE"/>
    <w:multiLevelType w:val="singleLevel"/>
    <w:tmpl w:val="213F2ADE"/>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4NGM4ZDdjYjlhODlhODAzOWNiMTQzMmQ3MDE5ZDAifQ=="/>
    <w:docVar w:name="KGWebUrl" w:val="http://19.121.241.45/seeyon/officeservlet"/>
  </w:docVars>
  <w:rsids>
    <w:rsidRoot w:val="5FDA3E7F"/>
    <w:rsid w:val="00011AAB"/>
    <w:rsid w:val="000149F6"/>
    <w:rsid w:val="00072B4B"/>
    <w:rsid w:val="0009653E"/>
    <w:rsid w:val="000F6568"/>
    <w:rsid w:val="001203DD"/>
    <w:rsid w:val="00130987"/>
    <w:rsid w:val="0015444C"/>
    <w:rsid w:val="0016305F"/>
    <w:rsid w:val="00171D34"/>
    <w:rsid w:val="00176F8F"/>
    <w:rsid w:val="001A4FDD"/>
    <w:rsid w:val="001A6DE8"/>
    <w:rsid w:val="001D0A6F"/>
    <w:rsid w:val="001D1D4C"/>
    <w:rsid w:val="001E2477"/>
    <w:rsid w:val="001E5A27"/>
    <w:rsid w:val="001F005E"/>
    <w:rsid w:val="001F7FAF"/>
    <w:rsid w:val="00213E18"/>
    <w:rsid w:val="002440D4"/>
    <w:rsid w:val="00256672"/>
    <w:rsid w:val="00271C46"/>
    <w:rsid w:val="0027528A"/>
    <w:rsid w:val="002D5197"/>
    <w:rsid w:val="002F7CD5"/>
    <w:rsid w:val="0031139D"/>
    <w:rsid w:val="003128D6"/>
    <w:rsid w:val="0031665C"/>
    <w:rsid w:val="003305A6"/>
    <w:rsid w:val="00340936"/>
    <w:rsid w:val="00367E9D"/>
    <w:rsid w:val="00375618"/>
    <w:rsid w:val="00391228"/>
    <w:rsid w:val="00410EBE"/>
    <w:rsid w:val="004362A3"/>
    <w:rsid w:val="00436E71"/>
    <w:rsid w:val="00446955"/>
    <w:rsid w:val="004B0DF1"/>
    <w:rsid w:val="004C7A93"/>
    <w:rsid w:val="004F1366"/>
    <w:rsid w:val="004F60CF"/>
    <w:rsid w:val="00514ABA"/>
    <w:rsid w:val="005272B6"/>
    <w:rsid w:val="00532A2D"/>
    <w:rsid w:val="00581288"/>
    <w:rsid w:val="005A34CA"/>
    <w:rsid w:val="00604D0E"/>
    <w:rsid w:val="00620F92"/>
    <w:rsid w:val="00626FA1"/>
    <w:rsid w:val="0068795D"/>
    <w:rsid w:val="006A0419"/>
    <w:rsid w:val="006D6701"/>
    <w:rsid w:val="006D6B97"/>
    <w:rsid w:val="006E7315"/>
    <w:rsid w:val="006F6D61"/>
    <w:rsid w:val="0074383E"/>
    <w:rsid w:val="00746C63"/>
    <w:rsid w:val="00755341"/>
    <w:rsid w:val="007B05B0"/>
    <w:rsid w:val="007D6EE2"/>
    <w:rsid w:val="007E18D4"/>
    <w:rsid w:val="007F5017"/>
    <w:rsid w:val="008550E0"/>
    <w:rsid w:val="00882A81"/>
    <w:rsid w:val="00884D15"/>
    <w:rsid w:val="008B5178"/>
    <w:rsid w:val="008E3E6D"/>
    <w:rsid w:val="008F6626"/>
    <w:rsid w:val="0090735E"/>
    <w:rsid w:val="009658AD"/>
    <w:rsid w:val="00970F05"/>
    <w:rsid w:val="00984883"/>
    <w:rsid w:val="009D2951"/>
    <w:rsid w:val="009E0EBA"/>
    <w:rsid w:val="00A13B83"/>
    <w:rsid w:val="00A26C31"/>
    <w:rsid w:val="00A359D3"/>
    <w:rsid w:val="00A42A1E"/>
    <w:rsid w:val="00A918FB"/>
    <w:rsid w:val="00AA1788"/>
    <w:rsid w:val="00AC52C5"/>
    <w:rsid w:val="00AD79DB"/>
    <w:rsid w:val="00B17CC6"/>
    <w:rsid w:val="00B4119B"/>
    <w:rsid w:val="00B4439D"/>
    <w:rsid w:val="00B52BF1"/>
    <w:rsid w:val="00B5675C"/>
    <w:rsid w:val="00B614E0"/>
    <w:rsid w:val="00B6735B"/>
    <w:rsid w:val="00B86BA6"/>
    <w:rsid w:val="00C20E22"/>
    <w:rsid w:val="00C25867"/>
    <w:rsid w:val="00C305B4"/>
    <w:rsid w:val="00C63139"/>
    <w:rsid w:val="00C809AA"/>
    <w:rsid w:val="00CC1947"/>
    <w:rsid w:val="00CC6EBF"/>
    <w:rsid w:val="00CE3524"/>
    <w:rsid w:val="00CF0E3A"/>
    <w:rsid w:val="00D16DD7"/>
    <w:rsid w:val="00D42ABC"/>
    <w:rsid w:val="00D94F86"/>
    <w:rsid w:val="00DA567B"/>
    <w:rsid w:val="00DA7D8F"/>
    <w:rsid w:val="00DB56C0"/>
    <w:rsid w:val="00DC6FBF"/>
    <w:rsid w:val="00DD2B4D"/>
    <w:rsid w:val="00DD5414"/>
    <w:rsid w:val="00DE486F"/>
    <w:rsid w:val="00DF4637"/>
    <w:rsid w:val="00E0231C"/>
    <w:rsid w:val="00E52328"/>
    <w:rsid w:val="00E600FE"/>
    <w:rsid w:val="00E61E72"/>
    <w:rsid w:val="00EA1092"/>
    <w:rsid w:val="00EA1FC0"/>
    <w:rsid w:val="00EB2796"/>
    <w:rsid w:val="00EF0ED9"/>
    <w:rsid w:val="00EF2FF6"/>
    <w:rsid w:val="00F04171"/>
    <w:rsid w:val="00F100E0"/>
    <w:rsid w:val="00F72AD7"/>
    <w:rsid w:val="03D6219C"/>
    <w:rsid w:val="053E25DD"/>
    <w:rsid w:val="07F31225"/>
    <w:rsid w:val="084D1FF9"/>
    <w:rsid w:val="099F7B11"/>
    <w:rsid w:val="0E823830"/>
    <w:rsid w:val="0F7C39B0"/>
    <w:rsid w:val="10E549A1"/>
    <w:rsid w:val="115169E3"/>
    <w:rsid w:val="14DC4224"/>
    <w:rsid w:val="1C4226C5"/>
    <w:rsid w:val="1F4C5CAB"/>
    <w:rsid w:val="211C3D4C"/>
    <w:rsid w:val="252561EE"/>
    <w:rsid w:val="255B30EF"/>
    <w:rsid w:val="270237C3"/>
    <w:rsid w:val="281D3002"/>
    <w:rsid w:val="2ABC0373"/>
    <w:rsid w:val="2B8A3E01"/>
    <w:rsid w:val="2F1422BD"/>
    <w:rsid w:val="2FAC7A81"/>
    <w:rsid w:val="32D56BB5"/>
    <w:rsid w:val="37896B48"/>
    <w:rsid w:val="38647A3B"/>
    <w:rsid w:val="3884708A"/>
    <w:rsid w:val="3CFB6F84"/>
    <w:rsid w:val="425139E4"/>
    <w:rsid w:val="487B3233"/>
    <w:rsid w:val="4FD170C6"/>
    <w:rsid w:val="5211523C"/>
    <w:rsid w:val="58D304A6"/>
    <w:rsid w:val="590B454D"/>
    <w:rsid w:val="595A40EE"/>
    <w:rsid w:val="59BA4C4C"/>
    <w:rsid w:val="5A7B1263"/>
    <w:rsid w:val="5C9D4E93"/>
    <w:rsid w:val="5FDA3E7F"/>
    <w:rsid w:val="724E3EEE"/>
    <w:rsid w:val="76A95738"/>
    <w:rsid w:val="76FC2CDD"/>
    <w:rsid w:val="7762625C"/>
    <w:rsid w:val="7A941B60"/>
    <w:rsid w:val="7B8C3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style>
  <w:style w:type="paragraph" w:styleId="3">
    <w:name w:val="Plain Text"/>
    <w:basedOn w:val="1"/>
    <w:qFormat/>
    <w:uiPriority w:val="0"/>
    <w:rPr>
      <w:rFonts w:ascii="宋体" w:hAnsi="Courier New"/>
      <w:kern w:val="0"/>
      <w:sz w:val="20"/>
      <w:szCs w:val="20"/>
    </w:rPr>
  </w:style>
  <w:style w:type="paragraph" w:styleId="4">
    <w:name w:val="Balloon Text"/>
    <w:basedOn w:val="1"/>
    <w:link w:val="15"/>
    <w:qFormat/>
    <w:uiPriority w:val="0"/>
    <w:pPr>
      <w:spacing w:line="240" w:lineRule="auto"/>
    </w:pPr>
    <w:rPr>
      <w:sz w:val="18"/>
      <w:szCs w:val="18"/>
    </w:rPr>
  </w:style>
  <w:style w:type="paragraph" w:styleId="5">
    <w:name w:val="footer"/>
    <w:basedOn w:val="1"/>
    <w:link w:val="17"/>
    <w:qFormat/>
    <w:uiPriority w:val="0"/>
    <w:pPr>
      <w:tabs>
        <w:tab w:val="center" w:pos="4153"/>
        <w:tab w:val="right" w:pos="8306"/>
      </w:tabs>
      <w:snapToGrid w:val="0"/>
      <w:spacing w:line="240" w:lineRule="atLeas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annotation subject"/>
    <w:basedOn w:val="2"/>
    <w:next w:val="2"/>
    <w:link w:val="14"/>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qFormat/>
    <w:uiPriority w:val="0"/>
    <w:rPr>
      <w:sz w:val="21"/>
      <w:szCs w:val="21"/>
    </w:rPr>
  </w:style>
  <w:style w:type="character" w:customStyle="1" w:styleId="12">
    <w:name w:val="正文文本 (2) + 间距 0 pt3"/>
    <w:qFormat/>
    <w:uiPriority w:val="99"/>
    <w:rPr>
      <w:rFonts w:ascii="MingLiU" w:eastAsia="MingLiU" w:cs="MingLiU"/>
      <w:spacing w:val="0"/>
      <w:sz w:val="22"/>
      <w:szCs w:val="22"/>
      <w:u w:val="none"/>
    </w:rPr>
  </w:style>
  <w:style w:type="character" w:customStyle="1" w:styleId="13">
    <w:name w:val="批注文字 Char"/>
    <w:link w:val="2"/>
    <w:qFormat/>
    <w:uiPriority w:val="0"/>
    <w:rPr>
      <w:kern w:val="2"/>
      <w:sz w:val="21"/>
      <w:szCs w:val="21"/>
    </w:rPr>
  </w:style>
  <w:style w:type="character" w:customStyle="1" w:styleId="14">
    <w:name w:val="批注主题 Char"/>
    <w:link w:val="7"/>
    <w:qFormat/>
    <w:uiPriority w:val="0"/>
    <w:rPr>
      <w:b/>
      <w:bCs/>
      <w:kern w:val="2"/>
      <w:sz w:val="21"/>
      <w:szCs w:val="21"/>
    </w:rPr>
  </w:style>
  <w:style w:type="character" w:customStyle="1" w:styleId="15">
    <w:name w:val="批注框文本 Char"/>
    <w:link w:val="4"/>
    <w:qFormat/>
    <w:uiPriority w:val="0"/>
    <w:rPr>
      <w:kern w:val="2"/>
      <w:sz w:val="18"/>
      <w:szCs w:val="18"/>
    </w:rPr>
  </w:style>
  <w:style w:type="character" w:customStyle="1" w:styleId="16">
    <w:name w:val="页眉 Char"/>
    <w:link w:val="6"/>
    <w:qFormat/>
    <w:uiPriority w:val="0"/>
    <w:rPr>
      <w:kern w:val="2"/>
      <w:sz w:val="18"/>
      <w:szCs w:val="18"/>
    </w:rPr>
  </w:style>
  <w:style w:type="character" w:customStyle="1" w:styleId="17">
    <w:name w:val="页脚 Char"/>
    <w:link w:val="5"/>
    <w:qFormat/>
    <w:uiPriority w:val="0"/>
    <w:rPr>
      <w:kern w:val="2"/>
      <w:sz w:val="18"/>
      <w:szCs w:val="18"/>
    </w:rPr>
  </w:style>
  <w:style w:type="character" w:customStyle="1" w:styleId="18">
    <w:name w:val="fontstyle01"/>
    <w:qFormat/>
    <w:uiPriority w:val="0"/>
    <w:rPr>
      <w:rFonts w:hint="eastAsia" w:ascii="宋体" w:hAnsi="宋体" w:eastAsia="宋体"/>
      <w:color w:val="000000"/>
      <w:sz w:val="22"/>
      <w:szCs w:val="22"/>
    </w:rPr>
  </w:style>
  <w:style w:type="character" w:styleId="19">
    <w:name w:val="Placeholder Text"/>
    <w:basedOn w:val="10"/>
    <w:unhideWhenUsed/>
    <w:qFormat/>
    <w:uiPriority w:val="99"/>
    <w:rPr>
      <w:color w:val="808080"/>
    </w:rPr>
  </w:style>
  <w:style w:type="character" w:customStyle="1" w:styleId="20">
    <w:name w:val="正文文本 (2)"/>
    <w:basedOn w:val="10"/>
    <w:qFormat/>
    <w:uiPriority w:val="0"/>
    <w:rPr>
      <w:rFonts w:ascii="宋体" w:hAnsi="宋体" w:eastAsia="宋体" w:cs="宋体"/>
      <w:color w:val="000000"/>
      <w:spacing w:val="10"/>
      <w:w w:val="100"/>
      <w:position w:val="0"/>
      <w:sz w:val="22"/>
      <w:szCs w:val="22"/>
      <w:u w:val="none"/>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8E91B-8BE7-4488-98ED-8C05A0BA006A}">
  <ds:schemaRefs/>
</ds:datastoreItem>
</file>

<file path=docProps/app.xml><?xml version="1.0" encoding="utf-8"?>
<Properties xmlns="http://schemas.openxmlformats.org/officeDocument/2006/extended-properties" xmlns:vt="http://schemas.openxmlformats.org/officeDocument/2006/docPropsVTypes">
  <Template>Normal</Template>
  <Company>江门市公路局</Company>
  <Pages>2</Pages>
  <Words>923</Words>
  <Characters>987</Characters>
  <Lines>7</Lines>
  <Paragraphs>2</Paragraphs>
  <TotalTime>1</TotalTime>
  <ScaleCrop>false</ScaleCrop>
  <LinksUpToDate>false</LinksUpToDate>
  <CharactersWithSpaces>988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2024-06-19T08:20:00Z</dcterms:created>
  <dc:creator>区展锴</dc:creator>
  <cp:lastModifiedBy>李国龙</cp:lastModifiedBy>
  <cp:lastPrinted>2024-06-25T07:42:00Z</cp:lastPrinted>
  <dcterms:modified xsi:type="dcterms:W3CDTF">2026-05-15T08:00:46Z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1EB9B80F604848708E576F4089DE8C13_13</vt:lpwstr>
  </property>
  <property fmtid="{D5CDD505-2E9C-101B-9397-08002B2CF9AE}" pid="4" name="KSOTemplateDocerSaveRecord">
    <vt:lpwstr>eyJoZGlkIjoiZWE4NGM4ZDdjYjlhODlhODAzOWNiMTQzMmQ3MDE5ZDAiLCJ1c2VySWQiOiIzNjM2MzEyODcifQ==</vt:lpwstr>
  </property>
</Properties>
</file>