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8C766">
      <w:pPr>
        <w:spacing w:line="560" w:lineRule="exact"/>
        <w:jc w:val="left"/>
        <w:rPr>
          <w:rFonts w:hint="eastAsia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2</w:t>
      </w:r>
    </w:p>
    <w:p w14:paraId="70DECB25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1、服务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商按照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推荐的分析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方法要求进行分析，且上述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分析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方法需在资质认定的有效期内；</w:t>
      </w:r>
    </w:p>
    <w:p w14:paraId="743DC61D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2、服务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商的采样工具和车辆数量须充足和质量精良，采样车上须设有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车载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冰箱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对样品进行保存；</w:t>
      </w:r>
    </w:p>
    <w:p w14:paraId="205AFF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服务商须按照《中华人民共和国生态环境法典》、《生态环境监测条例》、《检验检测机构资质认定管理办法》、《检验检测机构资质认定评审准则》、《检验检测机构资质认定生态环境监测机构评审补充要求》以及检验检测机构资质认定实施“一单一库”管理的相关要求执行并开展监测工作。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商须按照《地表水环境质量监测技术规范》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HJ91.2-2022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进行采样，并按照《样品的保存和管理技术规定》（HJ493-2009）进行分样、固定、保存、运输及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交接样品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；</w:t>
      </w:r>
    </w:p>
    <w:p w14:paraId="6B864A0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4、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所有断面均须按平行样的要求采集2份样品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；</w:t>
      </w:r>
    </w:p>
    <w:p w14:paraId="0A0E4A3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5、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所有断面需在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退潮时，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一天内完成采样，样品采集完成后须全部送回至开平市环境监测站进行重新编码，并由开平市环境监测站按照样品总数的10%-20%随机插入密码样、明码样、空白样、平行样；随机插入密码样、明码样、空白样、平行样的检测结果应满足相关技术规范和考核要求；</w:t>
      </w:r>
    </w:p>
    <w:p w14:paraId="01AB507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6、服务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商在分析时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应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进行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平行样、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加标回收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、质控样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等质量控制措施；</w:t>
      </w:r>
    </w:p>
    <w:p w14:paraId="2D30A0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7、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所有的采样记录（包括相片、录像）和分析记录须提供一份给开平市环境监测站；</w:t>
      </w:r>
    </w:p>
    <w:p w14:paraId="473E02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8、服务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商须按照《水质样品的保存和管理技术规定》（HJ493-2009）相关要求对样品进行保存，所有样品留样保存至数据报送后的第7天。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成交服务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商采样和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分析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须由本单位所属监测人员完成，不得委托不属于本单位的监测人员参与。</w:t>
      </w:r>
    </w:p>
    <w:p w14:paraId="15D4BD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9、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在不违反监测规范的前提下，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商应在开平市环境监测站规定的时间内完成监测工作，出具监测报告交采购人。成交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商对检测结果负责。另外，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商未经开平市环境监测站同意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不得擅自将检验结果对外泄露，一经发现立即终止合同。</w:t>
      </w:r>
    </w:p>
    <w:p w14:paraId="5F745E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10、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结果报送要求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。</w:t>
      </w:r>
    </w:p>
    <w:p w14:paraId="51DB70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（1）镇界断面水质监测。月报：每月通过监测数据（取两次监测结果平均值）对各河段和水库（湖泊）进行水质评价，每月28日前报送。水质核查报告每月28日前报送。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季报：每季度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通过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监测数据对各河段和水库（湖泊）进行水质评价。每季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度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结束后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的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10个工作日内报送。年报：监测完成半年和一年分别提交半年小结报告和年度总结报告，对各河段和水库（湖泊）进行水质评价。年度结束后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的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10个工作日内报送。上述提交时间如遇节假日则顺延。</w:t>
      </w:r>
    </w:p>
    <w:p w14:paraId="60E5BC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（2）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其他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水质监测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（市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长公开断面水质监测、万里碧道断面水质监测、工业园区影响水域水质监测、临时应急委托）。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市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长公开断面水质监测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当月20日前提交检测报告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万里碧道断面水质监测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监测当月20日前提交检测报告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工业园区影响水域水质监测监测当月20日前提交检测报告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临时应急委托按甲方的要求提交报表或报告。</w:t>
      </w:r>
    </w:p>
    <w:p w14:paraId="3B7B7DD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、采样人员的在采样过程中安全由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商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负责。</w:t>
      </w:r>
    </w:p>
    <w:p w14:paraId="49938B98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12、其他事宜</w:t>
      </w:r>
    </w:p>
    <w:p w14:paraId="559FC30A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（1）采购人将按相关法律法规和监管部门制定的工作规范对成交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商进行管理；</w:t>
      </w:r>
    </w:p>
    <w:p w14:paraId="71778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（2）采购人有权定期或不定期对成交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商开展监测工作的质量核查，成交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商须积极配合。质量核查可采取档案资料抽查、监测过程核查、现场抽测核查和比对监测核查等多种方式进行。成交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及其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工作人员有以下行为之一者，作如下处理：</w:t>
      </w:r>
    </w:p>
    <w:p w14:paraId="49A267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①成交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商不得将检验任务外包或分包给其他检验机构检验（技术标准与要求有特殊要求的除外），一经发现，立即终止合同。</w:t>
      </w:r>
    </w:p>
    <w:p w14:paraId="5F039D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②成交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商必须派本单位所属监测人员进行采样和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分析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，不得委托不属于本单位的监测人员参与本项目，监测人员必须持证上岗，以便采购人对监测人员身份进行确认。如发现监测人员不属于成交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商单位的，发现一次，扣除合同总金额的 2%，服务期内发现3次，即终止合同，并追究其经济和法律责任。</w:t>
      </w:r>
    </w:p>
    <w:p w14:paraId="43A685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③成交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商在开展监测过程中不按照时限要求及规范开展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工作或出具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报告，发现一次，扣除合同总金额的 2%，服务期内发现 3 次，即终止合同，并追究其经济和法律责任。</w:t>
      </w:r>
    </w:p>
    <w:p w14:paraId="65F90A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④对于采购人委托的应急监测任务，成交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商如不予接受的，不接受一次扣除合同总金额的 2%，服务期内不接受三次的，即终止合同，成交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商需承担对采购人造成的损失及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带来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的法律后果。</w:t>
      </w:r>
    </w:p>
    <w:p w14:paraId="224847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⑤成交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商须对本项目的所有监测数据保密，擅自把监测数据外泄的，即终止合同，并追究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其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经济和法律责任。</w:t>
      </w:r>
    </w:p>
    <w:p w14:paraId="64002A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⑥采购人提出应急监测任务委托后，成交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商需要在3小时内到达任务监测地点。一次未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按照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响应时间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到达监测地点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，扣除合同总金额1%，服务期内超过3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次，即终止合同。</w:t>
      </w:r>
    </w:p>
    <w:p w14:paraId="69ED5B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⑦成交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商有以下行为之一的，采购人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有权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终止合同，并视违规情节通报上级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生态环境主管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部门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和市场监督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行政主管部门。</w:t>
      </w:r>
    </w:p>
    <w:p w14:paraId="74C69E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a.在工作中被核实存在超范围检测、弄虚作假或伪造、篡改监测数据的；</w:t>
      </w:r>
    </w:p>
    <w:p w14:paraId="615B7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b.编制的监测报告（表）结论严重失实或者有重大遗漏，并造成恶劣影响的；</w:t>
      </w:r>
    </w:p>
    <w:p w14:paraId="2BC5EF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c.违反本项目保密要求，造成严重后果的；</w:t>
      </w:r>
    </w:p>
    <w:p w14:paraId="55D0FDD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d.拒不接受采购人对其开展的监测工作质量核查，或在采购人对其开展的监测工作质量核查时不配合，导致核查工作无法完成的。</w:t>
      </w:r>
    </w:p>
    <w:p w14:paraId="52653FFA">
      <w:pPr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  <w:t xml:space="preserve">   </w:t>
      </w:r>
    </w:p>
    <w:p w14:paraId="55840B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31135"/>
    <w:rsid w:val="03897656"/>
    <w:rsid w:val="22455E4A"/>
    <w:rsid w:val="26BB56A5"/>
    <w:rsid w:val="29025AC4"/>
    <w:rsid w:val="3D8B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</w:pPr>
    <w:rPr>
      <w:rFonts w:ascii="Arial" w:hAnsi="Arial" w:cs="Arial"/>
    </w:rPr>
  </w:style>
  <w:style w:type="paragraph" w:styleId="3">
    <w:name w:val="Body Text"/>
    <w:basedOn w:val="1"/>
    <w:next w:val="1"/>
    <w:qFormat/>
    <w:uiPriority w:val="0"/>
    <w:pPr>
      <w:spacing w:line="360" w:lineRule="auto"/>
    </w:pPr>
    <w:rPr>
      <w:rFonts w:ascii="仿宋_GB2312"/>
      <w:sz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1925</Words>
  <Characters>1977</Characters>
  <Lines>0</Lines>
  <Paragraphs>0</Paragraphs>
  <TotalTime>9</TotalTime>
  <ScaleCrop>false</ScaleCrop>
  <LinksUpToDate>false</LinksUpToDate>
  <CharactersWithSpaces>1989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2026-05-20T02:09:00Z</dcterms:created>
  <dc:creator>Administrator</dc:creator>
  <cp:lastModifiedBy>Yan</cp:lastModifiedBy>
  <dcterms:modified xsi:type="dcterms:W3CDTF">2026-05-29T02:36:11Z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eyJoZGlkIjoiZmVhYTI1YzE2MzEyMzJmMjZkNWYzMmMzZGY4Y2FjZjAiLCJ1c2VySWQiOiIzMjc3MTM3OTMifQ==</vt:lpwstr>
  </property>
  <property fmtid="{D5CDD505-2E9C-101B-9397-08002B2CF9AE}" pid="4" name="ICV">
    <vt:lpwstr>A066CB54D5CF46638D48C25378BE79E2_13</vt:lpwstr>
  </property>
</Properties>
</file>