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88C766">
      <w:pPr>
        <w:spacing w:line="560" w:lineRule="exact"/>
        <w:jc w:val="left"/>
        <w:rPr>
          <w:rFonts w:hint="eastAsia" w:ascii="Times New Roman" w:hAnsi="Times New Roman" w:eastAsia="黑体" w:cs="Times New Roman"/>
          <w:color w:val="000000" w:themeColor="text1"/>
          <w:kern w:val="0"/>
          <w:sz w:val="32"/>
          <w:szCs w:val="32"/>
          <w:highlight w:val="none"/>
          <w:shd w:val="clear" w:color="auto" w:fill="auto"/>
          <w:lang w:val="en-US" w:eastAsia="zh-CN"/>
          <w14:textFill>
            <w14:solidFill>
              <w14:schemeClr w14:val="tx1"/>
            </w14:solidFill>
          </w14:textFill>
        </w:rPr>
      </w:pPr>
      <w:r>
        <w:rPr>
          <w:rFonts w:hint="default" w:ascii="Times New Roman" w:hAnsi="Times New Roman" w:eastAsia="黑体" w:cs="Times New Roman"/>
          <w:color w:val="000000" w:themeColor="text1"/>
          <w:kern w:val="0"/>
          <w:sz w:val="32"/>
          <w:szCs w:val="32"/>
          <w:highlight w:val="none"/>
          <w:shd w:val="clear" w:color="auto" w:fill="auto"/>
          <w:lang w:val="en"/>
          <w14:textFill>
            <w14:solidFill>
              <w14:schemeClr w14:val="tx1"/>
            </w14:solidFill>
          </w14:textFill>
        </w:rPr>
        <w:t>附件</w:t>
      </w:r>
      <w:r>
        <w:rPr>
          <w:rFonts w:hint="eastAsia" w:ascii="Times New Roman" w:hAnsi="Times New Roman" w:eastAsia="黑体" w:cs="Times New Roman"/>
          <w:color w:val="000000" w:themeColor="text1"/>
          <w:kern w:val="0"/>
          <w:sz w:val="32"/>
          <w:szCs w:val="32"/>
          <w:highlight w:val="none"/>
          <w:shd w:val="clear" w:color="auto" w:fill="auto"/>
          <w:lang w:val="en-US" w:eastAsia="zh-CN"/>
          <w14:textFill>
            <w14:solidFill>
              <w14:schemeClr w14:val="tx1"/>
            </w14:solidFill>
          </w14:textFill>
        </w:rPr>
        <w:t>4</w:t>
      </w:r>
    </w:p>
    <w:p w14:paraId="3AEE51B8">
      <w:pPr>
        <w:jc w:val="center"/>
        <w:rPr>
          <w:rFonts w:hint="eastAsia" w:eastAsiaTheme="minorEastAsia"/>
          <w:color w:val="000000" w:themeColor="text1"/>
          <w:highlight w:val="none"/>
          <w:shd w:val="clear" w:color="auto" w:fill="auto"/>
          <w:lang w:eastAsia="zh-CN"/>
          <w14:textFill>
            <w14:solidFill>
              <w14:schemeClr w14:val="tx1"/>
            </w14:solidFill>
          </w14:textFill>
        </w:rPr>
      </w:pPr>
      <w:r>
        <w:rPr>
          <w:rFonts w:hint="eastAsia"/>
          <w:b/>
          <w:bCs/>
          <w:color w:val="000000" w:themeColor="text1"/>
          <w:sz w:val="30"/>
          <w:szCs w:val="30"/>
          <w:highlight w:val="none"/>
          <w:shd w:val="clear" w:color="auto" w:fill="auto"/>
          <w:lang w:val="en-US" w:eastAsia="zh-CN"/>
          <w14:textFill>
            <w14:solidFill>
              <w14:schemeClr w14:val="tx1"/>
            </w14:solidFill>
          </w14:textFill>
        </w:rPr>
        <w:t>评分表</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13"/>
        <w:gridCol w:w="2034"/>
        <w:gridCol w:w="5522"/>
      </w:tblGrid>
      <w:tr w14:paraId="496665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1" w:hRule="atLeast"/>
        </w:trPr>
        <w:tc>
          <w:tcPr>
            <w:tcW w:w="913" w:type="dxa"/>
            <w:vAlign w:val="center"/>
          </w:tcPr>
          <w:p w14:paraId="70F8610F">
            <w:pPr>
              <w:keepNext w:val="0"/>
              <w:keepLines w:val="0"/>
              <w:pageBreakBefore w:val="0"/>
              <w:widowControl w:val="0"/>
              <w:kinsoku/>
              <w:wordWrap/>
              <w:overflowPunct/>
              <w:topLinePunct w:val="0"/>
              <w:bidi w:val="0"/>
              <w:spacing w:line="360" w:lineRule="auto"/>
              <w:ind w:firstLine="210" w:firstLineChars="100"/>
              <w:jc w:val="both"/>
              <w:textAlignment w:val="auto"/>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序号</w:t>
            </w:r>
          </w:p>
        </w:tc>
        <w:tc>
          <w:tcPr>
            <w:tcW w:w="2034" w:type="dxa"/>
            <w:tcBorders>
              <w:right w:val="single" w:color="auto" w:sz="4" w:space="0"/>
            </w:tcBorders>
          </w:tcPr>
          <w:p w14:paraId="6E393402">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评分项</w:t>
            </w:r>
          </w:p>
        </w:tc>
        <w:tc>
          <w:tcPr>
            <w:tcW w:w="5522" w:type="dxa"/>
            <w:tcBorders>
              <w:left w:val="single" w:color="auto" w:sz="4" w:space="0"/>
            </w:tcBorders>
          </w:tcPr>
          <w:p w14:paraId="4F027362">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评分细则</w:t>
            </w:r>
          </w:p>
        </w:tc>
      </w:tr>
      <w:tr w14:paraId="6B4A99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13" w:type="dxa"/>
            <w:tcBorders>
              <w:bottom w:val="single" w:color="auto" w:sz="4" w:space="0"/>
            </w:tcBorders>
            <w:vAlign w:val="center"/>
          </w:tcPr>
          <w:p w14:paraId="0C234DF3">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1</w:t>
            </w:r>
          </w:p>
        </w:tc>
        <w:tc>
          <w:tcPr>
            <w:tcW w:w="2034" w:type="dxa"/>
            <w:tcBorders>
              <w:bottom w:val="single" w:color="auto" w:sz="4" w:space="0"/>
            </w:tcBorders>
            <w:vAlign w:val="center"/>
          </w:tcPr>
          <w:p w14:paraId="181974A2">
            <w:pPr>
              <w:keepNext w:val="0"/>
              <w:keepLines w:val="0"/>
              <w:pageBreakBefore w:val="0"/>
              <w:widowControl w:val="0"/>
              <w:kinsoku/>
              <w:wordWrap/>
              <w:overflowPunct/>
              <w:topLinePunct w:val="0"/>
              <w:bidi w:val="0"/>
              <w:spacing w:line="360" w:lineRule="auto"/>
              <w:jc w:val="both"/>
              <w:textAlignment w:val="auto"/>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项目技术解决方案</w:t>
            </w:r>
            <w:r>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15</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分</w:t>
            </w:r>
            <w:r>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t>）</w:t>
            </w:r>
          </w:p>
        </w:tc>
        <w:tc>
          <w:tcPr>
            <w:tcW w:w="5522" w:type="dxa"/>
          </w:tcPr>
          <w:p w14:paraId="31573E5A">
            <w:pPr>
              <w:keepNext w:val="0"/>
              <w:keepLines w:val="0"/>
              <w:pageBreakBefore w:val="0"/>
              <w:widowControl w:val="0"/>
              <w:kinsoku/>
              <w:wordWrap/>
              <w:overflowPunct/>
              <w:topLinePunct w:val="0"/>
              <w:bidi w:val="0"/>
              <w:spacing w:line="360" w:lineRule="auto"/>
              <w:jc w:val="left"/>
              <w:textAlignment w:val="auto"/>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1、项目技术解决方案先进、周密，思路清晰合理，可操作性强，符合项目实际情况与需求的，得1</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分；</w:t>
            </w:r>
          </w:p>
          <w:p w14:paraId="099DC767">
            <w:pPr>
              <w:keepNext w:val="0"/>
              <w:keepLines w:val="0"/>
              <w:pageBreakBefore w:val="0"/>
              <w:widowControl w:val="0"/>
              <w:kinsoku/>
              <w:wordWrap/>
              <w:overflowPunct/>
              <w:topLinePunct w:val="0"/>
              <w:bidi w:val="0"/>
              <w:spacing w:line="360" w:lineRule="auto"/>
              <w:jc w:val="left"/>
              <w:textAlignment w:val="auto"/>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2、项目技术解决方案较先进、较周密，思路较清晰合理，可操作性较强，较符合项目实际情况与需求的，得</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13</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分；3、项目技术解决方案</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基本</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先进、</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基本</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周密，思路</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基本</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清晰合理，可操作性</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一般</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基本</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符合项目实际情况与需求的，得</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10</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分</w:t>
            </w:r>
            <w:r>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t>；</w:t>
            </w:r>
          </w:p>
          <w:p w14:paraId="1F4B860D">
            <w:pPr>
              <w:keepNext w:val="0"/>
              <w:keepLines w:val="0"/>
              <w:pageBreakBefore w:val="0"/>
              <w:widowControl w:val="0"/>
              <w:kinsoku/>
              <w:wordWrap/>
              <w:overflowPunct/>
              <w:topLinePunct w:val="0"/>
              <w:bidi w:val="0"/>
              <w:spacing w:line="360" w:lineRule="auto"/>
              <w:jc w:val="left"/>
              <w:textAlignment w:val="auto"/>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、无提供相关</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方案</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的不得分。</w:t>
            </w:r>
          </w:p>
        </w:tc>
      </w:tr>
      <w:tr w14:paraId="39B2F9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13" w:type="dxa"/>
            <w:tcBorders>
              <w:top w:val="single" w:color="auto" w:sz="4" w:space="0"/>
              <w:bottom w:val="single" w:color="auto" w:sz="4" w:space="0"/>
            </w:tcBorders>
            <w:vAlign w:val="center"/>
          </w:tcPr>
          <w:p w14:paraId="55499073">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2</w:t>
            </w:r>
          </w:p>
        </w:tc>
        <w:tc>
          <w:tcPr>
            <w:tcW w:w="2034" w:type="dxa"/>
            <w:tcBorders>
              <w:top w:val="single" w:color="auto" w:sz="4" w:space="0"/>
              <w:bottom w:val="single" w:color="auto" w:sz="4" w:space="0"/>
            </w:tcBorders>
            <w:vAlign w:val="center"/>
          </w:tcPr>
          <w:p w14:paraId="7463ECE5">
            <w:pPr>
              <w:keepNext w:val="0"/>
              <w:keepLines w:val="0"/>
              <w:pageBreakBefore w:val="0"/>
              <w:widowControl w:val="0"/>
              <w:kinsoku/>
              <w:wordWrap/>
              <w:overflowPunct/>
              <w:topLinePunct w:val="0"/>
              <w:bidi w:val="0"/>
              <w:spacing w:line="360" w:lineRule="auto"/>
              <w:jc w:val="both"/>
              <w:textAlignment w:val="auto"/>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项目重点、难点分析及应对措施</w:t>
            </w:r>
            <w:r>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10</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分</w:t>
            </w:r>
            <w:r>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t>）</w:t>
            </w:r>
          </w:p>
        </w:tc>
        <w:tc>
          <w:tcPr>
            <w:tcW w:w="5522" w:type="dxa"/>
          </w:tcPr>
          <w:p w14:paraId="2BCD5EB1">
            <w:pPr>
              <w:keepNext w:val="0"/>
              <w:keepLines w:val="0"/>
              <w:pageBreakBefore w:val="0"/>
              <w:widowControl w:val="0"/>
              <w:numPr>
                <w:ilvl w:val="0"/>
                <w:numId w:val="1"/>
              </w:numPr>
              <w:kinsoku/>
              <w:wordWrap/>
              <w:overflowPunct/>
              <w:topLinePunct w:val="0"/>
              <w:bidi w:val="0"/>
              <w:spacing w:line="360" w:lineRule="auto"/>
              <w:jc w:val="left"/>
              <w:textAlignment w:val="auto"/>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项目重点、难点分析合理、得当、透彻，应对措施具体、可操作性强的，得10分；</w:t>
            </w:r>
          </w:p>
          <w:p w14:paraId="1CE2B078">
            <w:pPr>
              <w:keepNext w:val="0"/>
              <w:keepLines w:val="0"/>
              <w:pageBreakBefore w:val="0"/>
              <w:widowControl w:val="0"/>
              <w:numPr>
                <w:ilvl w:val="0"/>
                <w:numId w:val="1"/>
              </w:numPr>
              <w:kinsoku/>
              <w:wordWrap/>
              <w:overflowPunct/>
              <w:topLinePunct w:val="0"/>
              <w:bidi w:val="0"/>
              <w:spacing w:line="360" w:lineRule="auto"/>
              <w:ind w:left="0" w:leftChars="0" w:firstLine="0" w:firstLineChars="0"/>
              <w:jc w:val="left"/>
              <w:textAlignment w:val="auto"/>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项目重点、难点分析较合理、较得当、较透彻，应对措施较具体、可操作性较强的，得8分；</w:t>
            </w:r>
          </w:p>
          <w:p w14:paraId="7C5A5EA7">
            <w:pPr>
              <w:keepNext w:val="0"/>
              <w:keepLines w:val="0"/>
              <w:pageBreakBefore w:val="0"/>
              <w:widowControl w:val="0"/>
              <w:numPr>
                <w:ilvl w:val="0"/>
                <w:numId w:val="1"/>
              </w:numPr>
              <w:kinsoku/>
              <w:wordWrap/>
              <w:overflowPunct/>
              <w:topLinePunct w:val="0"/>
              <w:bidi w:val="0"/>
              <w:spacing w:line="360" w:lineRule="auto"/>
              <w:ind w:left="0" w:leftChars="0" w:firstLine="0" w:firstLineChars="0"/>
              <w:jc w:val="left"/>
              <w:textAlignment w:val="auto"/>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项目重点、难点分析</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基本</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合理、</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基本</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得当、</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基本</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透彻，应对措施</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基本符合</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、可操作性</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一般</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，得5分；</w:t>
            </w:r>
          </w:p>
          <w:p w14:paraId="1C6D6211">
            <w:pPr>
              <w:keepNext w:val="0"/>
              <w:keepLines w:val="0"/>
              <w:pageBreakBefore w:val="0"/>
              <w:widowControl w:val="0"/>
              <w:numPr>
                <w:ilvl w:val="0"/>
                <w:numId w:val="0"/>
              </w:numPr>
              <w:kinsoku/>
              <w:wordWrap/>
              <w:overflowPunct/>
              <w:topLinePunct w:val="0"/>
              <w:bidi w:val="0"/>
              <w:spacing w:line="360" w:lineRule="auto"/>
              <w:ind w:leftChars="0"/>
              <w:jc w:val="left"/>
              <w:textAlignment w:val="auto"/>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、无提供相关</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分析及应对措施</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的不得分。</w:t>
            </w:r>
          </w:p>
        </w:tc>
      </w:tr>
      <w:tr w14:paraId="5275F0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13" w:type="dxa"/>
            <w:tcBorders>
              <w:top w:val="single" w:color="auto" w:sz="4" w:space="0"/>
            </w:tcBorders>
            <w:vAlign w:val="center"/>
          </w:tcPr>
          <w:p w14:paraId="7AD531B9">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3</w:t>
            </w:r>
          </w:p>
        </w:tc>
        <w:tc>
          <w:tcPr>
            <w:tcW w:w="2034" w:type="dxa"/>
            <w:tcBorders>
              <w:top w:val="single" w:color="auto" w:sz="4" w:space="0"/>
            </w:tcBorders>
            <w:vAlign w:val="center"/>
          </w:tcPr>
          <w:p w14:paraId="685D4444">
            <w:pPr>
              <w:keepNext w:val="0"/>
              <w:keepLines w:val="0"/>
              <w:pageBreakBefore w:val="0"/>
              <w:widowControl w:val="0"/>
              <w:kinsoku/>
              <w:wordWrap/>
              <w:overflowPunct/>
              <w:topLinePunct w:val="0"/>
              <w:bidi w:val="0"/>
              <w:spacing w:line="360" w:lineRule="auto"/>
              <w:jc w:val="both"/>
              <w:textAlignment w:val="auto"/>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项目成果质量保证措施</w:t>
            </w:r>
            <w:r>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10</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分</w:t>
            </w:r>
            <w:r>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t>）</w:t>
            </w:r>
          </w:p>
        </w:tc>
        <w:tc>
          <w:tcPr>
            <w:tcW w:w="5522" w:type="dxa"/>
          </w:tcPr>
          <w:p w14:paraId="7DD548FB">
            <w:pPr>
              <w:keepNext w:val="0"/>
              <w:keepLines w:val="0"/>
              <w:pageBreakBefore w:val="0"/>
              <w:widowControl w:val="0"/>
              <w:kinsoku/>
              <w:wordWrap/>
              <w:overflowPunct/>
              <w:topLinePunct w:val="0"/>
              <w:bidi w:val="0"/>
              <w:spacing w:line="360" w:lineRule="auto"/>
              <w:jc w:val="left"/>
              <w:textAlignment w:val="auto"/>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1、项目成果质量保证措施完善、具体的，得</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10</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分；</w:t>
            </w:r>
          </w:p>
          <w:p w14:paraId="188218D2">
            <w:pPr>
              <w:keepNext w:val="0"/>
              <w:keepLines w:val="0"/>
              <w:pageBreakBefore w:val="0"/>
              <w:widowControl w:val="0"/>
              <w:kinsoku/>
              <w:wordWrap/>
              <w:overflowPunct/>
              <w:topLinePunct w:val="0"/>
              <w:bidi w:val="0"/>
              <w:spacing w:line="360" w:lineRule="auto"/>
              <w:jc w:val="left"/>
              <w:textAlignment w:val="auto"/>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2、项目成果质量保证措施较完善、较具体的，得</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8</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分；</w:t>
            </w:r>
          </w:p>
          <w:p w14:paraId="72FDFD48">
            <w:pPr>
              <w:keepNext w:val="0"/>
              <w:keepLines w:val="0"/>
              <w:pageBreakBefore w:val="0"/>
              <w:widowControl w:val="0"/>
              <w:kinsoku/>
              <w:wordWrap/>
              <w:overflowPunct/>
              <w:topLinePunct w:val="0"/>
              <w:bidi w:val="0"/>
              <w:spacing w:line="360" w:lineRule="auto"/>
              <w:jc w:val="left"/>
              <w:textAlignment w:val="auto"/>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3、项目成果质量保证措施</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基本</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完善、</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基本</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具体的，得</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分</w:t>
            </w:r>
            <w:r>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、无提供相关</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质量保证措施</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的不得分。</w:t>
            </w:r>
          </w:p>
        </w:tc>
      </w:tr>
      <w:tr w14:paraId="04699B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96" w:hRule="atLeast"/>
        </w:trPr>
        <w:tc>
          <w:tcPr>
            <w:tcW w:w="913" w:type="dxa"/>
            <w:tcBorders>
              <w:bottom w:val="single" w:color="auto" w:sz="4" w:space="0"/>
            </w:tcBorders>
            <w:vAlign w:val="center"/>
          </w:tcPr>
          <w:p w14:paraId="030189BA">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4</w:t>
            </w:r>
          </w:p>
        </w:tc>
        <w:tc>
          <w:tcPr>
            <w:tcW w:w="2034" w:type="dxa"/>
            <w:tcBorders>
              <w:bottom w:val="single" w:color="auto" w:sz="4" w:space="0"/>
            </w:tcBorders>
            <w:vAlign w:val="center"/>
          </w:tcPr>
          <w:p w14:paraId="753307A5">
            <w:pPr>
              <w:keepNext w:val="0"/>
              <w:keepLines w:val="0"/>
              <w:pageBreakBefore w:val="0"/>
              <w:widowControl w:val="0"/>
              <w:kinsoku/>
              <w:wordWrap/>
              <w:overflowPunct/>
              <w:topLinePunct w:val="0"/>
              <w:bidi w:val="0"/>
              <w:spacing w:line="360" w:lineRule="auto"/>
              <w:jc w:val="both"/>
              <w:textAlignment w:val="auto"/>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shd w:val="clear" w:color="auto" w:fill="auto"/>
                <w14:textFill>
                  <w14:solidFill>
                    <w14:schemeClr w14:val="tx1"/>
                  </w14:solidFill>
                </w14:textFill>
              </w:rPr>
              <w:t>项目进度保障措施</w:t>
            </w:r>
            <w:r>
              <w:rPr>
                <w:rFonts w:hint="default" w:ascii="Times New Roman" w:hAnsi="Times New Roman" w:eastAsia="宋体" w:cs="Times New Roman"/>
                <w:bCs/>
                <w:color w:val="000000" w:themeColor="text1"/>
                <w:kern w:val="0"/>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bCs/>
                <w:color w:val="000000" w:themeColor="text1"/>
                <w:kern w:val="0"/>
                <w:sz w:val="21"/>
                <w:szCs w:val="21"/>
                <w:highlight w:val="none"/>
                <w:shd w:val="clear" w:color="auto" w:fill="auto"/>
                <w:lang w:val="en-US" w:eastAsia="zh-CN"/>
                <w14:textFill>
                  <w14:solidFill>
                    <w14:schemeClr w14:val="tx1"/>
                  </w14:solidFill>
                </w14:textFill>
              </w:rPr>
              <w:t>10分</w:t>
            </w:r>
            <w:r>
              <w:rPr>
                <w:rFonts w:hint="default" w:ascii="Times New Roman" w:hAnsi="Times New Roman" w:eastAsia="宋体" w:cs="Times New Roman"/>
                <w:bCs/>
                <w:color w:val="000000" w:themeColor="text1"/>
                <w:kern w:val="0"/>
                <w:sz w:val="21"/>
                <w:szCs w:val="21"/>
                <w:highlight w:val="none"/>
                <w:shd w:val="clear" w:color="auto" w:fill="auto"/>
                <w:lang w:eastAsia="zh-CN"/>
                <w14:textFill>
                  <w14:solidFill>
                    <w14:schemeClr w14:val="tx1"/>
                  </w14:solidFill>
                </w14:textFill>
              </w:rPr>
              <w:t>）</w:t>
            </w:r>
          </w:p>
        </w:tc>
        <w:tc>
          <w:tcPr>
            <w:tcW w:w="5522" w:type="dxa"/>
          </w:tcPr>
          <w:p w14:paraId="35A1ED2E">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1、</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项目管理、进度安排完善、具体、全面，项目管理及进度安排合理高效、可操作性强，有计划保障，得</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10</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分；</w:t>
            </w:r>
          </w:p>
          <w:p w14:paraId="0AE18882">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2、</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项目管理、进度安排较完善，项目管理及进度安排较合理高效、可操作性较强，得</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8</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分；</w:t>
            </w:r>
          </w:p>
          <w:p w14:paraId="4563D883">
            <w:pPr>
              <w:keepNext w:val="0"/>
              <w:keepLines w:val="0"/>
              <w:pageBreakBefore w:val="0"/>
              <w:widowControl w:val="0"/>
              <w:kinsoku/>
              <w:wordWrap/>
              <w:overflowPunct/>
              <w:topLinePunct w:val="0"/>
              <w:bidi w:val="0"/>
              <w:spacing w:line="440" w:lineRule="exact"/>
              <w:jc w:val="left"/>
              <w:textAlignment w:val="auto"/>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项目管理、进度安排</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基本</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完善，项目管理及进度安排</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基本</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合理高效、可操作性</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基本符合</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，得</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分；</w:t>
            </w:r>
          </w:p>
          <w:p w14:paraId="62638709">
            <w:pPr>
              <w:keepNext w:val="0"/>
              <w:keepLines w:val="0"/>
              <w:pageBreakBefore w:val="0"/>
              <w:widowControl w:val="0"/>
              <w:kinsoku/>
              <w:wordWrap/>
              <w:overflowPunct/>
              <w:topLinePunct w:val="0"/>
              <w:bidi w:val="0"/>
              <w:spacing w:line="440" w:lineRule="exact"/>
              <w:jc w:val="left"/>
              <w:textAlignment w:val="auto"/>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无提供相关</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进度保障</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的不得分。</w:t>
            </w:r>
          </w:p>
        </w:tc>
      </w:tr>
      <w:tr w14:paraId="1724C1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13" w:type="dxa"/>
            <w:tcBorders>
              <w:top w:val="single" w:color="auto" w:sz="4" w:space="0"/>
              <w:bottom w:val="single" w:color="auto" w:sz="4" w:space="0"/>
            </w:tcBorders>
            <w:vAlign w:val="center"/>
          </w:tcPr>
          <w:p w14:paraId="7B210D71">
            <w:pPr>
              <w:keepNext w:val="0"/>
              <w:keepLines w:val="0"/>
              <w:pageBreakBefore w:val="0"/>
              <w:widowControl w:val="0"/>
              <w:kinsoku/>
              <w:wordWrap/>
              <w:overflowPunct/>
              <w:topLinePunct w:val="0"/>
              <w:bidi w:val="0"/>
              <w:spacing w:line="360" w:lineRule="auto"/>
              <w:ind w:firstLine="420" w:firstLineChars="200"/>
              <w:jc w:val="both"/>
              <w:textAlignment w:val="auto"/>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5</w:t>
            </w:r>
          </w:p>
        </w:tc>
        <w:tc>
          <w:tcPr>
            <w:tcW w:w="2034" w:type="dxa"/>
            <w:tcBorders>
              <w:top w:val="single" w:color="auto" w:sz="4" w:space="0"/>
            </w:tcBorders>
            <w:vAlign w:val="center"/>
          </w:tcPr>
          <w:p w14:paraId="18F150B5">
            <w:pPr>
              <w:keepNext w:val="0"/>
              <w:keepLines w:val="0"/>
              <w:pageBreakBefore w:val="0"/>
              <w:widowControl w:val="0"/>
              <w:kinsoku/>
              <w:wordWrap/>
              <w:overflowPunct/>
              <w:topLinePunct w:val="0"/>
              <w:bidi w:val="0"/>
              <w:spacing w:line="360" w:lineRule="auto"/>
              <w:jc w:val="both"/>
              <w:textAlignment w:val="auto"/>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保密措施</w:t>
            </w:r>
            <w:r>
              <w:rPr>
                <w:rFonts w:hint="default" w:ascii="Times New Roman" w:hAnsi="Times New Roman" w:eastAsia="宋体" w:cs="Times New Roman"/>
                <w:color w:val="000000" w:themeColor="text1"/>
                <w:kern w:val="0"/>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7分</w:t>
            </w:r>
            <w:r>
              <w:rPr>
                <w:rFonts w:hint="default" w:ascii="Times New Roman" w:hAnsi="Times New Roman" w:eastAsia="宋体" w:cs="Times New Roman"/>
                <w:color w:val="000000" w:themeColor="text1"/>
                <w:kern w:val="0"/>
                <w:sz w:val="21"/>
                <w:szCs w:val="21"/>
                <w:highlight w:val="none"/>
                <w:shd w:val="clear" w:color="auto" w:fill="auto"/>
                <w:lang w:eastAsia="zh-CN"/>
                <w14:textFill>
                  <w14:solidFill>
                    <w14:schemeClr w14:val="tx1"/>
                  </w14:solidFill>
                </w14:textFill>
              </w:rPr>
              <w:t>）</w:t>
            </w:r>
          </w:p>
        </w:tc>
        <w:tc>
          <w:tcPr>
            <w:tcW w:w="5522" w:type="dxa"/>
          </w:tcPr>
          <w:p w14:paraId="404853B7">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1、</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保密措施具体、详细，可行性高，得</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7</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分；</w:t>
            </w:r>
          </w:p>
          <w:p w14:paraId="62B2A04B">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2、</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保密措施较具体、详细，可行性较高，得</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分；</w:t>
            </w:r>
          </w:p>
          <w:p w14:paraId="521F87A3">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保密措施</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基本</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具体</w:t>
            </w:r>
            <w:r>
              <w:rPr>
                <w:rFonts w:hint="default" w:ascii="Times New Roman" w:hAnsi="Times New Roman" w:eastAsia="宋体" w:cs="Times New Roman"/>
                <w:color w:val="000000" w:themeColor="text1"/>
                <w:kern w:val="0"/>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详细</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，有一定可行性，得</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2</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分；</w:t>
            </w:r>
          </w:p>
          <w:p w14:paraId="204A32CC">
            <w:pPr>
              <w:keepNext w:val="0"/>
              <w:keepLines w:val="0"/>
              <w:pageBreakBefore w:val="0"/>
              <w:widowControl w:val="0"/>
              <w:kinsoku/>
              <w:wordWrap/>
              <w:overflowPunct/>
              <w:topLinePunct w:val="0"/>
              <w:bidi w:val="0"/>
              <w:spacing w:line="360" w:lineRule="auto"/>
              <w:jc w:val="left"/>
              <w:textAlignment w:val="auto"/>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无提供相关</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保密措施</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的不得分。</w:t>
            </w:r>
          </w:p>
        </w:tc>
      </w:tr>
      <w:tr w14:paraId="038BF1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13" w:type="dxa"/>
            <w:tcBorders>
              <w:top w:val="single" w:color="auto" w:sz="4" w:space="0"/>
              <w:bottom w:val="single" w:color="auto" w:sz="4" w:space="0"/>
            </w:tcBorders>
            <w:vAlign w:val="center"/>
          </w:tcPr>
          <w:p w14:paraId="47F0D5CE">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6</w:t>
            </w:r>
          </w:p>
        </w:tc>
        <w:tc>
          <w:tcPr>
            <w:tcW w:w="2034" w:type="dxa"/>
            <w:tcBorders>
              <w:bottom w:val="single" w:color="auto" w:sz="4" w:space="0"/>
            </w:tcBorders>
            <w:vAlign w:val="center"/>
          </w:tcPr>
          <w:p w14:paraId="7EEE2E96">
            <w:pPr>
              <w:keepNext w:val="0"/>
              <w:keepLines w:val="0"/>
              <w:pageBreakBefore w:val="0"/>
              <w:widowControl w:val="0"/>
              <w:kinsoku/>
              <w:wordWrap/>
              <w:overflowPunct/>
              <w:topLinePunct w:val="0"/>
              <w:bidi w:val="0"/>
              <w:spacing w:line="360" w:lineRule="auto"/>
              <w:jc w:val="both"/>
              <w:textAlignment w:val="auto"/>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涉及水质监测能力认定</w:t>
            </w:r>
            <w:r>
              <w:rPr>
                <w:rFonts w:hint="eastAsia"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7分</w:t>
            </w:r>
            <w:r>
              <w:rPr>
                <w:rFonts w:hint="eastAsia"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w:t>
            </w:r>
          </w:p>
        </w:tc>
        <w:tc>
          <w:tcPr>
            <w:tcW w:w="5522" w:type="dxa"/>
          </w:tcPr>
          <w:p w14:paraId="73396451">
            <w:pPr>
              <w:keepNext w:val="0"/>
              <w:keepLines w:val="0"/>
              <w:pageBreakBefore w:val="0"/>
              <w:widowControl w:val="0"/>
              <w:kinsoku/>
              <w:wordWrap/>
              <w:overflowPunct/>
              <w:topLinePunct w:val="0"/>
              <w:bidi w:val="0"/>
              <w:spacing w:line="360" w:lineRule="auto"/>
              <w:jc w:val="left"/>
              <w:textAlignment w:val="auto"/>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120</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项得7分，</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100</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项≤检测项目数＜</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120</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项得</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分，</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80</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项≤检测项目数＜</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100</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项的得2分，检测项目数＜</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80</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项不得分（投标文件中须附计量认证证书及附件复印件，含检测内容部分，并将证书检测内容中与本次招标检测内容相同的部分作出明显标记以方便评审。计量认证中同一项目，多个方法的，算一个项目</w:t>
            </w:r>
            <w:r>
              <w:rPr>
                <w:rFonts w:hint="default" w:ascii="Times New Roman" w:hAnsi="Times New Roman" w:eastAsia="宋体" w:cs="Times New Roman"/>
                <w:color w:val="000000" w:themeColor="text1"/>
                <w:kern w:val="0"/>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如多个方法中适用范围不同，按实际项目数计算</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w:t>
            </w:r>
          </w:p>
        </w:tc>
      </w:tr>
      <w:tr w14:paraId="37DC79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13" w:type="dxa"/>
            <w:tcBorders>
              <w:top w:val="single" w:color="auto" w:sz="4" w:space="0"/>
              <w:bottom w:val="single" w:color="auto" w:sz="4" w:space="0"/>
            </w:tcBorders>
            <w:vAlign w:val="center"/>
          </w:tcPr>
          <w:p w14:paraId="03823678">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7</w:t>
            </w:r>
          </w:p>
        </w:tc>
        <w:tc>
          <w:tcPr>
            <w:tcW w:w="2034" w:type="dxa"/>
            <w:tcBorders>
              <w:top w:val="single" w:color="auto" w:sz="4" w:space="0"/>
              <w:bottom w:val="single" w:color="auto" w:sz="4" w:space="0"/>
            </w:tcBorders>
            <w:vAlign w:val="center"/>
          </w:tcPr>
          <w:p w14:paraId="79D11A66">
            <w:pPr>
              <w:keepNext w:val="0"/>
              <w:keepLines w:val="0"/>
              <w:pageBreakBefore w:val="0"/>
              <w:widowControl w:val="0"/>
              <w:kinsoku/>
              <w:wordWrap/>
              <w:overflowPunct/>
              <w:topLinePunct w:val="0"/>
              <w:bidi w:val="0"/>
              <w:spacing w:line="360" w:lineRule="auto"/>
              <w:jc w:val="both"/>
              <w:textAlignment w:val="auto"/>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项目投入的实验室分析仪器设备情况</w:t>
            </w:r>
            <w:r>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10</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分</w:t>
            </w:r>
            <w:r>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t>）</w:t>
            </w:r>
          </w:p>
        </w:tc>
        <w:tc>
          <w:tcPr>
            <w:tcW w:w="5522" w:type="dxa"/>
          </w:tcPr>
          <w:p w14:paraId="654FE114">
            <w:pPr>
              <w:keepNext w:val="0"/>
              <w:keepLines w:val="0"/>
              <w:pageBreakBefore w:val="0"/>
              <w:widowControl w:val="0"/>
              <w:kinsoku/>
              <w:wordWrap/>
              <w:overflowPunct/>
              <w:topLinePunct w:val="0"/>
              <w:bidi w:val="0"/>
              <w:spacing w:line="360" w:lineRule="auto"/>
              <w:jc w:val="left"/>
              <w:textAlignment w:val="auto"/>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分析设备：</w:t>
            </w:r>
            <w:r>
              <w:rPr>
                <w:rFonts w:hint="default" w:ascii="Times New Roman" w:hAnsi="Times New Roman" w:eastAsia="宋体" w:cs="Times New Roman"/>
                <w:color w:val="000000" w:themeColor="text1"/>
                <w:kern w:val="0"/>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1）气相色谱仪、</w:t>
            </w:r>
            <w:r>
              <w:rPr>
                <w:rFonts w:hint="default" w:ascii="Times New Roman" w:hAnsi="Times New Roman" w:eastAsia="宋体" w:cs="Times New Roman"/>
                <w:color w:val="000000" w:themeColor="text1"/>
                <w:kern w:val="0"/>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2）</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石墨炉和火焰</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原子吸收分光光度计、</w:t>
            </w:r>
            <w:r>
              <w:rPr>
                <w:rFonts w:hint="default" w:ascii="Times New Roman" w:hAnsi="Times New Roman" w:eastAsia="宋体" w:cs="Times New Roman"/>
                <w:color w:val="000000" w:themeColor="text1"/>
                <w:kern w:val="0"/>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3）原子荧光分光光度计、</w:t>
            </w:r>
            <w:r>
              <w:rPr>
                <w:rFonts w:hint="default" w:ascii="Times New Roman" w:hAnsi="Times New Roman" w:eastAsia="宋体" w:cs="Times New Roman"/>
                <w:color w:val="000000" w:themeColor="text1"/>
                <w:kern w:val="0"/>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4）全自动流动注射分析仪、</w:t>
            </w:r>
            <w:r>
              <w:rPr>
                <w:rFonts w:hint="default" w:ascii="Times New Roman" w:hAnsi="Times New Roman" w:eastAsia="宋体" w:cs="Times New Roman"/>
                <w:color w:val="000000" w:themeColor="text1"/>
                <w:kern w:val="0"/>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5）</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便携式多参数水质分析仪（现场监测pH、溶解氧、电导率等项目）</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6</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）COD自动消解回流仪、</w:t>
            </w:r>
            <w:r>
              <w:rPr>
                <w:rFonts w:hint="default" w:ascii="Times New Roman" w:hAnsi="Times New Roman" w:eastAsia="宋体" w:cs="Times New Roman"/>
                <w:color w:val="000000" w:themeColor="text1"/>
                <w:kern w:val="0"/>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7</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）电感耦合等离子体</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质谱仪</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8</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）离子色谱仪、</w:t>
            </w:r>
            <w:r>
              <w:rPr>
                <w:rFonts w:hint="default" w:ascii="Times New Roman" w:hAnsi="Times New Roman" w:eastAsia="宋体" w:cs="Times New Roman"/>
                <w:color w:val="000000" w:themeColor="text1"/>
                <w:kern w:val="0"/>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9</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）紫外-可见分光光度计</w:t>
            </w:r>
            <w:r>
              <w:rPr>
                <w:rFonts w:hint="default" w:ascii="Times New Roman" w:hAnsi="Times New Roman" w:eastAsia="宋体" w:cs="Times New Roman"/>
                <w:color w:val="000000" w:themeColor="text1"/>
                <w:kern w:val="0"/>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10</w:t>
            </w:r>
            <w:r>
              <w:rPr>
                <w:rFonts w:hint="default" w:ascii="Times New Roman" w:hAnsi="Times New Roman" w:eastAsia="宋体" w:cs="Times New Roman"/>
                <w:color w:val="000000" w:themeColor="text1"/>
                <w:kern w:val="0"/>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红外测油仪</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本项最高得分为</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10</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分。</w:t>
            </w:r>
            <w:r>
              <w:rPr>
                <w:rFonts w:hint="default" w:ascii="Times New Roman" w:hAnsi="Times New Roman" w:eastAsia="宋体" w:cs="Times New Roman"/>
                <w:color w:val="000000" w:themeColor="text1"/>
                <w:kern w:val="0"/>
                <w:sz w:val="21"/>
                <w:szCs w:val="21"/>
                <w:highlight w:val="none"/>
                <w:shd w:val="clear" w:color="auto" w:fill="auto"/>
                <w14:textFill>
                  <w14:solidFill>
                    <w14:schemeClr w14:val="tx1"/>
                  </w14:solidFill>
                </w14:textFill>
              </w:rPr>
              <w:t>以上每提供一类设备得1分（投标文件中须附仪器设备一览表，并列出设备名称、型号、数量、质量、国产进口情况，并以仪器设备购买发票复印件为证明。）。</w:t>
            </w:r>
          </w:p>
        </w:tc>
      </w:tr>
      <w:tr w14:paraId="793AB8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13" w:type="dxa"/>
            <w:tcBorders>
              <w:top w:val="single" w:color="auto" w:sz="4" w:space="0"/>
              <w:bottom w:val="single" w:color="auto" w:sz="4" w:space="0"/>
            </w:tcBorders>
            <w:vAlign w:val="center"/>
          </w:tcPr>
          <w:p w14:paraId="7EF2E8F2">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8</w:t>
            </w:r>
          </w:p>
        </w:tc>
        <w:tc>
          <w:tcPr>
            <w:tcW w:w="2034" w:type="dxa"/>
            <w:tcBorders>
              <w:top w:val="single" w:color="auto" w:sz="4" w:space="0"/>
              <w:bottom w:val="single" w:color="auto" w:sz="4" w:space="0"/>
            </w:tcBorders>
            <w:vAlign w:val="center"/>
          </w:tcPr>
          <w:p w14:paraId="66F0C857">
            <w:pPr>
              <w:keepNext w:val="0"/>
              <w:keepLines w:val="0"/>
              <w:pageBreakBefore w:val="0"/>
              <w:widowControl w:val="0"/>
              <w:kinsoku/>
              <w:wordWrap/>
              <w:overflowPunct/>
              <w:topLinePunct w:val="0"/>
              <w:bidi w:val="0"/>
              <w:spacing w:line="360" w:lineRule="auto"/>
              <w:jc w:val="both"/>
              <w:textAlignment w:val="auto"/>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项目业绩经验</w:t>
            </w:r>
          </w:p>
          <w:p w14:paraId="52C3CA55">
            <w:pPr>
              <w:keepNext w:val="0"/>
              <w:keepLines w:val="0"/>
              <w:pageBreakBefore w:val="0"/>
              <w:widowControl w:val="0"/>
              <w:kinsoku/>
              <w:wordWrap/>
              <w:overflowPunct/>
              <w:topLinePunct w:val="0"/>
              <w:bidi w:val="0"/>
              <w:spacing w:line="360" w:lineRule="auto"/>
              <w:jc w:val="both"/>
              <w:textAlignment w:val="auto"/>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分</w:t>
            </w:r>
            <w:r>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t>）</w:t>
            </w:r>
          </w:p>
        </w:tc>
        <w:tc>
          <w:tcPr>
            <w:tcW w:w="5522" w:type="dxa"/>
          </w:tcPr>
          <w:p w14:paraId="26B48D9E">
            <w:pPr>
              <w:keepNext w:val="0"/>
              <w:keepLines w:val="0"/>
              <w:pageBreakBefore w:val="0"/>
              <w:widowControl w:val="0"/>
              <w:kinsoku/>
              <w:wordWrap/>
              <w:overflowPunct/>
              <w:topLinePunct w:val="0"/>
              <w:bidi w:val="0"/>
              <w:spacing w:line="360" w:lineRule="auto"/>
              <w:jc w:val="left"/>
              <w:textAlignment w:val="auto"/>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服务</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商20</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22</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年</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7</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月1日至今（以合同签订日期或委托书日期为准）承担过</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河长制</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地表水</w:t>
            </w:r>
            <w:r>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城镇污水或</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饮用水监测项目的，每项得</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分；其他或没有的得0分。本项最高得分为</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分。需提供项目合同（或委托书）关键页复印件，并加盖供应商单位公章。</w:t>
            </w:r>
          </w:p>
        </w:tc>
      </w:tr>
      <w:tr w14:paraId="6C3A2F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13" w:type="dxa"/>
            <w:tcBorders>
              <w:top w:val="single" w:color="auto" w:sz="4" w:space="0"/>
              <w:bottom w:val="single" w:color="auto" w:sz="4" w:space="0"/>
            </w:tcBorders>
            <w:vAlign w:val="center"/>
          </w:tcPr>
          <w:p w14:paraId="6D932C8B">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9</w:t>
            </w:r>
          </w:p>
        </w:tc>
        <w:tc>
          <w:tcPr>
            <w:tcW w:w="2034" w:type="dxa"/>
            <w:tcBorders>
              <w:top w:val="single" w:color="auto" w:sz="4" w:space="0"/>
              <w:bottom w:val="single" w:color="auto" w:sz="4" w:space="0"/>
            </w:tcBorders>
            <w:vAlign w:val="center"/>
          </w:tcPr>
          <w:p w14:paraId="7EB05760">
            <w:pPr>
              <w:keepNext w:val="0"/>
              <w:keepLines w:val="0"/>
              <w:pageBreakBefore w:val="0"/>
              <w:widowControl w:val="0"/>
              <w:kinsoku/>
              <w:wordWrap/>
              <w:overflowPunct/>
              <w:topLinePunct w:val="0"/>
              <w:bidi w:val="0"/>
              <w:spacing w:line="360" w:lineRule="auto"/>
              <w:jc w:val="both"/>
              <w:textAlignment w:val="auto"/>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管理体系认证情况（6</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分</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w:t>
            </w:r>
          </w:p>
        </w:tc>
        <w:tc>
          <w:tcPr>
            <w:tcW w:w="5522" w:type="dxa"/>
            <w:vAlign w:val="top"/>
          </w:tcPr>
          <w:p w14:paraId="778BC03D">
            <w:pPr>
              <w:keepNext w:val="0"/>
              <w:keepLines w:val="0"/>
              <w:pageBreakBefore w:val="0"/>
              <w:widowControl w:val="0"/>
              <w:kinsoku/>
              <w:wordWrap/>
              <w:overflowPunct/>
              <w:topLinePunct w:val="0"/>
              <w:bidi w:val="0"/>
              <w:spacing w:line="360" w:lineRule="auto"/>
              <w:jc w:val="left"/>
              <w:textAlignment w:val="auto"/>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提供质量管理体系认证证书、职业健康安全管理体系认证证书或环境管理体系认证证书（以上管理体认证材料均需覆盖有环境类别的管理活动）。</w:t>
            </w:r>
            <w:r>
              <w:rPr>
                <w:rFonts w:hint="default" w:ascii="Times New Roman" w:hAnsi="Times New Roman" w:eastAsia="宋体" w:cs="Times New Roman"/>
                <w:color w:val="000000" w:themeColor="text1"/>
                <w:kern w:val="0"/>
                <w:sz w:val="21"/>
                <w:szCs w:val="21"/>
                <w:highlight w:val="none"/>
                <w:shd w:val="clear" w:color="auto" w:fill="auto"/>
                <w:lang w:val="en" w:eastAsia="zh-CN"/>
                <w14:textFill>
                  <w14:solidFill>
                    <w14:schemeClr w14:val="tx1"/>
                  </w14:solidFill>
                </w14:textFill>
              </w:rPr>
              <w:t>每提供</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一份管理体系认证材料</w:t>
            </w:r>
            <w:r>
              <w:rPr>
                <w:rFonts w:hint="default" w:ascii="Times New Roman" w:hAnsi="Times New Roman" w:eastAsia="宋体" w:cs="Times New Roman"/>
                <w:color w:val="000000" w:themeColor="text1"/>
                <w:kern w:val="0"/>
                <w:sz w:val="21"/>
                <w:szCs w:val="21"/>
                <w:highlight w:val="none"/>
                <w:shd w:val="clear" w:color="auto" w:fill="auto"/>
                <w:lang w:val="en" w:eastAsia="zh-CN"/>
                <w14:textFill>
                  <w14:solidFill>
                    <w14:schemeClr w14:val="tx1"/>
                  </w14:solidFill>
                </w14:textFill>
              </w:rPr>
              <w:t>得</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2</w:t>
            </w:r>
            <w:r>
              <w:rPr>
                <w:rFonts w:hint="default" w:ascii="Times New Roman" w:hAnsi="Times New Roman" w:eastAsia="宋体" w:cs="Times New Roman"/>
                <w:color w:val="000000" w:themeColor="text1"/>
                <w:kern w:val="0"/>
                <w:sz w:val="21"/>
                <w:szCs w:val="21"/>
                <w:highlight w:val="none"/>
                <w:shd w:val="clear" w:color="auto" w:fill="auto"/>
                <w:lang w:val="en" w:eastAsia="zh-CN"/>
                <w14:textFill>
                  <w14:solidFill>
                    <w14:schemeClr w14:val="tx1"/>
                  </w14:solidFill>
                </w14:textFill>
              </w:rPr>
              <w:t>分，最高得</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6</w:t>
            </w:r>
            <w:r>
              <w:rPr>
                <w:rFonts w:hint="default" w:ascii="Times New Roman" w:hAnsi="Times New Roman" w:eastAsia="宋体" w:cs="Times New Roman"/>
                <w:color w:val="000000" w:themeColor="text1"/>
                <w:kern w:val="0"/>
                <w:sz w:val="21"/>
                <w:szCs w:val="21"/>
                <w:highlight w:val="none"/>
                <w:shd w:val="clear" w:color="auto" w:fill="auto"/>
                <w:lang w:val="en" w:eastAsia="zh-CN"/>
                <w14:textFill>
                  <w14:solidFill>
                    <w14:schemeClr w14:val="tx1"/>
                  </w14:solidFill>
                </w14:textFill>
              </w:rPr>
              <w:t>分</w:t>
            </w:r>
            <w:r>
              <w:rPr>
                <w:rFonts w:hint="default" w:ascii="Times New Roman" w:hAnsi="Times New Roman" w:eastAsia="宋体" w:cs="Times New Roman"/>
                <w:color w:val="000000" w:themeColor="text1"/>
                <w:kern w:val="0"/>
                <w:sz w:val="21"/>
                <w:szCs w:val="21"/>
                <w:highlight w:val="none"/>
                <w:shd w:val="clear" w:color="auto" w:fill="auto"/>
                <w:lang w:val="en-US" w:eastAsia="zh-CN"/>
                <w14:textFill>
                  <w14:solidFill>
                    <w14:schemeClr w14:val="tx1"/>
                  </w14:solidFill>
                </w14:textFill>
              </w:rPr>
              <w:t>，不提供不得分，提供的管理体系证书覆盖范围不符合要求的不得分。</w:t>
            </w:r>
          </w:p>
        </w:tc>
      </w:tr>
      <w:tr w14:paraId="255F89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13" w:type="dxa"/>
            <w:vAlign w:val="center"/>
          </w:tcPr>
          <w:p w14:paraId="4FA97198">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10</w:t>
            </w:r>
          </w:p>
        </w:tc>
        <w:tc>
          <w:tcPr>
            <w:tcW w:w="2034" w:type="dxa"/>
            <w:vAlign w:val="center"/>
          </w:tcPr>
          <w:p w14:paraId="2C6D4F68">
            <w:pPr>
              <w:keepNext w:val="0"/>
              <w:keepLines w:val="0"/>
              <w:pageBreakBefore w:val="0"/>
              <w:widowControl w:val="0"/>
              <w:kinsoku/>
              <w:wordWrap/>
              <w:overflowPunct/>
              <w:topLinePunct w:val="0"/>
              <w:bidi w:val="0"/>
              <w:spacing w:line="360" w:lineRule="auto"/>
              <w:jc w:val="both"/>
              <w:textAlignment w:val="auto"/>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投标报价得分</w:t>
            </w:r>
          </w:p>
          <w:p w14:paraId="5CCA2DE9">
            <w:pPr>
              <w:keepNext w:val="0"/>
              <w:keepLines w:val="0"/>
              <w:pageBreakBefore w:val="0"/>
              <w:widowControl w:val="0"/>
              <w:kinsoku/>
              <w:wordWrap/>
              <w:overflowPunct/>
              <w:topLinePunct w:val="0"/>
              <w:bidi w:val="0"/>
              <w:spacing w:line="360" w:lineRule="auto"/>
              <w:jc w:val="both"/>
              <w:textAlignment w:val="auto"/>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20</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分</w:t>
            </w:r>
            <w:r>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t>）</w:t>
            </w:r>
          </w:p>
        </w:tc>
        <w:tc>
          <w:tcPr>
            <w:tcW w:w="5522" w:type="dxa"/>
          </w:tcPr>
          <w:p w14:paraId="5719F22C">
            <w:pPr>
              <w:keepNext w:val="0"/>
              <w:keepLines w:val="0"/>
              <w:pageBreakBefore w:val="0"/>
              <w:widowControl w:val="0"/>
              <w:kinsoku/>
              <w:wordWrap/>
              <w:overflowPunct/>
              <w:topLinePunct w:val="0"/>
              <w:bidi w:val="0"/>
              <w:spacing w:line="360" w:lineRule="auto"/>
              <w:jc w:val="left"/>
              <w:textAlignment w:val="auto"/>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服务商价格</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得分=（</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基准价</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报价</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20</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（注：满足</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采购需求</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且价格最低报价为基准价</w:t>
            </w:r>
            <w:r>
              <w:rPr>
                <w:rFonts w:hint="default" w:ascii="Times New Roman" w:hAnsi="Times New Roman" w:eastAsia="宋体" w:cs="Times New Roman"/>
                <w:color w:val="000000" w:themeColor="text1"/>
                <w:sz w:val="21"/>
                <w:szCs w:val="21"/>
                <w:highlight w:val="none"/>
                <w:shd w:val="clear" w:color="auto" w:fill="auto"/>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shd w:val="clear" w:color="auto" w:fill="auto"/>
                <w:lang w:val="en-US" w:eastAsia="zh-CN"/>
                <w14:textFill>
                  <w14:solidFill>
                    <w14:schemeClr w14:val="tx1"/>
                  </w14:solidFill>
                </w14:textFill>
              </w:rPr>
              <w:t>最低报价者为满分</w:t>
            </w:r>
            <w:r>
              <w:rPr>
                <w:rFonts w:hint="default" w:ascii="Times New Roman" w:hAnsi="Times New Roman" w:eastAsia="宋体" w:cs="Times New Roman"/>
                <w:color w:val="000000" w:themeColor="text1"/>
                <w:sz w:val="21"/>
                <w:szCs w:val="21"/>
                <w:highlight w:val="none"/>
                <w:shd w:val="clear" w:color="auto" w:fill="auto"/>
                <w14:textFill>
                  <w14:solidFill>
                    <w14:schemeClr w14:val="tx1"/>
                  </w14:solidFill>
                </w14:textFill>
              </w:rPr>
              <w:t>。）最低报价不是中标的唯一依据。</w:t>
            </w:r>
          </w:p>
        </w:tc>
      </w:tr>
    </w:tbl>
    <w:p w14:paraId="7FC5475B">
      <w:pPr>
        <w:keepNext w:val="0"/>
        <w:keepLines w:val="0"/>
        <w:pageBreakBefore w:val="0"/>
        <w:widowControl w:val="0"/>
        <w:kinsoku/>
        <w:wordWrap/>
        <w:overflowPunct/>
        <w:topLinePunct w:val="0"/>
        <w:bidi w:val="0"/>
        <w:spacing w:line="360" w:lineRule="auto"/>
        <w:textAlignment w:val="auto"/>
        <w:rPr>
          <w:rFonts w:hint="eastAsia" w:eastAsiaTheme="minorEastAsia"/>
          <w:color w:val="000000" w:themeColor="text1"/>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1"/>
          <w:szCs w:val="21"/>
          <w:highlight w:val="none"/>
          <w:shd w:val="clear" w:color="auto" w:fill="auto"/>
          <w:lang w:val="en-US" w:eastAsia="zh-CN"/>
          <w14:textFill>
            <w14:solidFill>
              <w14:schemeClr w14:val="tx1"/>
            </w14:solidFill>
          </w14:textFill>
        </w:rPr>
        <w:t>备注：本项目采取综合评分法。</w:t>
      </w:r>
      <w:r>
        <w:rPr>
          <w:rFonts w:hint="eastAsia" w:ascii="宋体" w:hAnsi="宋体" w:eastAsia="宋体" w:cs="宋体"/>
          <w:color w:val="000000" w:themeColor="text1"/>
          <w:kern w:val="0"/>
          <w:sz w:val="21"/>
          <w:szCs w:val="21"/>
          <w:highlight w:val="none"/>
          <w:shd w:val="clear" w:color="auto" w:fill="auto"/>
          <w:lang w:val="en-US" w:eastAsia="zh-CN"/>
          <w14:textFill>
            <w14:solidFill>
              <w14:schemeClr w14:val="tx1"/>
            </w14:solidFill>
          </w14:textFill>
        </w:rPr>
        <w:t>如出现供应商的报价明显低于其他通过符合性审查供应商报价，有可能影响服务质量或者不能诚信履约情形的，应当要求其在评标过程合理的时间内提供书面说明，必要时提交相关证明材料；供应商不能证明其报价合理性的，采购小组将其作为无效报价处理。</w:t>
      </w:r>
    </w:p>
    <w:p w14:paraId="3EB0B900">
      <w:pPr>
        <w:keepNext w:val="0"/>
        <w:keepLines w:val="0"/>
        <w:pageBreakBefore w:val="0"/>
        <w:widowControl w:val="0"/>
        <w:kinsoku/>
        <w:wordWrap/>
        <w:overflowPunct/>
        <w:topLinePunct w:val="0"/>
        <w:bidi w:val="0"/>
        <w:spacing w:line="360" w:lineRule="auto"/>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C2AF65"/>
    <w:multiLevelType w:val="singleLevel"/>
    <w:tmpl w:val="21C2AF6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5N2UwMDc1ZTJlMWZiZjY4ZmMzMWIxZTllODgxZTcifQ=="/>
  </w:docVars>
  <w:rsids>
    <w:rsidRoot w:val="00F052E7"/>
    <w:rsid w:val="001853AE"/>
    <w:rsid w:val="00275B05"/>
    <w:rsid w:val="002C61A4"/>
    <w:rsid w:val="0030235E"/>
    <w:rsid w:val="00334969"/>
    <w:rsid w:val="003863E8"/>
    <w:rsid w:val="003D6BE4"/>
    <w:rsid w:val="0045696B"/>
    <w:rsid w:val="004E7B91"/>
    <w:rsid w:val="0054007A"/>
    <w:rsid w:val="00557005"/>
    <w:rsid w:val="00594F4C"/>
    <w:rsid w:val="005D0D30"/>
    <w:rsid w:val="00617FDF"/>
    <w:rsid w:val="006D67D8"/>
    <w:rsid w:val="00705FC5"/>
    <w:rsid w:val="007840D5"/>
    <w:rsid w:val="00A9346E"/>
    <w:rsid w:val="00AD5EB0"/>
    <w:rsid w:val="00AE29FE"/>
    <w:rsid w:val="00B66130"/>
    <w:rsid w:val="00B95077"/>
    <w:rsid w:val="00CD42CB"/>
    <w:rsid w:val="00CE02ED"/>
    <w:rsid w:val="00DA0C2B"/>
    <w:rsid w:val="00DD45B4"/>
    <w:rsid w:val="00DD60BE"/>
    <w:rsid w:val="00E5565B"/>
    <w:rsid w:val="00E9683F"/>
    <w:rsid w:val="00F052E7"/>
    <w:rsid w:val="01A71FD9"/>
    <w:rsid w:val="01FD7E4B"/>
    <w:rsid w:val="023D46EC"/>
    <w:rsid w:val="02DF5629"/>
    <w:rsid w:val="04F77145"/>
    <w:rsid w:val="06562220"/>
    <w:rsid w:val="069F14AB"/>
    <w:rsid w:val="07A34FF1"/>
    <w:rsid w:val="07FE5178"/>
    <w:rsid w:val="08DD2784"/>
    <w:rsid w:val="095C2DBE"/>
    <w:rsid w:val="095F13EB"/>
    <w:rsid w:val="09DE0211"/>
    <w:rsid w:val="0C093AD5"/>
    <w:rsid w:val="0D074274"/>
    <w:rsid w:val="0D4D3563"/>
    <w:rsid w:val="0D705975"/>
    <w:rsid w:val="0E5E1C72"/>
    <w:rsid w:val="0F895414"/>
    <w:rsid w:val="100076F8"/>
    <w:rsid w:val="116840C2"/>
    <w:rsid w:val="127777A6"/>
    <w:rsid w:val="1319260B"/>
    <w:rsid w:val="154B1EB6"/>
    <w:rsid w:val="15B47677"/>
    <w:rsid w:val="17054F17"/>
    <w:rsid w:val="17C27715"/>
    <w:rsid w:val="17D9680D"/>
    <w:rsid w:val="1B57121D"/>
    <w:rsid w:val="1CA05B4B"/>
    <w:rsid w:val="1CB82E95"/>
    <w:rsid w:val="1DD7559C"/>
    <w:rsid w:val="1E9B481C"/>
    <w:rsid w:val="1F0B71D2"/>
    <w:rsid w:val="2040567B"/>
    <w:rsid w:val="20E47A11"/>
    <w:rsid w:val="22C04851"/>
    <w:rsid w:val="22CE5C69"/>
    <w:rsid w:val="23A710C5"/>
    <w:rsid w:val="24C83E91"/>
    <w:rsid w:val="257C6906"/>
    <w:rsid w:val="266345C9"/>
    <w:rsid w:val="267B565F"/>
    <w:rsid w:val="28CF3A40"/>
    <w:rsid w:val="29416364"/>
    <w:rsid w:val="2AE61515"/>
    <w:rsid w:val="2B8E1990"/>
    <w:rsid w:val="2B9346B1"/>
    <w:rsid w:val="2BC8130D"/>
    <w:rsid w:val="2BDC22FE"/>
    <w:rsid w:val="2C41535E"/>
    <w:rsid w:val="2CBF3DCB"/>
    <w:rsid w:val="302F3016"/>
    <w:rsid w:val="308D7606"/>
    <w:rsid w:val="31F75DB5"/>
    <w:rsid w:val="32821B23"/>
    <w:rsid w:val="333252F7"/>
    <w:rsid w:val="33A361F5"/>
    <w:rsid w:val="3538296D"/>
    <w:rsid w:val="376C27A1"/>
    <w:rsid w:val="37DF17C6"/>
    <w:rsid w:val="391861A0"/>
    <w:rsid w:val="3CAF1767"/>
    <w:rsid w:val="3CFC24D2"/>
    <w:rsid w:val="3D0840D6"/>
    <w:rsid w:val="3D7B3D3F"/>
    <w:rsid w:val="3E5E1696"/>
    <w:rsid w:val="3FA550A3"/>
    <w:rsid w:val="422958D3"/>
    <w:rsid w:val="42AD499A"/>
    <w:rsid w:val="443864E5"/>
    <w:rsid w:val="44D815D3"/>
    <w:rsid w:val="476924D2"/>
    <w:rsid w:val="488A3088"/>
    <w:rsid w:val="49842CF4"/>
    <w:rsid w:val="4A003601"/>
    <w:rsid w:val="4A6A4F1F"/>
    <w:rsid w:val="4A8A3813"/>
    <w:rsid w:val="4ADD3943"/>
    <w:rsid w:val="4E2969E0"/>
    <w:rsid w:val="4EF15C0F"/>
    <w:rsid w:val="509C1BAA"/>
    <w:rsid w:val="50CD69F2"/>
    <w:rsid w:val="534530AA"/>
    <w:rsid w:val="54680721"/>
    <w:rsid w:val="56847368"/>
    <w:rsid w:val="581A4428"/>
    <w:rsid w:val="5A04713E"/>
    <w:rsid w:val="5B8C65EF"/>
    <w:rsid w:val="5B937CD8"/>
    <w:rsid w:val="5C9D2F32"/>
    <w:rsid w:val="5DEA21A7"/>
    <w:rsid w:val="609126F0"/>
    <w:rsid w:val="632B1E12"/>
    <w:rsid w:val="66A23F66"/>
    <w:rsid w:val="66C66991"/>
    <w:rsid w:val="67193AFD"/>
    <w:rsid w:val="6A042842"/>
    <w:rsid w:val="6A685A2A"/>
    <w:rsid w:val="6AB67CFD"/>
    <w:rsid w:val="6AC41FD2"/>
    <w:rsid w:val="6C1D4613"/>
    <w:rsid w:val="6DDB1B0C"/>
    <w:rsid w:val="6F3C482C"/>
    <w:rsid w:val="6F6618A9"/>
    <w:rsid w:val="6FAE0618"/>
    <w:rsid w:val="70976F25"/>
    <w:rsid w:val="71BC1C54"/>
    <w:rsid w:val="720E0702"/>
    <w:rsid w:val="72A262A2"/>
    <w:rsid w:val="72A64E37"/>
    <w:rsid w:val="72E94CCB"/>
    <w:rsid w:val="743C2E1B"/>
    <w:rsid w:val="746A5998"/>
    <w:rsid w:val="74E4252E"/>
    <w:rsid w:val="7579337E"/>
    <w:rsid w:val="780B2147"/>
    <w:rsid w:val="7A083C89"/>
    <w:rsid w:val="7AB0395D"/>
    <w:rsid w:val="7B1F572E"/>
    <w:rsid w:val="7BA33200"/>
    <w:rsid w:val="7BDA1655"/>
    <w:rsid w:val="7C745605"/>
    <w:rsid w:val="7D4D2D3D"/>
    <w:rsid w:val="7E0A649D"/>
    <w:rsid w:val="7E464D80"/>
    <w:rsid w:val="7F290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99" w:semiHidden="0"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Plain Text"/>
    <w:basedOn w:val="1"/>
    <w:qFormat/>
    <w:uiPriority w:val="0"/>
    <w:rPr>
      <w:rFonts w:ascii="宋体" w:hAnsi="Courier New"/>
    </w:rPr>
  </w:style>
  <w:style w:type="paragraph" w:styleId="4">
    <w:name w:val="footer"/>
    <w:basedOn w:val="1"/>
    <w:link w:val="11"/>
    <w:autoRedefine/>
    <w:semiHidden/>
    <w:unhideWhenUsed/>
    <w:qFormat/>
    <w:uiPriority w:val="99"/>
    <w:pPr>
      <w:tabs>
        <w:tab w:val="center" w:pos="4153"/>
        <w:tab w:val="right" w:pos="8306"/>
      </w:tabs>
      <w:snapToGrid w:val="0"/>
      <w:jc w:val="left"/>
    </w:pPr>
    <w:rPr>
      <w:sz w:val="18"/>
      <w:szCs w:val="18"/>
    </w:rPr>
  </w:style>
  <w:style w:type="paragraph" w:styleId="5">
    <w:name w:val="header"/>
    <w:basedOn w:val="1"/>
    <w:link w:val="10"/>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Message Header"/>
    <w:basedOn w:val="1"/>
    <w:next w:val="1"/>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Arial" w:hAnsi="Arial" w:cs="Arial"/>
    </w:rPr>
  </w:style>
  <w:style w:type="paragraph" w:styleId="7">
    <w:name w:val="Normal (Web)"/>
    <w:basedOn w:val="1"/>
    <w:unhideWhenUsed/>
    <w:qFormat/>
    <w:uiPriority w:val="99"/>
    <w:pPr>
      <w:widowControl/>
      <w:spacing w:before="100" w:beforeAutospacing="1" w:after="100" w:afterAutospacing="1"/>
    </w:pPr>
    <w:rPr>
      <w:rFonts w:hAnsi="宋体"/>
      <w:sz w:val="15"/>
      <w:szCs w:val="15"/>
    </w:rPr>
  </w:style>
  <w:style w:type="character" w:customStyle="1" w:styleId="10">
    <w:name w:val="页眉 Char"/>
    <w:basedOn w:val="9"/>
    <w:link w:val="5"/>
    <w:autoRedefine/>
    <w:semiHidden/>
    <w:qFormat/>
    <w:uiPriority w:val="99"/>
    <w:rPr>
      <w:sz w:val="18"/>
      <w:szCs w:val="18"/>
    </w:rPr>
  </w:style>
  <w:style w:type="character" w:customStyle="1" w:styleId="11">
    <w:name w:val="页脚 Char"/>
    <w:basedOn w:val="9"/>
    <w:link w:val="4"/>
    <w:autoRedefine/>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1597</Words>
  <Characters>1629</Characters>
  <Lines>2</Lines>
  <Paragraphs>1</Paragraphs>
  <TotalTime>1</TotalTime>
  <ScaleCrop>false</ScaleCrop>
  <LinksUpToDate>false</LinksUpToDate>
  <CharactersWithSpaces>1629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2021-07-15T09:03:00Z</dcterms:created>
  <dc:creator>Beiyutech</dc:creator>
  <cp:lastModifiedBy>Yan</cp:lastModifiedBy>
  <dcterms:modified xsi:type="dcterms:W3CDTF">2026-05-29T02:39:12Z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C5362CA702324B848BD29427635B0ED1_13</vt:lpwstr>
  </property>
  <property fmtid="{D5CDD505-2E9C-101B-9397-08002B2CF9AE}" pid="4" name="KSOTemplateDocerSaveRecord">
    <vt:lpwstr>eyJoZGlkIjoiZmVhYTI1YzE2MzEyMzJmMjZkNWYzMmMzZGY4Y2FjZjAiLCJ1c2VySWQiOiIzMjc3MTM3OTMifQ==</vt:lpwstr>
  </property>
</Properties>
</file>